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9"/>
        <w:spacing w:after="0" w:line="240" w:lineRule="auto"/>
        <w:rPr>
          <w:rFonts w:ascii="宋体"/>
          <w:color w:val="auto"/>
          <w:highlight w:val="none"/>
        </w:rPr>
      </w:pPr>
    </w:p>
    <w:p>
      <w:pPr>
        <w:pStyle w:val="139"/>
        <w:spacing w:after="0" w:line="240" w:lineRule="auto"/>
        <w:rPr>
          <w:rFonts w:ascii="宋体"/>
          <w:color w:val="auto"/>
          <w:highlight w:val="none"/>
        </w:rPr>
      </w:pPr>
      <w:r>
        <w:rPr>
          <w:rFonts w:hint="eastAsia" w:ascii="宋体"/>
          <w:color w:val="auto"/>
          <w:highlight w:val="none"/>
        </w:rPr>
        <w:t>SF-2022-0210</w:t>
      </w:r>
    </w:p>
    <w:p>
      <w:pPr>
        <w:pStyle w:val="139"/>
        <w:spacing w:after="80" w:line="640" w:lineRule="exact"/>
        <w:ind w:firstLine="5760" w:firstLineChars="1920"/>
        <w:rPr>
          <w:rFonts w:eastAsia="华文中宋"/>
          <w:color w:val="auto"/>
          <w:sz w:val="32"/>
          <w:szCs w:val="32"/>
          <w:highlight w:val="none"/>
          <w:u w:val="single"/>
        </w:rPr>
      </w:pPr>
      <w:r>
        <w:rPr>
          <w:rFonts w:ascii="宋体"/>
          <w:color w:val="auto"/>
          <w:sz w:val="30"/>
          <w:szCs w:val="30"/>
          <w:highlight w:val="none"/>
        </w:rPr>
        <w:tab/>
      </w:r>
      <w:r>
        <w:rPr>
          <w:rFonts w:hint="eastAsia" w:ascii="华文中宋" w:hAnsi="华文中宋" w:eastAsia="华文中宋" w:cs="华文中宋"/>
          <w:color w:val="auto"/>
          <w:sz w:val="32"/>
          <w:szCs w:val="32"/>
          <w:highlight w:val="none"/>
        </w:rPr>
        <w:t>项目编码：</w:t>
      </w:r>
      <w:r>
        <w:rPr>
          <w:rFonts w:hint="eastAsia" w:ascii="华文中宋" w:hAnsi="华文中宋" w:eastAsia="华文中宋" w:cs="华文中宋"/>
          <w:color w:val="auto"/>
          <w:sz w:val="32"/>
          <w:szCs w:val="32"/>
          <w:highlight w:val="none"/>
          <w:u w:val="single"/>
        </w:rPr>
        <w:t xml:space="preserve">            </w:t>
      </w:r>
    </w:p>
    <w:p>
      <w:pPr>
        <w:pStyle w:val="139"/>
        <w:spacing w:after="80" w:line="640" w:lineRule="exact"/>
        <w:ind w:firstLine="5760" w:firstLineChars="1920"/>
        <w:rPr>
          <w:rFonts w:ascii="宋体"/>
          <w:color w:val="auto"/>
          <w:sz w:val="30"/>
          <w:szCs w:val="30"/>
          <w:highlight w:val="none"/>
        </w:rPr>
      </w:pPr>
      <w:r>
        <w:rPr>
          <w:rFonts w:ascii="宋体"/>
          <w:color w:val="auto"/>
          <w:sz w:val="30"/>
          <w:szCs w:val="30"/>
          <w:highlight w:val="none"/>
        </w:rPr>
        <w:t>工程编码：</w:t>
      </w:r>
      <w:r>
        <w:rPr>
          <w:rFonts w:ascii="宋体"/>
          <w:color w:val="auto"/>
          <w:sz w:val="30"/>
          <w:szCs w:val="30"/>
          <w:highlight w:val="none"/>
          <w:u w:val="single"/>
        </w:rPr>
        <w:t xml:space="preserve">             </w:t>
      </w:r>
    </w:p>
    <w:p>
      <w:pPr>
        <w:pStyle w:val="139"/>
        <w:spacing w:after="80" w:line="640" w:lineRule="exact"/>
        <w:ind w:firstLine="5760" w:firstLineChars="1920"/>
        <w:rPr>
          <w:rFonts w:ascii="宋体"/>
          <w:color w:val="auto"/>
          <w:sz w:val="30"/>
          <w:szCs w:val="30"/>
          <w:highlight w:val="none"/>
        </w:rPr>
      </w:pPr>
      <w:r>
        <w:rPr>
          <w:rFonts w:ascii="宋体"/>
          <w:color w:val="auto"/>
          <w:sz w:val="30"/>
          <w:szCs w:val="30"/>
          <w:highlight w:val="none"/>
        </w:rPr>
        <w:t>合同编号：</w:t>
      </w:r>
      <w:r>
        <w:rPr>
          <w:rFonts w:ascii="宋体"/>
          <w:color w:val="auto"/>
          <w:sz w:val="30"/>
          <w:szCs w:val="30"/>
          <w:highlight w:val="none"/>
          <w:u w:val="single"/>
        </w:rPr>
        <w:t xml:space="preserve">             </w:t>
      </w:r>
    </w:p>
    <w:p>
      <w:pPr>
        <w:tabs>
          <w:tab w:val="left" w:pos="3900"/>
          <w:tab w:val="right" w:pos="10245"/>
        </w:tabs>
        <w:wordWrap w:val="0"/>
        <w:spacing w:line="360" w:lineRule="auto"/>
        <w:rPr>
          <w:rFonts w:ascii="宋体"/>
          <w:color w:val="auto"/>
          <w:sz w:val="32"/>
          <w:szCs w:val="32"/>
          <w:highlight w:val="none"/>
          <w:u w:val="single"/>
          <w:lang w:eastAsia="zh-CN"/>
        </w:rPr>
      </w:pPr>
    </w:p>
    <w:p>
      <w:pPr>
        <w:spacing w:line="360" w:lineRule="auto"/>
        <w:jc w:val="right"/>
        <w:rPr>
          <w:rFonts w:ascii="宋体"/>
          <w:color w:val="auto"/>
          <w:sz w:val="32"/>
          <w:szCs w:val="32"/>
          <w:highlight w:val="none"/>
          <w:u w:val="single"/>
          <w:lang w:eastAsia="zh-CN"/>
        </w:rPr>
      </w:pPr>
    </w:p>
    <w:p>
      <w:pPr>
        <w:spacing w:line="360" w:lineRule="auto"/>
        <w:jc w:val="center"/>
        <w:rPr>
          <w:rFonts w:ascii="宋体" w:hAnsi="宋体" w:cs="宋体"/>
          <w:b/>
          <w:bCs/>
          <w:color w:val="auto"/>
          <w:spacing w:val="-40"/>
          <w:sz w:val="52"/>
          <w:szCs w:val="52"/>
          <w:highlight w:val="none"/>
          <w:lang w:eastAsia="zh-CN"/>
        </w:rPr>
      </w:pPr>
      <w:r>
        <w:rPr>
          <w:rFonts w:hint="eastAsia" w:ascii="宋体" w:hAnsi="宋体" w:cs="宋体"/>
          <w:b/>
          <w:bCs/>
          <w:color w:val="auto"/>
          <w:spacing w:val="-40"/>
          <w:sz w:val="52"/>
          <w:szCs w:val="52"/>
          <w:highlight w:val="none"/>
          <w:lang w:eastAsia="zh-CN"/>
        </w:rPr>
        <w:t>广州市建设工程总承包合同</w:t>
      </w:r>
    </w:p>
    <w:p>
      <w:pPr>
        <w:spacing w:line="360" w:lineRule="auto"/>
        <w:jc w:val="center"/>
        <w:rPr>
          <w:rFonts w:ascii="宋体"/>
          <w:bCs/>
          <w:color w:val="auto"/>
          <w:spacing w:val="-40"/>
          <w:sz w:val="36"/>
          <w:szCs w:val="36"/>
          <w:highlight w:val="none"/>
          <w:lang w:eastAsia="zh-CN"/>
        </w:rPr>
      </w:pPr>
    </w:p>
    <w:p>
      <w:pPr>
        <w:tabs>
          <w:tab w:val="left" w:pos="1380"/>
        </w:tabs>
        <w:spacing w:line="360" w:lineRule="auto"/>
        <w:rPr>
          <w:rFonts w:ascii="宋体"/>
          <w:color w:val="auto"/>
          <w:sz w:val="32"/>
          <w:szCs w:val="32"/>
          <w:highlight w:val="none"/>
          <w:lang w:eastAsia="zh-CN"/>
        </w:rPr>
      </w:pPr>
    </w:p>
    <w:p>
      <w:pPr>
        <w:spacing w:line="640" w:lineRule="exact"/>
        <w:ind w:firstLine="1699" w:firstLineChars="531"/>
        <w:rPr>
          <w:rFonts w:ascii="仿宋" w:hAnsi="仿宋" w:eastAsia="仿宋"/>
          <w:color w:val="auto"/>
          <w:sz w:val="32"/>
          <w:szCs w:val="32"/>
          <w:highlight w:val="none"/>
          <w:u w:val="single"/>
          <w:lang w:eastAsia="zh-CN"/>
        </w:rPr>
      </w:pPr>
    </w:p>
    <w:p>
      <w:pPr>
        <w:spacing w:line="640" w:lineRule="exact"/>
        <w:ind w:firstLine="640" w:firstLineChars="20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工程名称：</w:t>
      </w:r>
      <w:r>
        <w:rPr>
          <w:rFonts w:hint="eastAsia" w:ascii="宋体" w:hAnsi="宋体" w:cs="仿宋"/>
          <w:color w:val="auto"/>
          <w:sz w:val="32"/>
          <w:szCs w:val="32"/>
          <w:highlight w:val="none"/>
          <w:u w:val="single"/>
          <w:lang w:eastAsia="zh-CN"/>
        </w:rPr>
        <w:t xml:space="preserve"> 中山大学附属第一医院东院区改扩建工程</w:t>
      </w:r>
    </w:p>
    <w:p>
      <w:pPr>
        <w:spacing w:before="240" w:beforeLines="100" w:after="120" w:afterLines="50"/>
        <w:ind w:firstLine="640" w:firstLineChars="20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工程地点：</w:t>
      </w:r>
      <w:r>
        <w:rPr>
          <w:rFonts w:hint="eastAsia" w:ascii="宋体" w:hAnsi="宋体" w:cs="仿宋"/>
          <w:color w:val="auto"/>
          <w:sz w:val="32"/>
          <w:szCs w:val="32"/>
          <w:highlight w:val="none"/>
          <w:u w:val="single"/>
          <w:lang w:eastAsia="zh-CN"/>
        </w:rPr>
        <w:t>广东省广州市黄埔区黄埔东路183号</w:t>
      </w:r>
    </w:p>
    <w:p>
      <w:pPr>
        <w:spacing w:before="240" w:beforeLines="100" w:after="120" w:afterLines="50"/>
        <w:ind w:firstLine="640" w:firstLineChars="200"/>
        <w:rPr>
          <w:rFonts w:ascii="宋体" w:hAnsi="宋体"/>
          <w:color w:val="auto"/>
          <w:sz w:val="32"/>
          <w:szCs w:val="32"/>
          <w:highlight w:val="none"/>
          <w:u w:val="single"/>
          <w:lang w:eastAsia="zh-CN"/>
        </w:rPr>
      </w:pPr>
      <w:r>
        <w:rPr>
          <w:rFonts w:hint="eastAsia" w:ascii="宋体" w:hAnsi="宋体" w:cs="仿宋"/>
          <w:color w:val="auto"/>
          <w:sz w:val="32"/>
          <w:szCs w:val="32"/>
          <w:highlight w:val="none"/>
          <w:lang w:eastAsia="zh-CN"/>
        </w:rPr>
        <w:t>发</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hint="eastAsia" w:ascii="宋体" w:hAnsi="宋体" w:cs="仿宋"/>
          <w:color w:val="auto"/>
          <w:sz w:val="32"/>
          <w:szCs w:val="32"/>
          <w:highlight w:val="none"/>
          <w:u w:val="single"/>
          <w:lang w:eastAsia="zh-CN"/>
        </w:rPr>
        <w:t>中山大学附属第一医院</w:t>
      </w:r>
    </w:p>
    <w:p>
      <w:pPr>
        <w:spacing w:before="240" w:beforeLines="100" w:after="120" w:afterLines="50"/>
        <w:ind w:firstLine="640" w:firstLineChars="20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承</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hint="eastAsia" w:ascii="宋体" w:hAnsi="宋体" w:cs="仿宋"/>
          <w:color w:val="auto"/>
          <w:sz w:val="28"/>
          <w:szCs w:val="28"/>
          <w:highlight w:val="none"/>
          <w:u w:val="single"/>
          <w:lang w:eastAsia="zh-CN"/>
        </w:rPr>
        <w:t xml:space="preserve">                                          </w:t>
      </w:r>
    </w:p>
    <w:p>
      <w:pPr>
        <w:spacing w:before="240" w:beforeLines="100" w:after="120" w:afterLines="50"/>
        <w:ind w:firstLine="2240" w:firstLineChars="800"/>
        <w:rPr>
          <w:rFonts w:ascii="宋体" w:hAnsi="宋体" w:cs="仿宋"/>
          <w:color w:val="auto"/>
          <w:sz w:val="28"/>
          <w:szCs w:val="28"/>
          <w:highlight w:val="none"/>
          <w:u w:val="single"/>
          <w:lang w:eastAsia="zh-CN"/>
        </w:rPr>
      </w:pPr>
      <w:r>
        <w:rPr>
          <w:rFonts w:hint="eastAsia" w:ascii="宋体" w:hAnsi="宋体" w:cs="仿宋"/>
          <w:color w:val="auto"/>
          <w:sz w:val="28"/>
          <w:szCs w:val="28"/>
          <w:highlight w:val="none"/>
          <w:u w:val="single"/>
          <w:lang w:eastAsia="zh-CN"/>
        </w:rPr>
        <w:t xml:space="preserve">                           （联合体成员一）</w:t>
      </w:r>
    </w:p>
    <w:p>
      <w:pPr>
        <w:spacing w:before="240" w:beforeLines="100" w:after="120" w:afterLines="50"/>
        <w:ind w:firstLine="2240" w:firstLineChars="800"/>
        <w:rPr>
          <w:rFonts w:ascii="宋体" w:hAnsi="宋体" w:cs="仿宋"/>
          <w:color w:val="auto"/>
          <w:sz w:val="28"/>
          <w:szCs w:val="28"/>
          <w:highlight w:val="none"/>
          <w:u w:val="single"/>
          <w:lang w:eastAsia="zh-CN"/>
        </w:rPr>
      </w:pPr>
      <w:r>
        <w:rPr>
          <w:rFonts w:hint="eastAsia" w:ascii="宋体" w:hAnsi="宋体" w:cs="仿宋"/>
          <w:color w:val="auto"/>
          <w:sz w:val="28"/>
          <w:szCs w:val="28"/>
          <w:highlight w:val="none"/>
          <w:u w:val="single"/>
          <w:lang w:eastAsia="zh-CN"/>
        </w:rPr>
        <w:t xml:space="preserve">                           （联合体成员二）</w:t>
      </w:r>
    </w:p>
    <w:p>
      <w:pPr>
        <w:spacing w:line="360" w:lineRule="auto"/>
        <w:ind w:firstLine="900" w:firstLineChars="300"/>
        <w:rPr>
          <w:rFonts w:ascii="宋体"/>
          <w:color w:val="auto"/>
          <w:sz w:val="30"/>
          <w:szCs w:val="30"/>
          <w:highlight w:val="none"/>
          <w:u w:val="single"/>
          <w:lang w:eastAsia="zh-CN"/>
        </w:rPr>
      </w:pPr>
    </w:p>
    <w:p>
      <w:pPr>
        <w:spacing w:line="360" w:lineRule="auto"/>
        <w:rPr>
          <w:rFonts w:ascii="宋体"/>
          <w:color w:val="auto"/>
          <w:sz w:val="30"/>
          <w:szCs w:val="30"/>
          <w:highlight w:val="none"/>
          <w:u w:val="single"/>
          <w:lang w:eastAsia="zh-CN"/>
        </w:rPr>
      </w:pPr>
    </w:p>
    <w:p>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pPr>
        <w:spacing w:line="240" w:lineRule="atLeast"/>
        <w:jc w:val="center"/>
        <w:rPr>
          <w:rFonts w:ascii="宋体"/>
          <w:b/>
          <w:bCs/>
          <w:color w:val="auto"/>
          <w:spacing w:val="20"/>
          <w:sz w:val="32"/>
          <w:szCs w:val="32"/>
          <w:highlight w:val="none"/>
          <w:lang w:eastAsia="zh-CN"/>
        </w:rPr>
      </w:pPr>
      <w:r>
        <w:rPr>
          <w:rFonts w:ascii="宋体" w:hAnsi="宋体" w:cs="宋体"/>
          <w:b/>
          <w:bCs/>
          <w:color w:val="auto"/>
          <w:spacing w:val="20"/>
          <w:sz w:val="32"/>
          <w:szCs w:val="32"/>
          <w:highlight w:val="none"/>
          <w:lang w:eastAsia="zh-CN"/>
        </w:rPr>
        <w:t xml:space="preserve">                            </w:t>
      </w:r>
      <w:r>
        <w:rPr>
          <w:rFonts w:hint="eastAsia" w:ascii="宋体" w:hAnsi="宋体" w:cs="宋体"/>
          <w:b/>
          <w:bCs/>
          <w:color w:val="auto"/>
          <w:spacing w:val="20"/>
          <w:sz w:val="32"/>
          <w:szCs w:val="32"/>
          <w:highlight w:val="none"/>
          <w:lang w:eastAsia="zh-CN"/>
        </w:rPr>
        <w:t>制定</w:t>
      </w:r>
    </w:p>
    <w:p>
      <w:pPr>
        <w:spacing w:line="240" w:lineRule="atLeast"/>
        <w:ind w:firstLine="2336" w:firstLineChars="500"/>
        <w:rPr>
          <w:rFonts w:ascii="宋体"/>
          <w:b/>
          <w:bCs/>
          <w:color w:val="auto"/>
          <w:spacing w:val="73"/>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pPr>
        <w:spacing w:line="240" w:lineRule="atLeast"/>
        <w:jc w:val="center"/>
        <w:rPr>
          <w:rFonts w:ascii="宋体"/>
          <w:b/>
          <w:bCs/>
          <w:color w:val="auto"/>
          <w:spacing w:val="20"/>
          <w:sz w:val="32"/>
          <w:szCs w:val="32"/>
          <w:highlight w:val="none"/>
          <w:lang w:eastAsia="zh-CN"/>
        </w:rPr>
      </w:pPr>
    </w:p>
    <w:p>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6" w:h="16838"/>
          <w:pgMar w:top="1361" w:right="1361" w:bottom="1361" w:left="1361" w:header="0" w:footer="0" w:gutter="0"/>
          <w:pgNumType w:start="1"/>
          <w:cols w:space="0" w:num="1"/>
        </w:sectPr>
      </w:pPr>
    </w:p>
    <w:p>
      <w:pPr>
        <w:jc w:val="center"/>
        <w:rPr>
          <w:rFonts w:cs="宋体"/>
          <w:b/>
          <w:color w:val="auto"/>
          <w:sz w:val="36"/>
          <w:szCs w:val="36"/>
          <w:highlight w:val="none"/>
          <w:lang w:eastAsia="zh-CN"/>
        </w:rPr>
      </w:pPr>
      <w:r>
        <w:rPr>
          <w:rFonts w:hint="eastAsia" w:cs="宋体"/>
          <w:b/>
          <w:color w:val="auto"/>
          <w:sz w:val="36"/>
          <w:szCs w:val="36"/>
          <w:highlight w:val="none"/>
          <w:lang w:eastAsia="zh-CN"/>
        </w:rPr>
        <w:t>目</w:t>
      </w:r>
      <w:r>
        <w:rPr>
          <w:b/>
          <w:color w:val="auto"/>
          <w:sz w:val="36"/>
          <w:szCs w:val="36"/>
          <w:highlight w:val="none"/>
          <w:lang w:eastAsia="zh-CN"/>
        </w:rPr>
        <w:t xml:space="preserve">   </w:t>
      </w:r>
      <w:r>
        <w:rPr>
          <w:rFonts w:hint="eastAsia" w:cs="宋体"/>
          <w:b/>
          <w:color w:val="auto"/>
          <w:sz w:val="36"/>
          <w:szCs w:val="36"/>
          <w:highlight w:val="none"/>
          <w:lang w:eastAsia="zh-CN"/>
        </w:rPr>
        <w:t>录</w:t>
      </w:r>
    </w:p>
    <w:sdt>
      <w:sdtPr>
        <w:rPr>
          <w:rFonts w:ascii="宋体" w:hAnsi="宋体"/>
          <w:color w:val="auto"/>
          <w:sz w:val="21"/>
          <w:highlight w:val="none"/>
        </w:rPr>
        <w:id w:val="147453403"/>
        <w:docPartObj>
          <w:docPartGallery w:val="Table of Contents"/>
          <w:docPartUnique/>
        </w:docPartObj>
      </w:sdtPr>
      <w:sdtEndPr>
        <w:rPr>
          <w:rFonts w:ascii="宋体" w:hAnsi="宋体"/>
          <w:color w:val="auto"/>
          <w:sz w:val="21"/>
          <w:highlight w:val="none"/>
        </w:rPr>
      </w:sdtEndPr>
      <w:sdtContent>
        <w:p>
          <w:pPr>
            <w:jc w:val="center"/>
            <w:rPr>
              <w:color w:val="auto"/>
              <w:highlight w:val="none"/>
            </w:rPr>
          </w:pPr>
        </w:p>
        <w:p>
          <w:pPr>
            <w:pStyle w:val="29"/>
            <w:tabs>
              <w:tab w:val="right" w:leader="dot" w:pos="9178"/>
            </w:tabs>
            <w:rPr>
              <w:color w:val="auto"/>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TOC \o "1-3" \h \u </w:instrText>
          </w:r>
          <w:r>
            <w:rPr>
              <w:rFonts w:hint="eastAsia" w:ascii="仿宋" w:hAnsi="仿宋" w:eastAsia="仿宋" w:cs="仿宋"/>
              <w:color w:val="auto"/>
              <w:sz w:val="24"/>
              <w:szCs w:val="24"/>
              <w:highlight w:val="none"/>
            </w:rPr>
            <w:fldChar w:fldCharType="separate"/>
          </w:r>
          <w:r>
            <w:rPr>
              <w:color w:val="auto"/>
              <w:highlight w:val="none"/>
            </w:rPr>
            <w:fldChar w:fldCharType="begin"/>
          </w:r>
          <w:r>
            <w:rPr>
              <w:color w:val="auto"/>
              <w:highlight w:val="none"/>
            </w:rPr>
            <w:instrText xml:space="preserve"> HYPERLINK \l "_Toc7011" </w:instrText>
          </w:r>
          <w:r>
            <w:rPr>
              <w:color w:val="auto"/>
              <w:highlight w:val="none"/>
            </w:rPr>
            <w:fldChar w:fldCharType="separate"/>
          </w:r>
          <w:r>
            <w:rPr>
              <w:rFonts w:hint="eastAsia" w:ascii="宋体" w:hAnsi="宋体" w:cs="宋体"/>
              <w:color w:val="auto"/>
              <w:szCs w:val="36"/>
              <w:highlight w:val="none"/>
              <w:lang w:eastAsia="zh-CN"/>
            </w:rPr>
            <w:t>第一部分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协</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议</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书</w:t>
          </w:r>
          <w:r>
            <w:rPr>
              <w:color w:val="auto"/>
              <w:highlight w:val="none"/>
            </w:rPr>
            <w:tab/>
          </w:r>
          <w:r>
            <w:rPr>
              <w:color w:val="auto"/>
              <w:highlight w:val="none"/>
            </w:rPr>
            <w:fldChar w:fldCharType="begin"/>
          </w:r>
          <w:r>
            <w:rPr>
              <w:color w:val="auto"/>
              <w:highlight w:val="none"/>
            </w:rPr>
            <w:instrText xml:space="preserve"> PAGEREF _Toc7011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"_Toc11487" </w:instrText>
          </w:r>
          <w:r>
            <w:rPr>
              <w:color w:val="auto"/>
              <w:highlight w:val="none"/>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_Toc11487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"_Toc9745" </w:instrText>
          </w:r>
          <w:r>
            <w:rPr>
              <w:color w:val="auto"/>
              <w:highlight w:val="none"/>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_Toc9745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"_Toc28858" </w:instrText>
          </w:r>
          <w:r>
            <w:rPr>
              <w:color w:val="auto"/>
              <w:highlight w:val="none"/>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_Toc28858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"_Toc28788" </w:instrText>
          </w:r>
          <w:r>
            <w:rPr>
              <w:color w:val="auto"/>
              <w:highlight w:val="none"/>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_Toc28788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"_Toc2773" </w:instrText>
          </w:r>
          <w:r>
            <w:rPr>
              <w:color w:val="auto"/>
              <w:highlight w:val="none"/>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_Toc2773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"_Toc1275" </w:instrText>
          </w:r>
          <w:r>
            <w:rPr>
              <w:color w:val="auto"/>
              <w:highlight w:val="none"/>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_Toc1275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"_Toc14556" </w:instrText>
          </w:r>
          <w:r>
            <w:rPr>
              <w:color w:val="auto"/>
              <w:highlight w:val="none"/>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_Toc14556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"_Toc31665" </w:instrText>
          </w:r>
          <w:r>
            <w:rPr>
              <w:color w:val="auto"/>
              <w:highlight w:val="none"/>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_Toc31665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"_Toc1913" </w:instrText>
          </w:r>
          <w:r>
            <w:rPr>
              <w:color w:val="auto"/>
              <w:highlight w:val="none"/>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_Toc1913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"_Toc22586" </w:instrText>
          </w:r>
          <w:r>
            <w:rPr>
              <w:color w:val="auto"/>
              <w:highlight w:val="none"/>
            </w:rPr>
            <w:fldChar w:fldCharType="separate"/>
          </w:r>
          <w:r>
            <w:rPr>
              <w:rFonts w:hint="eastAsia" w:ascii="仿宋" w:hAnsi="仿宋" w:eastAsia="仿宋" w:cs="仿宋"/>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_Toc22586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"_Toc30427" </w:instrText>
          </w:r>
          <w:r>
            <w:rPr>
              <w:color w:val="auto"/>
              <w:highlight w:val="none"/>
            </w:rPr>
            <w:fldChar w:fldCharType="separate"/>
          </w:r>
          <w:r>
            <w:rPr>
              <w:rFonts w:hint="eastAsia" w:ascii="仿宋" w:hAnsi="仿宋" w:eastAsia="仿宋" w:cs="仿宋"/>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_Toc30427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"_Toc24766" </w:instrText>
          </w:r>
          <w:r>
            <w:rPr>
              <w:color w:val="auto"/>
              <w:highlight w:val="none"/>
            </w:rPr>
            <w:fldChar w:fldCharType="separate"/>
          </w:r>
          <w:r>
            <w:rPr>
              <w:rFonts w:hint="eastAsia" w:ascii="仿宋" w:hAnsi="仿宋" w:eastAsia="仿宋" w:cs="仿宋"/>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_Toc24766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"_Toc10355" </w:instrText>
          </w:r>
          <w:r>
            <w:rPr>
              <w:color w:val="auto"/>
              <w:highlight w:val="none"/>
            </w:rPr>
            <w:fldChar w:fldCharType="separate"/>
          </w:r>
          <w:r>
            <w:rPr>
              <w:rFonts w:hint="eastAsia" w:ascii="仿宋" w:hAnsi="仿宋" w:eastAsia="仿宋" w:cs="仿宋"/>
              <w:bCs/>
              <w:color w:val="auto"/>
              <w:highlight w:val="none"/>
              <w:lang w:eastAsia="zh-CN"/>
            </w:rPr>
            <w:t>十三、合同生效</w:t>
          </w:r>
          <w:r>
            <w:rPr>
              <w:color w:val="auto"/>
              <w:highlight w:val="none"/>
            </w:rPr>
            <w:tab/>
          </w:r>
          <w:r>
            <w:rPr>
              <w:color w:val="auto"/>
              <w:highlight w:val="none"/>
            </w:rPr>
            <w:fldChar w:fldCharType="begin"/>
          </w:r>
          <w:r>
            <w:rPr>
              <w:color w:val="auto"/>
              <w:highlight w:val="none"/>
            </w:rPr>
            <w:instrText xml:space="preserve"> PAGEREF _Toc10355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"_Toc32040" </w:instrText>
          </w:r>
          <w:r>
            <w:rPr>
              <w:color w:val="auto"/>
              <w:highlight w:val="none"/>
            </w:rPr>
            <w:fldChar w:fldCharType="separate"/>
          </w:r>
          <w:r>
            <w:rPr>
              <w:rFonts w:hint="eastAsia" w:ascii="仿宋" w:hAnsi="仿宋" w:eastAsia="仿宋" w:cs="仿宋"/>
              <w:bCs/>
              <w:color w:val="auto"/>
              <w:highlight w:val="none"/>
              <w:lang w:eastAsia="zh-CN"/>
            </w:rPr>
            <w:t>十四、合同份数</w:t>
          </w:r>
          <w:r>
            <w:rPr>
              <w:color w:val="auto"/>
              <w:highlight w:val="none"/>
            </w:rPr>
            <w:tab/>
          </w:r>
          <w:r>
            <w:rPr>
              <w:color w:val="auto"/>
              <w:highlight w:val="none"/>
            </w:rPr>
            <w:fldChar w:fldCharType="begin"/>
          </w:r>
          <w:r>
            <w:rPr>
              <w:color w:val="auto"/>
              <w:highlight w:val="none"/>
            </w:rPr>
            <w:instrText xml:space="preserve"> PAGEREF _Toc32040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"_Toc1978" </w:instrText>
          </w:r>
          <w:r>
            <w:rPr>
              <w:color w:val="auto"/>
              <w:highlight w:val="none"/>
            </w:rPr>
            <w:fldChar w:fldCharType="separate"/>
          </w:r>
          <w:r>
            <w:rPr>
              <w:rFonts w:hint="eastAsia" w:ascii="仿宋" w:hAnsi="仿宋" w:eastAsia="仿宋" w:cs="仿宋"/>
              <w:bCs/>
              <w:color w:val="auto"/>
              <w:highlight w:val="none"/>
              <w:lang w:eastAsia="zh-CN"/>
            </w:rPr>
            <w:t>十五、其他</w:t>
          </w:r>
          <w:r>
            <w:rPr>
              <w:color w:val="auto"/>
              <w:highlight w:val="none"/>
            </w:rPr>
            <w:tab/>
          </w:r>
          <w:r>
            <w:rPr>
              <w:color w:val="auto"/>
              <w:highlight w:val="none"/>
            </w:rPr>
            <w:fldChar w:fldCharType="begin"/>
          </w:r>
          <w:r>
            <w:rPr>
              <w:color w:val="auto"/>
              <w:highlight w:val="none"/>
            </w:rPr>
            <w:instrText xml:space="preserve"> PAGEREF _Toc1978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"_Toc26981" </w:instrText>
          </w:r>
          <w:r>
            <w:rPr>
              <w:color w:val="auto"/>
              <w:highlight w:val="none"/>
            </w:rPr>
            <w:fldChar w:fldCharType="separate"/>
          </w:r>
          <w:r>
            <w:rPr>
              <w:rFonts w:hint="eastAsia" w:ascii="宋体" w:hAnsi="宋体" w:cs="宋体"/>
              <w:color w:val="auto"/>
              <w:szCs w:val="36"/>
              <w:highlight w:val="none"/>
              <w:lang w:eastAsia="zh-CN"/>
            </w:rPr>
            <w:t>第二部分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_Toc26981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"_Toc11765" </w:instrText>
          </w:r>
          <w:r>
            <w:rPr>
              <w:color w:val="auto"/>
              <w:highlight w:val="none"/>
            </w:rPr>
            <w:fldChar w:fldCharType="separate"/>
          </w:r>
          <w:r>
            <w:rPr>
              <w:rFonts w:hint="eastAsia" w:hAnsi="宋体"/>
              <w:bCs/>
              <w:color w:val="auto"/>
              <w:szCs w:val="32"/>
              <w:highlight w:val="none"/>
            </w:rPr>
            <w:t>一、总</w:t>
          </w:r>
          <w:r>
            <w:rPr>
              <w:rFonts w:hAnsi="宋体"/>
              <w:bCs/>
              <w:color w:val="auto"/>
              <w:szCs w:val="32"/>
              <w:highlight w:val="none"/>
            </w:rPr>
            <w:t xml:space="preserve">  </w:t>
          </w:r>
          <w:r>
            <w:rPr>
              <w:rFonts w:hint="eastAsia" w:hAnsi="宋体"/>
              <w:bCs/>
              <w:color w:val="auto"/>
              <w:szCs w:val="32"/>
              <w:highlight w:val="none"/>
            </w:rPr>
            <w:t>则</w:t>
          </w:r>
          <w:r>
            <w:rPr>
              <w:color w:val="auto"/>
              <w:highlight w:val="none"/>
            </w:rPr>
            <w:tab/>
          </w:r>
          <w:r>
            <w:rPr>
              <w:color w:val="auto"/>
              <w:highlight w:val="none"/>
            </w:rPr>
            <w:fldChar w:fldCharType="begin"/>
          </w:r>
          <w:r>
            <w:rPr>
              <w:color w:val="auto"/>
              <w:highlight w:val="none"/>
            </w:rPr>
            <w:instrText xml:space="preserve"> PAGEREF _Toc11765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"_Toc6785" </w:instrText>
          </w:r>
          <w:r>
            <w:rPr>
              <w:color w:val="auto"/>
              <w:highlight w:val="none"/>
            </w:rPr>
            <w:fldChar w:fldCharType="separate"/>
          </w:r>
          <w:r>
            <w:rPr>
              <w:rFonts w:ascii="仿宋" w:hAnsi="仿宋" w:eastAsia="仿宋" w:cs="仿宋"/>
              <w:bCs/>
              <w:color w:val="auto"/>
              <w:szCs w:val="24"/>
              <w:highlight w:val="none"/>
            </w:rPr>
            <w:t xml:space="preserve">1 </w:t>
          </w:r>
          <w:r>
            <w:rPr>
              <w:rFonts w:hint="eastAsia" w:ascii="仿宋" w:hAnsi="仿宋" w:eastAsia="仿宋" w:cs="仿宋"/>
              <w:bCs/>
              <w:color w:val="auto"/>
              <w:szCs w:val="24"/>
              <w:highlight w:val="none"/>
            </w:rPr>
            <w:t>定义</w:t>
          </w:r>
          <w:r>
            <w:rPr>
              <w:color w:val="auto"/>
              <w:highlight w:val="none"/>
            </w:rPr>
            <w:tab/>
          </w:r>
          <w:r>
            <w:rPr>
              <w:color w:val="auto"/>
              <w:highlight w:val="none"/>
            </w:rPr>
            <w:fldChar w:fldCharType="begin"/>
          </w:r>
          <w:r>
            <w:rPr>
              <w:color w:val="auto"/>
              <w:highlight w:val="none"/>
            </w:rPr>
            <w:instrText xml:space="preserve"> PAGEREF _Toc6785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"_Toc342" </w:instrText>
          </w:r>
          <w:r>
            <w:rPr>
              <w:color w:val="auto"/>
              <w:highlight w:val="none"/>
            </w:rPr>
            <w:fldChar w:fldCharType="separate"/>
          </w:r>
          <w:r>
            <w:rPr>
              <w:rFonts w:ascii="仿宋" w:hAnsi="仿宋" w:eastAsia="仿宋" w:cs="仿宋"/>
              <w:color w:val="auto"/>
              <w:szCs w:val="24"/>
              <w:highlight w:val="none"/>
            </w:rPr>
            <w:t xml:space="preserve">2 </w:t>
          </w:r>
          <w:r>
            <w:rPr>
              <w:rFonts w:hint="eastAsia" w:ascii="仿宋" w:hAnsi="仿宋" w:eastAsia="仿宋" w:cs="仿宋"/>
              <w:color w:val="auto"/>
              <w:szCs w:val="24"/>
              <w:highlight w:val="none"/>
            </w:rPr>
            <w:t>合同文件及解释</w:t>
          </w:r>
          <w:r>
            <w:rPr>
              <w:color w:val="auto"/>
              <w:highlight w:val="none"/>
            </w:rPr>
            <w:tab/>
          </w:r>
          <w:r>
            <w:rPr>
              <w:color w:val="auto"/>
              <w:highlight w:val="none"/>
            </w:rPr>
            <w:fldChar w:fldCharType="begin"/>
          </w:r>
          <w:r>
            <w:rPr>
              <w:color w:val="auto"/>
              <w:highlight w:val="none"/>
            </w:rPr>
            <w:instrText xml:space="preserve"> PAGEREF _Toc342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"_Toc30171" </w:instrText>
          </w:r>
          <w:r>
            <w:rPr>
              <w:color w:val="auto"/>
              <w:highlight w:val="none"/>
            </w:rPr>
            <w:fldChar w:fldCharType="separate"/>
          </w:r>
          <w:r>
            <w:rPr>
              <w:rFonts w:ascii="仿宋" w:hAnsi="仿宋" w:eastAsia="仿宋" w:cs="仿宋"/>
              <w:color w:val="auto"/>
              <w:szCs w:val="24"/>
              <w:highlight w:val="none"/>
            </w:rPr>
            <w:t xml:space="preserve">3 </w:t>
          </w:r>
          <w:r>
            <w:rPr>
              <w:rFonts w:hint="eastAsia" w:ascii="仿宋" w:hAnsi="仿宋" w:eastAsia="仿宋" w:cs="仿宋"/>
              <w:color w:val="auto"/>
              <w:szCs w:val="24"/>
              <w:highlight w:val="none"/>
            </w:rPr>
            <w:t>阅读、理解与接受</w:t>
          </w:r>
          <w:r>
            <w:rPr>
              <w:color w:val="auto"/>
              <w:highlight w:val="none"/>
            </w:rPr>
            <w:tab/>
          </w:r>
          <w:r>
            <w:rPr>
              <w:color w:val="auto"/>
              <w:highlight w:val="none"/>
            </w:rPr>
            <w:fldChar w:fldCharType="begin"/>
          </w:r>
          <w:r>
            <w:rPr>
              <w:color w:val="auto"/>
              <w:highlight w:val="none"/>
            </w:rPr>
            <w:instrText xml:space="preserve"> PAGEREF _Toc30171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"_Toc20974" </w:instrText>
          </w:r>
          <w:r>
            <w:rPr>
              <w:color w:val="auto"/>
              <w:highlight w:val="none"/>
            </w:rPr>
            <w:fldChar w:fldCharType="separate"/>
          </w:r>
          <w:r>
            <w:rPr>
              <w:rFonts w:ascii="仿宋" w:hAnsi="仿宋" w:eastAsia="仿宋" w:cs="仿宋"/>
              <w:color w:val="auto"/>
              <w:szCs w:val="24"/>
              <w:highlight w:val="none"/>
            </w:rPr>
            <w:t xml:space="preserve">4 </w:t>
          </w:r>
          <w:r>
            <w:rPr>
              <w:rFonts w:hint="eastAsia" w:ascii="仿宋" w:hAnsi="仿宋" w:eastAsia="仿宋" w:cs="仿宋"/>
              <w:color w:val="auto"/>
              <w:szCs w:val="24"/>
              <w:highlight w:val="none"/>
            </w:rPr>
            <w:t>语言及适用的法律、标准与规范</w:t>
          </w:r>
          <w:r>
            <w:rPr>
              <w:color w:val="auto"/>
              <w:highlight w:val="none"/>
            </w:rPr>
            <w:tab/>
          </w:r>
          <w:r>
            <w:rPr>
              <w:color w:val="auto"/>
              <w:highlight w:val="none"/>
            </w:rPr>
            <w:fldChar w:fldCharType="begin"/>
          </w:r>
          <w:r>
            <w:rPr>
              <w:color w:val="auto"/>
              <w:highlight w:val="none"/>
            </w:rPr>
            <w:instrText xml:space="preserve"> PAGEREF _Toc20974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"_Toc12996" </w:instrText>
          </w:r>
          <w:r>
            <w:rPr>
              <w:color w:val="auto"/>
              <w:highlight w:val="none"/>
            </w:rPr>
            <w:fldChar w:fldCharType="separate"/>
          </w:r>
          <w:r>
            <w:rPr>
              <w:rFonts w:hint="eastAsia" w:ascii="仿宋" w:hAnsi="仿宋" w:eastAsia="仿宋" w:cs="仿宋"/>
              <w:color w:val="auto"/>
              <w:szCs w:val="24"/>
              <w:highlight w:val="none"/>
            </w:rPr>
            <w:t>5 发包人要求</w:t>
          </w:r>
          <w:r>
            <w:rPr>
              <w:color w:val="auto"/>
              <w:highlight w:val="none"/>
            </w:rPr>
            <w:tab/>
          </w:r>
          <w:r>
            <w:rPr>
              <w:color w:val="auto"/>
              <w:highlight w:val="none"/>
            </w:rPr>
            <w:fldChar w:fldCharType="begin"/>
          </w:r>
          <w:r>
            <w:rPr>
              <w:color w:val="auto"/>
              <w:highlight w:val="none"/>
            </w:rPr>
            <w:instrText xml:space="preserve"> PAGEREF _Toc12996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"_Toc2880" </w:instrText>
          </w:r>
          <w:r>
            <w:rPr>
              <w:color w:val="auto"/>
              <w:highlight w:val="none"/>
            </w:rPr>
            <w:fldChar w:fldCharType="separate"/>
          </w:r>
          <w:r>
            <w:rPr>
              <w:rFonts w:hint="eastAsia" w:ascii="仿宋" w:hAnsi="仿宋" w:eastAsia="仿宋" w:cs="仿宋"/>
              <w:color w:val="auto"/>
              <w:szCs w:val="24"/>
              <w:highlight w:val="none"/>
            </w:rPr>
            <w:t>6 项目基础资料</w:t>
          </w:r>
          <w:r>
            <w:rPr>
              <w:color w:val="auto"/>
              <w:highlight w:val="none"/>
            </w:rPr>
            <w:tab/>
          </w:r>
          <w:r>
            <w:rPr>
              <w:color w:val="auto"/>
              <w:highlight w:val="none"/>
            </w:rPr>
            <w:fldChar w:fldCharType="begin"/>
          </w:r>
          <w:r>
            <w:rPr>
              <w:color w:val="auto"/>
              <w:highlight w:val="none"/>
            </w:rPr>
            <w:instrText xml:space="preserve"> PAGEREF _Toc2880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"_Toc16964" </w:instrText>
          </w:r>
          <w:r>
            <w:rPr>
              <w:color w:val="auto"/>
              <w:highlight w:val="none"/>
            </w:rPr>
            <w:fldChar w:fldCharType="separate"/>
          </w:r>
          <w:r>
            <w:rPr>
              <w:rFonts w:hint="eastAsia" w:ascii="仿宋" w:hAnsi="仿宋" w:eastAsia="仿宋" w:cs="仿宋"/>
              <w:color w:val="auto"/>
              <w:szCs w:val="24"/>
              <w:highlight w:val="none"/>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_Toc16964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"_Toc1921" </w:instrText>
          </w:r>
          <w:r>
            <w:rPr>
              <w:color w:val="auto"/>
              <w:highlight w:val="none"/>
            </w:rPr>
            <w:fldChar w:fldCharType="separate"/>
          </w:r>
          <w:r>
            <w:rPr>
              <w:rFonts w:hint="eastAsia" w:ascii="仿宋" w:hAnsi="仿宋" w:eastAsia="仿宋" w:cs="仿宋"/>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_Toc1921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"_Toc13788" </w:instrText>
          </w:r>
          <w:r>
            <w:rPr>
              <w:color w:val="auto"/>
              <w:highlight w:val="none"/>
            </w:rPr>
            <w:fldChar w:fldCharType="separate"/>
          </w:r>
          <w:r>
            <w:rPr>
              <w:rFonts w:hint="eastAsia" w:ascii="仿宋" w:hAnsi="仿宋" w:eastAsia="仿宋" w:cs="仿宋"/>
              <w:color w:val="auto"/>
              <w:szCs w:val="24"/>
              <w:highlight w:val="none"/>
            </w:rPr>
            <w:t>9</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通讯联络</w:t>
          </w:r>
          <w:r>
            <w:rPr>
              <w:color w:val="auto"/>
              <w:highlight w:val="none"/>
            </w:rPr>
            <w:tab/>
          </w:r>
          <w:r>
            <w:rPr>
              <w:color w:val="auto"/>
              <w:highlight w:val="none"/>
            </w:rPr>
            <w:fldChar w:fldCharType="begin"/>
          </w:r>
          <w:r>
            <w:rPr>
              <w:color w:val="auto"/>
              <w:highlight w:val="none"/>
            </w:rPr>
            <w:instrText xml:space="preserve"> PAGEREF _Toc13788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"_Toc14792" </w:instrText>
          </w:r>
          <w:r>
            <w:rPr>
              <w:color w:val="auto"/>
              <w:highlight w:val="none"/>
            </w:rPr>
            <w:fldChar w:fldCharType="separate"/>
          </w:r>
          <w:r>
            <w:rPr>
              <w:rFonts w:hint="eastAsia" w:ascii="仿宋" w:hAnsi="仿宋" w:eastAsia="仿宋" w:cs="仿宋"/>
              <w:color w:val="auto"/>
              <w:szCs w:val="24"/>
              <w:highlight w:val="none"/>
            </w:rPr>
            <w:t>10</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分包</w:t>
          </w:r>
          <w:r>
            <w:rPr>
              <w:color w:val="auto"/>
              <w:highlight w:val="none"/>
            </w:rPr>
            <w:tab/>
          </w:r>
          <w:r>
            <w:rPr>
              <w:color w:val="auto"/>
              <w:highlight w:val="none"/>
            </w:rPr>
            <w:fldChar w:fldCharType="begin"/>
          </w:r>
          <w:r>
            <w:rPr>
              <w:color w:val="auto"/>
              <w:highlight w:val="none"/>
            </w:rPr>
            <w:instrText xml:space="preserve"> PAGEREF _Toc14792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"_Toc9594" </w:instrText>
          </w:r>
          <w:r>
            <w:rPr>
              <w:color w:val="auto"/>
              <w:highlight w:val="none"/>
            </w:rPr>
            <w:fldChar w:fldCharType="separate"/>
          </w:r>
          <w:r>
            <w:rPr>
              <w:rFonts w:hint="eastAsia" w:ascii="仿宋" w:hAnsi="仿宋" w:eastAsia="仿宋" w:cs="仿宋"/>
              <w:color w:val="auto"/>
              <w:szCs w:val="24"/>
              <w:highlight w:val="none"/>
            </w:rPr>
            <w:t>11</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现场查勘</w:t>
          </w:r>
          <w:r>
            <w:rPr>
              <w:color w:val="auto"/>
              <w:highlight w:val="none"/>
            </w:rPr>
            <w:tab/>
          </w:r>
          <w:r>
            <w:rPr>
              <w:color w:val="auto"/>
              <w:highlight w:val="none"/>
            </w:rPr>
            <w:fldChar w:fldCharType="begin"/>
          </w:r>
          <w:r>
            <w:rPr>
              <w:color w:val="auto"/>
              <w:highlight w:val="none"/>
            </w:rPr>
            <w:instrText xml:space="preserve"> PAGEREF _Toc9594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"_Toc20149" </w:instrText>
          </w:r>
          <w:r>
            <w:rPr>
              <w:color w:val="auto"/>
              <w:highlight w:val="none"/>
            </w:rPr>
            <w:fldChar w:fldCharType="separate"/>
          </w:r>
          <w:r>
            <w:rPr>
              <w:rFonts w:hint="eastAsia" w:ascii="仿宋" w:hAnsi="仿宋" w:eastAsia="仿宋" w:cs="仿宋"/>
              <w:color w:val="auto"/>
              <w:szCs w:val="24"/>
              <w:highlight w:val="none"/>
            </w:rPr>
            <w:t>12</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招标错失的修正</w:t>
          </w:r>
          <w:r>
            <w:rPr>
              <w:color w:val="auto"/>
              <w:highlight w:val="none"/>
            </w:rPr>
            <w:tab/>
          </w:r>
          <w:r>
            <w:rPr>
              <w:color w:val="auto"/>
              <w:highlight w:val="none"/>
            </w:rPr>
            <w:fldChar w:fldCharType="begin"/>
          </w:r>
          <w:r>
            <w:rPr>
              <w:color w:val="auto"/>
              <w:highlight w:val="none"/>
            </w:rPr>
            <w:instrText xml:space="preserve"> PAGEREF _Toc20149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"_Toc22016" </w:instrText>
          </w:r>
          <w:r>
            <w:rPr>
              <w:color w:val="auto"/>
              <w:highlight w:val="none"/>
            </w:rPr>
            <w:fldChar w:fldCharType="separate"/>
          </w:r>
          <w:r>
            <w:rPr>
              <w:rFonts w:ascii="仿宋" w:hAnsi="仿宋" w:eastAsia="仿宋" w:cs="仿宋"/>
              <w:color w:val="auto"/>
              <w:szCs w:val="24"/>
              <w:highlight w:val="none"/>
            </w:rPr>
            <w:t>1</w:t>
          </w:r>
          <w:r>
            <w:rPr>
              <w:rFonts w:hint="eastAsia" w:ascii="仿宋" w:hAnsi="仿宋" w:eastAsia="仿宋" w:cs="仿宋"/>
              <w:color w:val="auto"/>
              <w:szCs w:val="24"/>
              <w:highlight w:val="none"/>
            </w:rPr>
            <w:t>3</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投标文件的完备性</w:t>
          </w:r>
          <w:r>
            <w:rPr>
              <w:color w:val="auto"/>
              <w:highlight w:val="none"/>
            </w:rPr>
            <w:tab/>
          </w:r>
          <w:r>
            <w:rPr>
              <w:color w:val="auto"/>
              <w:highlight w:val="none"/>
            </w:rPr>
            <w:fldChar w:fldCharType="begin"/>
          </w:r>
          <w:r>
            <w:rPr>
              <w:color w:val="auto"/>
              <w:highlight w:val="none"/>
            </w:rPr>
            <w:instrText xml:space="preserve"> PAGEREF _Toc22016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"_Toc8026" </w:instrText>
          </w:r>
          <w:r>
            <w:rPr>
              <w:color w:val="auto"/>
              <w:highlight w:val="none"/>
            </w:rPr>
            <w:fldChar w:fldCharType="separate"/>
          </w:r>
          <w:r>
            <w:rPr>
              <w:rFonts w:ascii="仿宋" w:hAnsi="仿宋" w:eastAsia="仿宋" w:cs="仿宋"/>
              <w:color w:val="auto"/>
              <w:szCs w:val="24"/>
              <w:highlight w:val="none"/>
            </w:rPr>
            <w:t>1</w:t>
          </w:r>
          <w:r>
            <w:rPr>
              <w:rFonts w:hint="eastAsia" w:ascii="仿宋" w:hAnsi="仿宋" w:eastAsia="仿宋" w:cs="仿宋"/>
              <w:color w:val="auto"/>
              <w:szCs w:val="24"/>
              <w:highlight w:val="none"/>
            </w:rPr>
            <w:t>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文物和地下障碍物</w:t>
          </w:r>
          <w:r>
            <w:rPr>
              <w:color w:val="auto"/>
              <w:highlight w:val="none"/>
            </w:rPr>
            <w:tab/>
          </w:r>
          <w:r>
            <w:rPr>
              <w:color w:val="auto"/>
              <w:highlight w:val="none"/>
            </w:rPr>
            <w:fldChar w:fldCharType="begin"/>
          </w:r>
          <w:r>
            <w:rPr>
              <w:color w:val="auto"/>
              <w:highlight w:val="none"/>
            </w:rPr>
            <w:instrText xml:space="preserve"> PAGEREF _Toc8026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"_Toc11530" </w:instrText>
          </w:r>
          <w:r>
            <w:rPr>
              <w:color w:val="auto"/>
              <w:highlight w:val="none"/>
            </w:rPr>
            <w:fldChar w:fldCharType="separate"/>
          </w:r>
          <w:r>
            <w:rPr>
              <w:rFonts w:ascii="仿宋" w:hAnsi="仿宋" w:eastAsia="仿宋" w:cs="仿宋"/>
              <w:color w:val="auto"/>
              <w:szCs w:val="24"/>
              <w:highlight w:val="none"/>
            </w:rPr>
            <w:t>1</w:t>
          </w:r>
          <w:r>
            <w:rPr>
              <w:rFonts w:hint="eastAsia" w:ascii="仿宋" w:hAnsi="仿宋" w:eastAsia="仿宋" w:cs="仿宋"/>
              <w:color w:val="auto"/>
              <w:szCs w:val="24"/>
              <w:highlight w:val="none"/>
            </w:rPr>
            <w:t>5</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事故处理</w:t>
          </w:r>
          <w:r>
            <w:rPr>
              <w:color w:val="auto"/>
              <w:highlight w:val="none"/>
            </w:rPr>
            <w:tab/>
          </w:r>
          <w:r>
            <w:rPr>
              <w:color w:val="auto"/>
              <w:highlight w:val="none"/>
            </w:rPr>
            <w:fldChar w:fldCharType="begin"/>
          </w:r>
          <w:r>
            <w:rPr>
              <w:color w:val="auto"/>
              <w:highlight w:val="none"/>
            </w:rPr>
            <w:instrText xml:space="preserve"> PAGEREF _Toc11530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"_Toc28782" </w:instrText>
          </w:r>
          <w:r>
            <w:rPr>
              <w:color w:val="auto"/>
              <w:highlight w:val="none"/>
            </w:rPr>
            <w:fldChar w:fldCharType="separate"/>
          </w:r>
          <w:r>
            <w:rPr>
              <w:rFonts w:ascii="仿宋" w:hAnsi="仿宋" w:eastAsia="仿宋" w:cs="仿宋"/>
              <w:color w:val="auto"/>
              <w:szCs w:val="24"/>
              <w:highlight w:val="none"/>
            </w:rPr>
            <w:t>1</w:t>
          </w:r>
          <w:r>
            <w:rPr>
              <w:rFonts w:hint="eastAsia" w:ascii="仿宋" w:hAnsi="仿宋" w:eastAsia="仿宋" w:cs="仿宋"/>
              <w:color w:val="auto"/>
              <w:szCs w:val="24"/>
              <w:highlight w:val="none"/>
            </w:rPr>
            <w:t>6</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交通运输</w:t>
          </w:r>
          <w:r>
            <w:rPr>
              <w:color w:val="auto"/>
              <w:highlight w:val="none"/>
            </w:rPr>
            <w:tab/>
          </w:r>
          <w:r>
            <w:rPr>
              <w:color w:val="auto"/>
              <w:highlight w:val="none"/>
            </w:rPr>
            <w:fldChar w:fldCharType="begin"/>
          </w:r>
          <w:r>
            <w:rPr>
              <w:color w:val="auto"/>
              <w:highlight w:val="none"/>
            </w:rPr>
            <w:instrText xml:space="preserve"> PAGEREF _Toc28782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"_Toc9176" </w:instrText>
          </w:r>
          <w:r>
            <w:rPr>
              <w:color w:val="auto"/>
              <w:highlight w:val="none"/>
            </w:rPr>
            <w:fldChar w:fldCharType="separate"/>
          </w:r>
          <w:r>
            <w:rPr>
              <w:rFonts w:ascii="仿宋" w:hAnsi="仿宋" w:eastAsia="仿宋" w:cs="仿宋"/>
              <w:color w:val="auto"/>
              <w:szCs w:val="24"/>
              <w:highlight w:val="none"/>
            </w:rPr>
            <w:t>1</w:t>
          </w:r>
          <w:r>
            <w:rPr>
              <w:rFonts w:hint="eastAsia" w:ascii="仿宋" w:hAnsi="仿宋" w:eastAsia="仿宋" w:cs="仿宋"/>
              <w:color w:val="auto"/>
              <w:szCs w:val="24"/>
              <w:highlight w:val="none"/>
            </w:rPr>
            <w:t>7</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专项批准事项的签认</w:t>
          </w:r>
          <w:r>
            <w:rPr>
              <w:color w:val="auto"/>
              <w:highlight w:val="none"/>
            </w:rPr>
            <w:tab/>
          </w:r>
          <w:r>
            <w:rPr>
              <w:color w:val="auto"/>
              <w:highlight w:val="none"/>
            </w:rPr>
            <w:fldChar w:fldCharType="begin"/>
          </w:r>
          <w:r>
            <w:rPr>
              <w:color w:val="auto"/>
              <w:highlight w:val="none"/>
            </w:rPr>
            <w:instrText xml:space="preserve"> PAGEREF _Toc9176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"_Toc2062" </w:instrText>
          </w:r>
          <w:r>
            <w:rPr>
              <w:color w:val="auto"/>
              <w:highlight w:val="none"/>
            </w:rPr>
            <w:fldChar w:fldCharType="separate"/>
          </w:r>
          <w:r>
            <w:rPr>
              <w:rFonts w:ascii="仿宋" w:hAnsi="仿宋" w:eastAsia="仿宋" w:cs="仿宋"/>
              <w:color w:val="auto"/>
              <w:szCs w:val="24"/>
              <w:highlight w:val="none"/>
            </w:rPr>
            <w:t>1</w:t>
          </w:r>
          <w:r>
            <w:rPr>
              <w:rFonts w:hint="eastAsia" w:ascii="仿宋" w:hAnsi="仿宋" w:eastAsia="仿宋" w:cs="仿宋"/>
              <w:color w:val="auto"/>
              <w:szCs w:val="24"/>
              <w:highlight w:val="none"/>
            </w:rPr>
            <w:t>8</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专利技术和知识产权</w:t>
          </w:r>
          <w:r>
            <w:rPr>
              <w:color w:val="auto"/>
              <w:highlight w:val="none"/>
            </w:rPr>
            <w:tab/>
          </w:r>
          <w:r>
            <w:rPr>
              <w:color w:val="auto"/>
              <w:highlight w:val="none"/>
            </w:rPr>
            <w:fldChar w:fldCharType="begin"/>
          </w:r>
          <w:r>
            <w:rPr>
              <w:color w:val="auto"/>
              <w:highlight w:val="none"/>
            </w:rPr>
            <w:instrText xml:space="preserve"> PAGEREF _Toc2062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"_Toc14976" </w:instrText>
          </w:r>
          <w:r>
            <w:rPr>
              <w:color w:val="auto"/>
              <w:highlight w:val="none"/>
            </w:rPr>
            <w:fldChar w:fldCharType="separate"/>
          </w:r>
          <w:r>
            <w:rPr>
              <w:rFonts w:ascii="仿宋" w:hAnsi="仿宋" w:eastAsia="仿宋" w:cs="仿宋"/>
              <w:color w:val="auto"/>
              <w:szCs w:val="24"/>
              <w:highlight w:val="none"/>
            </w:rPr>
            <w:t>1</w:t>
          </w:r>
          <w:r>
            <w:rPr>
              <w:rFonts w:hint="eastAsia" w:ascii="仿宋" w:hAnsi="仿宋" w:eastAsia="仿宋" w:cs="仿宋"/>
              <w:color w:val="auto"/>
              <w:szCs w:val="24"/>
              <w:highlight w:val="none"/>
            </w:rPr>
            <w:t>9</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 xml:space="preserve"> 联合体</w:t>
          </w:r>
          <w:r>
            <w:rPr>
              <w:color w:val="auto"/>
              <w:highlight w:val="none"/>
            </w:rPr>
            <w:tab/>
          </w:r>
          <w:r>
            <w:rPr>
              <w:color w:val="auto"/>
              <w:highlight w:val="none"/>
            </w:rPr>
            <w:fldChar w:fldCharType="begin"/>
          </w:r>
          <w:r>
            <w:rPr>
              <w:color w:val="auto"/>
              <w:highlight w:val="none"/>
            </w:rPr>
            <w:instrText xml:space="preserve"> PAGEREF _Toc14976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"_Toc13980" </w:instrText>
          </w:r>
          <w:r>
            <w:rPr>
              <w:color w:val="auto"/>
              <w:highlight w:val="none"/>
            </w:rPr>
            <w:fldChar w:fldCharType="separate"/>
          </w:r>
          <w:r>
            <w:rPr>
              <w:rFonts w:hint="eastAsia" w:ascii="仿宋" w:hAnsi="仿宋" w:eastAsia="仿宋" w:cs="仿宋"/>
              <w:color w:val="auto"/>
              <w:szCs w:val="24"/>
              <w:highlight w:val="none"/>
            </w:rPr>
            <w:t>20</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保障</w:t>
          </w:r>
          <w:r>
            <w:rPr>
              <w:color w:val="auto"/>
              <w:highlight w:val="none"/>
            </w:rPr>
            <w:tab/>
          </w:r>
          <w:r>
            <w:rPr>
              <w:color w:val="auto"/>
              <w:highlight w:val="none"/>
            </w:rPr>
            <w:fldChar w:fldCharType="begin"/>
          </w:r>
          <w:r>
            <w:rPr>
              <w:color w:val="auto"/>
              <w:highlight w:val="none"/>
            </w:rPr>
            <w:instrText xml:space="preserve"> PAGEREF _Toc13980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"_Toc13793" </w:instrText>
          </w:r>
          <w:r>
            <w:rPr>
              <w:color w:val="auto"/>
              <w:highlight w:val="none"/>
            </w:rPr>
            <w:fldChar w:fldCharType="separate"/>
          </w:r>
          <w:r>
            <w:rPr>
              <w:rFonts w:hint="eastAsia" w:ascii="仿宋" w:hAnsi="仿宋" w:eastAsia="仿宋" w:cs="仿宋"/>
              <w:color w:val="auto"/>
              <w:szCs w:val="24"/>
              <w:highlight w:val="none"/>
            </w:rPr>
            <w:t>21</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财产</w:t>
          </w:r>
          <w:r>
            <w:rPr>
              <w:color w:val="auto"/>
              <w:highlight w:val="none"/>
            </w:rPr>
            <w:tab/>
          </w:r>
          <w:r>
            <w:rPr>
              <w:color w:val="auto"/>
              <w:highlight w:val="none"/>
            </w:rPr>
            <w:fldChar w:fldCharType="begin"/>
          </w:r>
          <w:r>
            <w:rPr>
              <w:color w:val="auto"/>
              <w:highlight w:val="none"/>
            </w:rPr>
            <w:instrText xml:space="preserve"> PAGEREF _Toc13793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"_Toc4986" </w:instrText>
          </w:r>
          <w:r>
            <w:rPr>
              <w:color w:val="auto"/>
              <w:highlight w:val="none"/>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_Toc4986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"_Toc1509" </w:instrText>
          </w:r>
          <w:r>
            <w:rPr>
              <w:color w:val="auto"/>
              <w:highlight w:val="none"/>
            </w:rPr>
            <w:fldChar w:fldCharType="separate"/>
          </w:r>
          <w:r>
            <w:rPr>
              <w:rFonts w:hint="eastAsia" w:ascii="仿宋" w:hAnsi="仿宋" w:eastAsia="仿宋" w:cs="仿宋"/>
              <w:color w:val="auto"/>
              <w:szCs w:val="24"/>
              <w:highlight w:val="none"/>
            </w:rPr>
            <w:t>22</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发包人</w:t>
          </w:r>
          <w:r>
            <w:rPr>
              <w:color w:val="auto"/>
              <w:highlight w:val="none"/>
            </w:rPr>
            <w:tab/>
          </w:r>
          <w:r>
            <w:rPr>
              <w:color w:val="auto"/>
              <w:highlight w:val="none"/>
            </w:rPr>
            <w:fldChar w:fldCharType="begin"/>
          </w:r>
          <w:r>
            <w:rPr>
              <w:color w:val="auto"/>
              <w:highlight w:val="none"/>
            </w:rPr>
            <w:instrText xml:space="preserve"> PAGEREF _Toc1509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"_Toc29874" </w:instrText>
          </w:r>
          <w:r>
            <w:rPr>
              <w:color w:val="auto"/>
              <w:highlight w:val="none"/>
            </w:rPr>
            <w:fldChar w:fldCharType="separate"/>
          </w:r>
          <w:r>
            <w:rPr>
              <w:rFonts w:ascii="仿宋" w:hAnsi="仿宋" w:eastAsia="仿宋" w:cs="仿宋"/>
              <w:color w:val="auto"/>
              <w:szCs w:val="24"/>
              <w:highlight w:val="none"/>
            </w:rPr>
            <w:t>2</w:t>
          </w:r>
          <w:r>
            <w:rPr>
              <w:rFonts w:hint="eastAsia" w:ascii="仿宋" w:hAnsi="仿宋" w:eastAsia="仿宋" w:cs="仿宋"/>
              <w:color w:val="auto"/>
              <w:szCs w:val="24"/>
              <w:highlight w:val="none"/>
            </w:rPr>
            <w:t>3</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w:t>
          </w:r>
          <w:r>
            <w:rPr>
              <w:color w:val="auto"/>
              <w:highlight w:val="none"/>
            </w:rPr>
            <w:tab/>
          </w:r>
          <w:r>
            <w:rPr>
              <w:color w:val="auto"/>
              <w:highlight w:val="none"/>
            </w:rPr>
            <w:fldChar w:fldCharType="begin"/>
          </w:r>
          <w:r>
            <w:rPr>
              <w:color w:val="auto"/>
              <w:highlight w:val="none"/>
            </w:rPr>
            <w:instrText xml:space="preserve"> PAGEREF _Toc29874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"_Toc24338" </w:instrText>
          </w:r>
          <w:r>
            <w:rPr>
              <w:color w:val="auto"/>
              <w:highlight w:val="none"/>
            </w:rPr>
            <w:fldChar w:fldCharType="separate"/>
          </w:r>
          <w:r>
            <w:rPr>
              <w:rFonts w:ascii="仿宋" w:hAnsi="仿宋" w:eastAsia="仿宋" w:cs="仿宋"/>
              <w:color w:val="auto"/>
              <w:szCs w:val="24"/>
              <w:highlight w:val="none"/>
            </w:rPr>
            <w:t>2</w:t>
          </w:r>
          <w:r>
            <w:rPr>
              <w:rFonts w:hint="eastAsia" w:ascii="仿宋" w:hAnsi="仿宋" w:eastAsia="仿宋" w:cs="仿宋"/>
              <w:color w:val="auto"/>
              <w:szCs w:val="24"/>
              <w:highlight w:val="none"/>
            </w:rPr>
            <w:t>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现场管理人员任命和更换</w:t>
          </w:r>
          <w:r>
            <w:rPr>
              <w:color w:val="auto"/>
              <w:highlight w:val="none"/>
            </w:rPr>
            <w:tab/>
          </w:r>
          <w:r>
            <w:rPr>
              <w:color w:val="auto"/>
              <w:highlight w:val="none"/>
            </w:rPr>
            <w:fldChar w:fldCharType="begin"/>
          </w:r>
          <w:r>
            <w:rPr>
              <w:color w:val="auto"/>
              <w:highlight w:val="none"/>
            </w:rPr>
            <w:instrText xml:space="preserve"> PAGEREF _Toc24338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"_Toc8395" </w:instrText>
          </w:r>
          <w:r>
            <w:rPr>
              <w:color w:val="auto"/>
              <w:highlight w:val="none"/>
            </w:rPr>
            <w:fldChar w:fldCharType="separate"/>
          </w:r>
          <w:r>
            <w:rPr>
              <w:rFonts w:ascii="仿宋" w:hAnsi="仿宋" w:eastAsia="仿宋" w:cs="仿宋"/>
              <w:color w:val="auto"/>
              <w:szCs w:val="24"/>
              <w:highlight w:val="none"/>
            </w:rPr>
            <w:t>2</w:t>
          </w:r>
          <w:r>
            <w:rPr>
              <w:rFonts w:hint="eastAsia" w:ascii="仿宋" w:hAnsi="仿宋" w:eastAsia="仿宋" w:cs="仿宋"/>
              <w:color w:val="auto"/>
              <w:szCs w:val="24"/>
              <w:highlight w:val="none"/>
            </w:rPr>
            <w:t>5</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发包人代表</w:t>
          </w:r>
          <w:r>
            <w:rPr>
              <w:color w:val="auto"/>
              <w:highlight w:val="none"/>
            </w:rPr>
            <w:tab/>
          </w:r>
          <w:r>
            <w:rPr>
              <w:color w:val="auto"/>
              <w:highlight w:val="none"/>
            </w:rPr>
            <w:fldChar w:fldCharType="begin"/>
          </w:r>
          <w:r>
            <w:rPr>
              <w:color w:val="auto"/>
              <w:highlight w:val="none"/>
            </w:rPr>
            <w:instrText xml:space="preserve"> PAGEREF _Toc8395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"_Toc10629" </w:instrText>
          </w:r>
          <w:r>
            <w:rPr>
              <w:color w:val="auto"/>
              <w:highlight w:val="none"/>
            </w:rPr>
            <w:fldChar w:fldCharType="separate"/>
          </w:r>
          <w:r>
            <w:rPr>
              <w:rFonts w:ascii="仿宋" w:hAnsi="仿宋" w:eastAsia="仿宋" w:cs="仿宋"/>
              <w:color w:val="auto"/>
              <w:szCs w:val="24"/>
              <w:highlight w:val="none"/>
            </w:rPr>
            <w:t>2</w:t>
          </w:r>
          <w:r>
            <w:rPr>
              <w:rFonts w:hint="eastAsia" w:ascii="仿宋" w:hAnsi="仿宋" w:eastAsia="仿宋" w:cs="仿宋"/>
              <w:color w:val="auto"/>
              <w:szCs w:val="24"/>
              <w:highlight w:val="none"/>
            </w:rPr>
            <w:t>6</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设计顾问人</w:t>
          </w:r>
          <w:r>
            <w:rPr>
              <w:color w:val="auto"/>
              <w:highlight w:val="none"/>
            </w:rPr>
            <w:tab/>
          </w:r>
          <w:r>
            <w:rPr>
              <w:color w:val="auto"/>
              <w:highlight w:val="none"/>
            </w:rPr>
            <w:fldChar w:fldCharType="begin"/>
          </w:r>
          <w:r>
            <w:rPr>
              <w:color w:val="auto"/>
              <w:highlight w:val="none"/>
            </w:rPr>
            <w:instrText xml:space="preserve"> PAGEREF _Toc10629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"_Toc29786" </w:instrText>
          </w:r>
          <w:r>
            <w:rPr>
              <w:color w:val="auto"/>
              <w:highlight w:val="none"/>
            </w:rPr>
            <w:fldChar w:fldCharType="separate"/>
          </w:r>
          <w:r>
            <w:rPr>
              <w:rFonts w:ascii="仿宋" w:hAnsi="仿宋" w:eastAsia="仿宋" w:cs="仿宋"/>
              <w:color w:val="auto"/>
              <w:szCs w:val="24"/>
              <w:highlight w:val="none"/>
            </w:rPr>
            <w:t>2</w:t>
          </w:r>
          <w:r>
            <w:rPr>
              <w:rFonts w:hint="eastAsia" w:ascii="仿宋" w:hAnsi="仿宋" w:eastAsia="仿宋" w:cs="仿宋"/>
              <w:color w:val="auto"/>
              <w:szCs w:val="24"/>
              <w:highlight w:val="none"/>
            </w:rPr>
            <w:t>7</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监理人</w:t>
          </w:r>
          <w:r>
            <w:rPr>
              <w:color w:val="auto"/>
              <w:highlight w:val="none"/>
            </w:rPr>
            <w:tab/>
          </w:r>
          <w:r>
            <w:rPr>
              <w:color w:val="auto"/>
              <w:highlight w:val="none"/>
            </w:rPr>
            <w:fldChar w:fldCharType="begin"/>
          </w:r>
          <w:r>
            <w:rPr>
              <w:color w:val="auto"/>
              <w:highlight w:val="none"/>
            </w:rPr>
            <w:instrText xml:space="preserve"> PAGEREF _Toc29786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"_Toc14528" </w:instrText>
          </w:r>
          <w:r>
            <w:rPr>
              <w:color w:val="auto"/>
              <w:highlight w:val="none"/>
            </w:rPr>
            <w:fldChar w:fldCharType="separate"/>
          </w:r>
          <w:r>
            <w:rPr>
              <w:rFonts w:ascii="仿宋" w:hAnsi="仿宋" w:eastAsia="仿宋" w:cs="仿宋"/>
              <w:color w:val="auto"/>
              <w:szCs w:val="24"/>
              <w:highlight w:val="none"/>
            </w:rPr>
            <w:t>2</w:t>
          </w:r>
          <w:r>
            <w:rPr>
              <w:rFonts w:hint="eastAsia" w:ascii="仿宋" w:hAnsi="仿宋" w:eastAsia="仿宋" w:cs="仿宋"/>
              <w:color w:val="auto"/>
              <w:szCs w:val="24"/>
              <w:highlight w:val="none"/>
            </w:rPr>
            <w:t>8</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造价咨询人</w:t>
          </w:r>
          <w:r>
            <w:rPr>
              <w:color w:val="auto"/>
              <w:highlight w:val="none"/>
            </w:rPr>
            <w:tab/>
          </w:r>
          <w:r>
            <w:rPr>
              <w:color w:val="auto"/>
              <w:highlight w:val="none"/>
            </w:rPr>
            <w:fldChar w:fldCharType="begin"/>
          </w:r>
          <w:r>
            <w:rPr>
              <w:color w:val="auto"/>
              <w:highlight w:val="none"/>
            </w:rPr>
            <w:instrText xml:space="preserve"> PAGEREF _Toc14528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"_Toc16660" </w:instrText>
          </w:r>
          <w:r>
            <w:rPr>
              <w:color w:val="auto"/>
              <w:highlight w:val="none"/>
            </w:rPr>
            <w:fldChar w:fldCharType="separate"/>
          </w:r>
          <w:r>
            <w:rPr>
              <w:rFonts w:ascii="仿宋" w:hAnsi="仿宋" w:eastAsia="仿宋" w:cs="仿宋"/>
              <w:color w:val="auto"/>
              <w:szCs w:val="24"/>
              <w:highlight w:val="none"/>
            </w:rPr>
            <w:t>2</w:t>
          </w:r>
          <w:r>
            <w:rPr>
              <w:rFonts w:hint="eastAsia" w:ascii="仿宋" w:hAnsi="仿宋" w:eastAsia="仿宋" w:cs="仿宋"/>
              <w:color w:val="auto"/>
              <w:szCs w:val="24"/>
              <w:highlight w:val="none"/>
            </w:rPr>
            <w:t>9</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承包人代表及其专业负责人</w:t>
          </w:r>
          <w:r>
            <w:rPr>
              <w:color w:val="auto"/>
              <w:highlight w:val="none"/>
            </w:rPr>
            <w:tab/>
          </w:r>
          <w:r>
            <w:rPr>
              <w:color w:val="auto"/>
              <w:highlight w:val="none"/>
            </w:rPr>
            <w:fldChar w:fldCharType="begin"/>
          </w:r>
          <w:r>
            <w:rPr>
              <w:color w:val="auto"/>
              <w:highlight w:val="none"/>
            </w:rPr>
            <w:instrText xml:space="preserve"> PAGEREF _Toc16660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"_Toc6902" </w:instrText>
          </w:r>
          <w:r>
            <w:rPr>
              <w:color w:val="auto"/>
              <w:highlight w:val="none"/>
            </w:rPr>
            <w:fldChar w:fldCharType="separate"/>
          </w:r>
          <w:r>
            <w:rPr>
              <w:rFonts w:hint="eastAsia" w:ascii="仿宋" w:hAnsi="仿宋" w:eastAsia="仿宋" w:cs="仿宋"/>
              <w:color w:val="auto"/>
              <w:szCs w:val="24"/>
              <w:highlight w:val="none"/>
            </w:rPr>
            <w:t>30</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指定分包人</w:t>
          </w:r>
          <w:r>
            <w:rPr>
              <w:color w:val="auto"/>
              <w:highlight w:val="none"/>
            </w:rPr>
            <w:tab/>
          </w:r>
          <w:r>
            <w:rPr>
              <w:color w:val="auto"/>
              <w:highlight w:val="none"/>
            </w:rPr>
            <w:fldChar w:fldCharType="begin"/>
          </w:r>
          <w:r>
            <w:rPr>
              <w:color w:val="auto"/>
              <w:highlight w:val="none"/>
            </w:rPr>
            <w:instrText xml:space="preserve"> PAGEREF _Toc6902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"_Toc6758" </w:instrText>
          </w:r>
          <w:r>
            <w:rPr>
              <w:color w:val="auto"/>
              <w:highlight w:val="none"/>
            </w:rPr>
            <w:fldChar w:fldCharType="separate"/>
          </w:r>
          <w:r>
            <w:rPr>
              <w:rFonts w:hint="eastAsia" w:ascii="仿宋" w:hAnsi="仿宋" w:eastAsia="仿宋" w:cs="仿宋"/>
              <w:color w:val="auto"/>
              <w:szCs w:val="24"/>
              <w:highlight w:val="none"/>
            </w:rPr>
            <w:t>31</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 xml:space="preserve"> 承包人劳务</w:t>
          </w:r>
          <w:r>
            <w:rPr>
              <w:color w:val="auto"/>
              <w:highlight w:val="none"/>
            </w:rPr>
            <w:tab/>
          </w:r>
          <w:r>
            <w:rPr>
              <w:color w:val="auto"/>
              <w:highlight w:val="none"/>
            </w:rPr>
            <w:fldChar w:fldCharType="begin"/>
          </w:r>
          <w:r>
            <w:rPr>
              <w:color w:val="auto"/>
              <w:highlight w:val="none"/>
            </w:rPr>
            <w:instrText xml:space="preserve"> PAGEREF _Toc6758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"_Toc959" </w:instrText>
          </w:r>
          <w:r>
            <w:rPr>
              <w:color w:val="auto"/>
              <w:highlight w:val="none"/>
            </w:rPr>
            <w:fldChar w:fldCharType="separate"/>
          </w:r>
          <w:r>
            <w:rPr>
              <w:rFonts w:hint="eastAsia" w:ascii="仿宋" w:hAnsi="仿宋" w:eastAsia="仿宋" w:cs="仿宋"/>
              <w:bCs/>
              <w:color w:val="auto"/>
              <w:szCs w:val="24"/>
              <w:highlight w:val="none"/>
            </w:rPr>
            <w:t>三、担保、保险与风险</w:t>
          </w:r>
          <w:r>
            <w:rPr>
              <w:color w:val="auto"/>
              <w:highlight w:val="none"/>
            </w:rPr>
            <w:tab/>
          </w:r>
          <w:r>
            <w:rPr>
              <w:color w:val="auto"/>
              <w:highlight w:val="none"/>
            </w:rPr>
            <w:fldChar w:fldCharType="begin"/>
          </w:r>
          <w:r>
            <w:rPr>
              <w:color w:val="auto"/>
              <w:highlight w:val="none"/>
            </w:rPr>
            <w:instrText xml:space="preserve"> PAGEREF _Toc959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"_Toc9189" </w:instrText>
          </w:r>
          <w:r>
            <w:rPr>
              <w:color w:val="auto"/>
              <w:highlight w:val="none"/>
            </w:rPr>
            <w:fldChar w:fldCharType="separate"/>
          </w:r>
          <w:r>
            <w:rPr>
              <w:rFonts w:hint="eastAsia" w:ascii="仿宋" w:hAnsi="仿宋" w:eastAsia="仿宋" w:cs="仿宋"/>
              <w:color w:val="auto"/>
              <w:szCs w:val="24"/>
              <w:highlight w:val="none"/>
            </w:rPr>
            <w:t>32</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工程担保</w:t>
          </w:r>
          <w:r>
            <w:rPr>
              <w:color w:val="auto"/>
              <w:highlight w:val="none"/>
            </w:rPr>
            <w:tab/>
          </w:r>
          <w:r>
            <w:rPr>
              <w:color w:val="auto"/>
              <w:highlight w:val="none"/>
            </w:rPr>
            <w:fldChar w:fldCharType="begin"/>
          </w:r>
          <w:r>
            <w:rPr>
              <w:color w:val="auto"/>
              <w:highlight w:val="none"/>
            </w:rPr>
            <w:instrText xml:space="preserve"> PAGEREF _Toc9189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"_Toc13653" </w:instrText>
          </w:r>
          <w:r>
            <w:rPr>
              <w:color w:val="auto"/>
              <w:highlight w:val="none"/>
            </w:rPr>
            <w:fldChar w:fldCharType="separate"/>
          </w:r>
          <w:r>
            <w:rPr>
              <w:rFonts w:hint="eastAsia" w:ascii="仿宋" w:hAnsi="仿宋" w:eastAsia="仿宋" w:cs="仿宋"/>
              <w:color w:val="auto"/>
              <w:szCs w:val="24"/>
              <w:highlight w:val="none"/>
            </w:rPr>
            <w:t>33</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发包人风险</w:t>
          </w:r>
          <w:r>
            <w:rPr>
              <w:color w:val="auto"/>
              <w:highlight w:val="none"/>
            </w:rPr>
            <w:tab/>
          </w:r>
          <w:r>
            <w:rPr>
              <w:color w:val="auto"/>
              <w:highlight w:val="none"/>
            </w:rPr>
            <w:fldChar w:fldCharType="begin"/>
          </w:r>
          <w:r>
            <w:rPr>
              <w:color w:val="auto"/>
              <w:highlight w:val="none"/>
            </w:rPr>
            <w:instrText xml:space="preserve"> PAGEREF _Toc13653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"_Toc22538" </w:instrText>
          </w:r>
          <w:r>
            <w:rPr>
              <w:color w:val="auto"/>
              <w:highlight w:val="none"/>
            </w:rPr>
            <w:fldChar w:fldCharType="separate"/>
          </w:r>
          <w:r>
            <w:rPr>
              <w:rFonts w:ascii="仿宋" w:hAnsi="仿宋" w:eastAsia="仿宋" w:cs="仿宋"/>
              <w:color w:val="auto"/>
              <w:szCs w:val="24"/>
              <w:highlight w:val="none"/>
            </w:rPr>
            <w:t>3</w:t>
          </w:r>
          <w:r>
            <w:rPr>
              <w:rFonts w:hint="eastAsia" w:ascii="仿宋" w:hAnsi="仿宋" w:eastAsia="仿宋" w:cs="仿宋"/>
              <w:color w:val="auto"/>
              <w:szCs w:val="24"/>
              <w:highlight w:val="none"/>
            </w:rPr>
            <w:t>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承包人风险</w:t>
          </w:r>
          <w:r>
            <w:rPr>
              <w:color w:val="auto"/>
              <w:highlight w:val="none"/>
            </w:rPr>
            <w:tab/>
          </w:r>
          <w:r>
            <w:rPr>
              <w:color w:val="auto"/>
              <w:highlight w:val="none"/>
            </w:rPr>
            <w:fldChar w:fldCharType="begin"/>
          </w:r>
          <w:r>
            <w:rPr>
              <w:color w:val="auto"/>
              <w:highlight w:val="none"/>
            </w:rPr>
            <w:instrText xml:space="preserve"> PAGEREF _Toc22538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"_Toc9418" </w:instrText>
          </w:r>
          <w:r>
            <w:rPr>
              <w:color w:val="auto"/>
              <w:highlight w:val="none"/>
            </w:rPr>
            <w:fldChar w:fldCharType="separate"/>
          </w:r>
          <w:r>
            <w:rPr>
              <w:rFonts w:ascii="仿宋" w:hAnsi="仿宋" w:eastAsia="仿宋" w:cs="仿宋"/>
              <w:color w:val="auto"/>
              <w:szCs w:val="24"/>
              <w:highlight w:val="none"/>
            </w:rPr>
            <w:t>3</w:t>
          </w:r>
          <w:r>
            <w:rPr>
              <w:rFonts w:hint="eastAsia" w:ascii="仿宋" w:hAnsi="仿宋" w:eastAsia="仿宋" w:cs="仿宋"/>
              <w:color w:val="auto"/>
              <w:szCs w:val="24"/>
              <w:highlight w:val="none"/>
            </w:rPr>
            <w:t>5</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不可抗力</w:t>
          </w:r>
          <w:r>
            <w:rPr>
              <w:color w:val="auto"/>
              <w:highlight w:val="none"/>
            </w:rPr>
            <w:tab/>
          </w:r>
          <w:r>
            <w:rPr>
              <w:color w:val="auto"/>
              <w:highlight w:val="none"/>
            </w:rPr>
            <w:fldChar w:fldCharType="begin"/>
          </w:r>
          <w:r>
            <w:rPr>
              <w:color w:val="auto"/>
              <w:highlight w:val="none"/>
            </w:rPr>
            <w:instrText xml:space="preserve"> PAGEREF _Toc9418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"_Toc12832" </w:instrText>
          </w:r>
          <w:r>
            <w:rPr>
              <w:color w:val="auto"/>
              <w:highlight w:val="none"/>
            </w:rPr>
            <w:fldChar w:fldCharType="separate"/>
          </w:r>
          <w:r>
            <w:rPr>
              <w:rFonts w:ascii="仿宋" w:hAnsi="仿宋" w:eastAsia="仿宋" w:cs="仿宋"/>
              <w:color w:val="auto"/>
              <w:szCs w:val="24"/>
              <w:highlight w:val="none"/>
            </w:rPr>
            <w:t>3</w:t>
          </w:r>
          <w:r>
            <w:rPr>
              <w:rFonts w:hint="eastAsia" w:ascii="仿宋" w:hAnsi="仿宋" w:eastAsia="仿宋" w:cs="仿宋"/>
              <w:color w:val="auto"/>
              <w:szCs w:val="24"/>
              <w:highlight w:val="none"/>
            </w:rPr>
            <w:t>6</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保险</w:t>
          </w:r>
          <w:r>
            <w:rPr>
              <w:color w:val="auto"/>
              <w:highlight w:val="none"/>
            </w:rPr>
            <w:tab/>
          </w:r>
          <w:r>
            <w:rPr>
              <w:color w:val="auto"/>
              <w:highlight w:val="none"/>
            </w:rPr>
            <w:fldChar w:fldCharType="begin"/>
          </w:r>
          <w:r>
            <w:rPr>
              <w:color w:val="auto"/>
              <w:highlight w:val="none"/>
            </w:rPr>
            <w:instrText xml:space="preserve"> PAGEREF _Toc12832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"_Toc14547" </w:instrText>
          </w:r>
          <w:r>
            <w:rPr>
              <w:color w:val="auto"/>
              <w:highlight w:val="none"/>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_Toc14547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"_Toc15433" </w:instrText>
          </w:r>
          <w:r>
            <w:rPr>
              <w:color w:val="auto"/>
              <w:highlight w:val="none"/>
            </w:rPr>
            <w:fldChar w:fldCharType="separate"/>
          </w:r>
          <w:r>
            <w:rPr>
              <w:rFonts w:hint="eastAsia" w:ascii="仿宋" w:hAnsi="仿宋" w:eastAsia="仿宋" w:cs="仿宋"/>
              <w:color w:val="auto"/>
              <w:szCs w:val="24"/>
              <w:highlight w:val="none"/>
            </w:rPr>
            <w:t>37  工程勘察</w:t>
          </w:r>
          <w:r>
            <w:rPr>
              <w:color w:val="auto"/>
              <w:highlight w:val="none"/>
            </w:rPr>
            <w:tab/>
          </w:r>
          <w:r>
            <w:rPr>
              <w:color w:val="auto"/>
              <w:highlight w:val="none"/>
            </w:rPr>
            <w:fldChar w:fldCharType="begin"/>
          </w:r>
          <w:r>
            <w:rPr>
              <w:color w:val="auto"/>
              <w:highlight w:val="none"/>
            </w:rPr>
            <w:instrText xml:space="preserve"> PAGEREF _Toc15433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"_Toc16420" </w:instrText>
          </w:r>
          <w:r>
            <w:rPr>
              <w:color w:val="auto"/>
              <w:highlight w:val="none"/>
            </w:rPr>
            <w:fldChar w:fldCharType="separate"/>
          </w:r>
          <w:r>
            <w:rPr>
              <w:rFonts w:hint="eastAsia" w:ascii="仿宋" w:hAnsi="仿宋" w:eastAsia="仿宋" w:cs="仿宋"/>
              <w:color w:val="auto"/>
              <w:szCs w:val="24"/>
              <w:highlight w:val="none"/>
            </w:rPr>
            <w:t>38  工程设计</w:t>
          </w:r>
          <w:r>
            <w:rPr>
              <w:color w:val="auto"/>
              <w:highlight w:val="none"/>
            </w:rPr>
            <w:tab/>
          </w:r>
          <w:r>
            <w:rPr>
              <w:color w:val="auto"/>
              <w:highlight w:val="none"/>
            </w:rPr>
            <w:fldChar w:fldCharType="begin"/>
          </w:r>
          <w:r>
            <w:rPr>
              <w:color w:val="auto"/>
              <w:highlight w:val="none"/>
            </w:rPr>
            <w:instrText xml:space="preserve"> PAGEREF _Toc16420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"_Toc19208" </w:instrText>
          </w:r>
          <w:r>
            <w:rPr>
              <w:color w:val="auto"/>
              <w:highlight w:val="none"/>
            </w:rPr>
            <w:fldChar w:fldCharType="separate"/>
          </w:r>
          <w:r>
            <w:rPr>
              <w:rFonts w:hint="eastAsia" w:ascii="仿宋" w:hAnsi="仿宋" w:eastAsia="仿宋" w:cs="仿宋"/>
              <w:color w:val="auto"/>
              <w:szCs w:val="24"/>
              <w:highlight w:val="none"/>
            </w:rPr>
            <w:t>39  BIM技术应用</w:t>
          </w:r>
          <w:r>
            <w:rPr>
              <w:color w:val="auto"/>
              <w:highlight w:val="none"/>
            </w:rPr>
            <w:tab/>
          </w:r>
          <w:r>
            <w:rPr>
              <w:color w:val="auto"/>
              <w:highlight w:val="none"/>
            </w:rPr>
            <w:fldChar w:fldCharType="begin"/>
          </w:r>
          <w:r>
            <w:rPr>
              <w:color w:val="auto"/>
              <w:highlight w:val="none"/>
            </w:rPr>
            <w:instrText xml:space="preserve"> PAGEREF _Toc19208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"_Toc25456" </w:instrText>
          </w:r>
          <w:r>
            <w:rPr>
              <w:color w:val="auto"/>
              <w:highlight w:val="none"/>
            </w:rPr>
            <w:fldChar w:fldCharType="separate"/>
          </w:r>
          <w:r>
            <w:rPr>
              <w:rFonts w:hint="eastAsia" w:ascii="仿宋" w:hAnsi="仿宋" w:eastAsia="仿宋" w:cs="仿宋"/>
              <w:bCs/>
              <w:color w:val="auto"/>
              <w:szCs w:val="24"/>
              <w:highlight w:val="none"/>
            </w:rPr>
            <w:t>五、工</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期</w:t>
          </w:r>
          <w:r>
            <w:rPr>
              <w:color w:val="auto"/>
              <w:highlight w:val="none"/>
            </w:rPr>
            <w:tab/>
          </w:r>
          <w:r>
            <w:rPr>
              <w:color w:val="auto"/>
              <w:highlight w:val="none"/>
            </w:rPr>
            <w:fldChar w:fldCharType="begin"/>
          </w:r>
          <w:r>
            <w:rPr>
              <w:color w:val="auto"/>
              <w:highlight w:val="none"/>
            </w:rPr>
            <w:instrText xml:space="preserve"> PAGEREF _Toc25456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"_Toc14766" </w:instrText>
          </w:r>
          <w:r>
            <w:rPr>
              <w:color w:val="auto"/>
              <w:highlight w:val="none"/>
            </w:rPr>
            <w:fldChar w:fldCharType="separate"/>
          </w:r>
          <w:r>
            <w:rPr>
              <w:rFonts w:hint="eastAsia" w:ascii="仿宋" w:hAnsi="仿宋" w:eastAsia="仿宋" w:cs="仿宋"/>
              <w:color w:val="auto"/>
              <w:szCs w:val="24"/>
              <w:highlight w:val="none"/>
            </w:rPr>
            <w:t>40</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进度计划和报告</w:t>
          </w:r>
          <w:r>
            <w:rPr>
              <w:color w:val="auto"/>
              <w:highlight w:val="none"/>
            </w:rPr>
            <w:tab/>
          </w:r>
          <w:r>
            <w:rPr>
              <w:color w:val="auto"/>
              <w:highlight w:val="none"/>
            </w:rPr>
            <w:fldChar w:fldCharType="begin"/>
          </w:r>
          <w:r>
            <w:rPr>
              <w:color w:val="auto"/>
              <w:highlight w:val="none"/>
            </w:rPr>
            <w:instrText xml:space="preserve"> PAGEREF _Toc14766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"_Toc14464" </w:instrText>
          </w:r>
          <w:r>
            <w:rPr>
              <w:color w:val="auto"/>
              <w:highlight w:val="none"/>
            </w:rPr>
            <w:fldChar w:fldCharType="separate"/>
          </w:r>
          <w:r>
            <w:rPr>
              <w:rFonts w:hint="eastAsia" w:ascii="仿宋" w:hAnsi="仿宋" w:eastAsia="仿宋" w:cs="仿宋"/>
              <w:color w:val="auto"/>
              <w:szCs w:val="24"/>
              <w:highlight w:val="none"/>
            </w:rPr>
            <w:t>41</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开始工作或开工</w:t>
          </w:r>
          <w:r>
            <w:rPr>
              <w:color w:val="auto"/>
              <w:highlight w:val="none"/>
            </w:rPr>
            <w:tab/>
          </w:r>
          <w:r>
            <w:rPr>
              <w:color w:val="auto"/>
              <w:highlight w:val="none"/>
            </w:rPr>
            <w:fldChar w:fldCharType="begin"/>
          </w:r>
          <w:r>
            <w:rPr>
              <w:color w:val="auto"/>
              <w:highlight w:val="none"/>
            </w:rPr>
            <w:instrText xml:space="preserve"> PAGEREF _Toc14464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"_Toc22427" </w:instrText>
          </w:r>
          <w:r>
            <w:rPr>
              <w:color w:val="auto"/>
              <w:highlight w:val="none"/>
            </w:rPr>
            <w:fldChar w:fldCharType="separate"/>
          </w:r>
          <w:r>
            <w:rPr>
              <w:rFonts w:hint="eastAsia" w:ascii="仿宋" w:hAnsi="仿宋" w:eastAsia="仿宋" w:cs="仿宋"/>
              <w:color w:val="auto"/>
              <w:szCs w:val="24"/>
              <w:highlight w:val="none"/>
            </w:rPr>
            <w:t>42</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暂停工作、暂停施工和复工</w:t>
          </w:r>
          <w:r>
            <w:rPr>
              <w:color w:val="auto"/>
              <w:highlight w:val="none"/>
            </w:rPr>
            <w:tab/>
          </w:r>
          <w:r>
            <w:rPr>
              <w:color w:val="auto"/>
              <w:highlight w:val="none"/>
            </w:rPr>
            <w:fldChar w:fldCharType="begin"/>
          </w:r>
          <w:r>
            <w:rPr>
              <w:color w:val="auto"/>
              <w:highlight w:val="none"/>
            </w:rPr>
            <w:instrText xml:space="preserve"> PAGEREF _Toc22427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"_Toc1799" </w:instrText>
          </w:r>
          <w:r>
            <w:rPr>
              <w:color w:val="auto"/>
              <w:highlight w:val="none"/>
            </w:rPr>
            <w:fldChar w:fldCharType="separate"/>
          </w:r>
          <w:r>
            <w:rPr>
              <w:rFonts w:hint="eastAsia" w:ascii="仿宋" w:hAnsi="仿宋" w:eastAsia="仿宋" w:cs="仿宋"/>
              <w:color w:val="auto"/>
              <w:szCs w:val="24"/>
              <w:highlight w:val="none"/>
            </w:rPr>
            <w:t>43</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工期和工期延误</w:t>
          </w:r>
          <w:r>
            <w:rPr>
              <w:color w:val="auto"/>
              <w:highlight w:val="none"/>
            </w:rPr>
            <w:tab/>
          </w:r>
          <w:r>
            <w:rPr>
              <w:color w:val="auto"/>
              <w:highlight w:val="none"/>
            </w:rPr>
            <w:fldChar w:fldCharType="begin"/>
          </w:r>
          <w:r>
            <w:rPr>
              <w:color w:val="auto"/>
              <w:highlight w:val="none"/>
            </w:rPr>
            <w:instrText xml:space="preserve"> PAGEREF _Toc1799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"_Toc29756" </w:instrText>
          </w:r>
          <w:r>
            <w:rPr>
              <w:color w:val="auto"/>
              <w:highlight w:val="none"/>
            </w:rPr>
            <w:fldChar w:fldCharType="separate"/>
          </w:r>
          <w:r>
            <w:rPr>
              <w:rFonts w:hint="eastAsia" w:ascii="仿宋" w:hAnsi="仿宋" w:eastAsia="仿宋" w:cs="仿宋"/>
              <w:color w:val="auto"/>
              <w:szCs w:val="24"/>
              <w:highlight w:val="none"/>
            </w:rPr>
            <w:t>44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加快进度</w:t>
          </w:r>
          <w:r>
            <w:rPr>
              <w:color w:val="auto"/>
              <w:highlight w:val="none"/>
            </w:rPr>
            <w:tab/>
          </w:r>
          <w:r>
            <w:rPr>
              <w:color w:val="auto"/>
              <w:highlight w:val="none"/>
            </w:rPr>
            <w:fldChar w:fldCharType="begin"/>
          </w:r>
          <w:r>
            <w:rPr>
              <w:color w:val="auto"/>
              <w:highlight w:val="none"/>
            </w:rPr>
            <w:instrText xml:space="preserve"> PAGEREF _Toc29756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"_Toc5407" </w:instrText>
          </w:r>
          <w:r>
            <w:rPr>
              <w:color w:val="auto"/>
              <w:highlight w:val="none"/>
            </w:rPr>
            <w:fldChar w:fldCharType="separate"/>
          </w:r>
          <w:r>
            <w:rPr>
              <w:rFonts w:hint="eastAsia" w:ascii="仿宋" w:hAnsi="仿宋" w:eastAsia="仿宋" w:cs="仿宋"/>
              <w:color w:val="auto"/>
              <w:szCs w:val="24"/>
              <w:highlight w:val="none"/>
            </w:rPr>
            <w:t>45</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竣工日期</w:t>
          </w:r>
          <w:r>
            <w:rPr>
              <w:color w:val="auto"/>
              <w:highlight w:val="none"/>
            </w:rPr>
            <w:tab/>
          </w:r>
          <w:r>
            <w:rPr>
              <w:color w:val="auto"/>
              <w:highlight w:val="none"/>
            </w:rPr>
            <w:fldChar w:fldCharType="begin"/>
          </w:r>
          <w:r>
            <w:rPr>
              <w:color w:val="auto"/>
              <w:highlight w:val="none"/>
            </w:rPr>
            <w:instrText xml:space="preserve"> PAGEREF _Toc5407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"_Toc10274" </w:instrText>
          </w:r>
          <w:r>
            <w:rPr>
              <w:color w:val="auto"/>
              <w:highlight w:val="none"/>
            </w:rPr>
            <w:fldChar w:fldCharType="separate"/>
          </w:r>
          <w:r>
            <w:rPr>
              <w:rFonts w:hint="eastAsia" w:ascii="仿宋" w:hAnsi="仿宋" w:eastAsia="仿宋" w:cs="仿宋"/>
              <w:color w:val="auto"/>
              <w:szCs w:val="24"/>
              <w:highlight w:val="none"/>
            </w:rPr>
            <w:t>46</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提前竣工</w:t>
          </w:r>
          <w:r>
            <w:rPr>
              <w:color w:val="auto"/>
              <w:highlight w:val="none"/>
            </w:rPr>
            <w:tab/>
          </w:r>
          <w:r>
            <w:rPr>
              <w:color w:val="auto"/>
              <w:highlight w:val="none"/>
            </w:rPr>
            <w:fldChar w:fldCharType="begin"/>
          </w:r>
          <w:r>
            <w:rPr>
              <w:color w:val="auto"/>
              <w:highlight w:val="none"/>
            </w:rPr>
            <w:instrText xml:space="preserve"> PAGEREF _Toc10274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"_Toc16523" </w:instrText>
          </w:r>
          <w:r>
            <w:rPr>
              <w:color w:val="auto"/>
              <w:highlight w:val="none"/>
            </w:rPr>
            <w:fldChar w:fldCharType="separate"/>
          </w:r>
          <w:r>
            <w:rPr>
              <w:rFonts w:ascii="仿宋" w:hAnsi="仿宋" w:eastAsia="仿宋" w:cs="仿宋"/>
              <w:color w:val="auto"/>
              <w:szCs w:val="24"/>
              <w:highlight w:val="none"/>
            </w:rPr>
            <w:t>4</w:t>
          </w:r>
          <w:r>
            <w:rPr>
              <w:rFonts w:hint="eastAsia" w:ascii="仿宋" w:hAnsi="仿宋" w:eastAsia="仿宋" w:cs="仿宋"/>
              <w:color w:val="auto"/>
              <w:szCs w:val="24"/>
              <w:highlight w:val="none"/>
            </w:rPr>
            <w:t>7</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误期赔偿</w:t>
          </w:r>
          <w:r>
            <w:rPr>
              <w:color w:val="auto"/>
              <w:highlight w:val="none"/>
            </w:rPr>
            <w:tab/>
          </w:r>
          <w:r>
            <w:rPr>
              <w:color w:val="auto"/>
              <w:highlight w:val="none"/>
            </w:rPr>
            <w:fldChar w:fldCharType="begin"/>
          </w:r>
          <w:r>
            <w:rPr>
              <w:color w:val="auto"/>
              <w:highlight w:val="none"/>
            </w:rPr>
            <w:instrText xml:space="preserve"> PAGEREF _Toc16523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"_Toc11175" </w:instrText>
          </w:r>
          <w:r>
            <w:rPr>
              <w:color w:val="auto"/>
              <w:highlight w:val="none"/>
            </w:rPr>
            <w:fldChar w:fldCharType="separate"/>
          </w:r>
          <w:r>
            <w:rPr>
              <w:rFonts w:hint="eastAsia" w:ascii="仿宋" w:hAnsi="仿宋" w:eastAsia="仿宋" w:cs="仿宋"/>
              <w:bCs/>
              <w:color w:val="auto"/>
              <w:szCs w:val="24"/>
              <w:highlight w:val="none"/>
            </w:rPr>
            <w:t>六、质量与安全</w:t>
          </w:r>
          <w:r>
            <w:rPr>
              <w:color w:val="auto"/>
              <w:highlight w:val="none"/>
            </w:rPr>
            <w:tab/>
          </w:r>
          <w:r>
            <w:rPr>
              <w:color w:val="auto"/>
              <w:highlight w:val="none"/>
            </w:rPr>
            <w:fldChar w:fldCharType="begin"/>
          </w:r>
          <w:r>
            <w:rPr>
              <w:color w:val="auto"/>
              <w:highlight w:val="none"/>
            </w:rPr>
            <w:instrText xml:space="preserve"> PAGEREF _Toc11175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"_Toc4920" </w:instrText>
          </w:r>
          <w:r>
            <w:rPr>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color w:val="auto"/>
              <w:szCs w:val="24"/>
              <w:highlight w:val="none"/>
            </w:rPr>
            <w:t>4</w:t>
          </w:r>
          <w:r>
            <w:rPr>
              <w:rFonts w:hint="eastAsia" w:ascii="仿宋" w:hAnsi="仿宋" w:eastAsia="仿宋" w:cs="仿宋"/>
              <w:color w:val="auto"/>
              <w:szCs w:val="24"/>
              <w:highlight w:val="none"/>
            </w:rPr>
            <w:t>8</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质量与安全管理</w:t>
          </w:r>
          <w:r>
            <w:rPr>
              <w:color w:val="auto"/>
              <w:highlight w:val="none"/>
            </w:rPr>
            <w:tab/>
          </w:r>
          <w:r>
            <w:rPr>
              <w:color w:val="auto"/>
              <w:highlight w:val="none"/>
            </w:rPr>
            <w:fldChar w:fldCharType="begin"/>
          </w:r>
          <w:r>
            <w:rPr>
              <w:color w:val="auto"/>
              <w:highlight w:val="none"/>
            </w:rPr>
            <w:instrText xml:space="preserve"> PAGEREF _Toc4920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"_Toc20486" </w:instrText>
          </w:r>
          <w:r>
            <w:rPr>
              <w:color w:val="auto"/>
              <w:highlight w:val="none"/>
            </w:rPr>
            <w:fldChar w:fldCharType="separate"/>
          </w:r>
          <w:r>
            <w:rPr>
              <w:rFonts w:hint="eastAsia" w:ascii="仿宋" w:hAnsi="仿宋" w:eastAsia="仿宋" w:cs="仿宋"/>
              <w:color w:val="auto"/>
              <w:szCs w:val="24"/>
              <w:highlight w:val="none"/>
            </w:rPr>
            <w:t>★49</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质量标准</w:t>
          </w:r>
          <w:r>
            <w:rPr>
              <w:color w:val="auto"/>
              <w:highlight w:val="none"/>
            </w:rPr>
            <w:tab/>
          </w:r>
          <w:r>
            <w:rPr>
              <w:color w:val="auto"/>
              <w:highlight w:val="none"/>
            </w:rPr>
            <w:fldChar w:fldCharType="begin"/>
          </w:r>
          <w:r>
            <w:rPr>
              <w:color w:val="auto"/>
              <w:highlight w:val="none"/>
            </w:rPr>
            <w:instrText xml:space="preserve"> PAGEREF _Toc20486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"_Toc13456" </w:instrText>
          </w:r>
          <w:r>
            <w:rPr>
              <w:color w:val="auto"/>
              <w:highlight w:val="none"/>
            </w:rPr>
            <w:fldChar w:fldCharType="separate"/>
          </w:r>
          <w:r>
            <w:rPr>
              <w:rFonts w:hint="eastAsia" w:ascii="仿宋" w:hAnsi="仿宋" w:eastAsia="仿宋" w:cs="仿宋"/>
              <w:color w:val="auto"/>
              <w:szCs w:val="24"/>
              <w:highlight w:val="none"/>
            </w:rPr>
            <w:t>★50</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工程质量创优</w:t>
          </w:r>
          <w:r>
            <w:rPr>
              <w:color w:val="auto"/>
              <w:highlight w:val="none"/>
            </w:rPr>
            <w:tab/>
          </w:r>
          <w:r>
            <w:rPr>
              <w:color w:val="auto"/>
              <w:highlight w:val="none"/>
            </w:rPr>
            <w:fldChar w:fldCharType="begin"/>
          </w:r>
          <w:r>
            <w:rPr>
              <w:color w:val="auto"/>
              <w:highlight w:val="none"/>
            </w:rPr>
            <w:instrText xml:space="preserve"> PAGEREF _Toc13456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"_Toc5573" </w:instrText>
          </w:r>
          <w:r>
            <w:rPr>
              <w:color w:val="auto"/>
              <w:highlight w:val="none"/>
            </w:rPr>
            <w:fldChar w:fldCharType="separate"/>
          </w:r>
          <w:r>
            <w:rPr>
              <w:rFonts w:hint="eastAsia" w:ascii="仿宋" w:hAnsi="仿宋" w:eastAsia="仿宋" w:cs="仿宋"/>
              <w:color w:val="auto"/>
              <w:szCs w:val="24"/>
              <w:highlight w:val="none"/>
            </w:rPr>
            <w:t>51</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工程的照管</w:t>
          </w:r>
          <w:r>
            <w:rPr>
              <w:color w:val="auto"/>
              <w:highlight w:val="none"/>
            </w:rPr>
            <w:tab/>
          </w:r>
          <w:r>
            <w:rPr>
              <w:color w:val="auto"/>
              <w:highlight w:val="none"/>
            </w:rPr>
            <w:fldChar w:fldCharType="begin"/>
          </w:r>
          <w:r>
            <w:rPr>
              <w:color w:val="auto"/>
              <w:highlight w:val="none"/>
            </w:rPr>
            <w:instrText xml:space="preserve"> PAGEREF _Toc5573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"_Toc26268" </w:instrText>
          </w:r>
          <w:r>
            <w:rPr>
              <w:color w:val="auto"/>
              <w:highlight w:val="none"/>
            </w:rPr>
            <w:fldChar w:fldCharType="separate"/>
          </w:r>
          <w:r>
            <w:rPr>
              <w:rFonts w:hint="eastAsia" w:ascii="仿宋" w:hAnsi="仿宋" w:eastAsia="仿宋" w:cs="仿宋"/>
              <w:color w:val="auto"/>
              <w:szCs w:val="24"/>
              <w:highlight w:val="none"/>
            </w:rPr>
            <w:t>★52</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绿色施工安全防护</w:t>
          </w:r>
          <w:r>
            <w:rPr>
              <w:color w:val="auto"/>
              <w:highlight w:val="none"/>
            </w:rPr>
            <w:tab/>
          </w:r>
          <w:r>
            <w:rPr>
              <w:color w:val="auto"/>
              <w:highlight w:val="none"/>
            </w:rPr>
            <w:fldChar w:fldCharType="begin"/>
          </w:r>
          <w:r>
            <w:rPr>
              <w:color w:val="auto"/>
              <w:highlight w:val="none"/>
            </w:rPr>
            <w:instrText xml:space="preserve"> PAGEREF _Toc26268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"_Toc29669" </w:instrText>
          </w:r>
          <w:r>
            <w:rPr>
              <w:color w:val="auto"/>
              <w:highlight w:val="none"/>
            </w:rPr>
            <w:fldChar w:fldCharType="separate"/>
          </w:r>
          <w:r>
            <w:rPr>
              <w:rFonts w:hint="eastAsia" w:ascii="仿宋" w:hAnsi="仿宋" w:eastAsia="仿宋" w:cs="仿宋"/>
              <w:color w:val="auto"/>
              <w:szCs w:val="24"/>
              <w:highlight w:val="none"/>
            </w:rPr>
            <w:t>53</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测量放线</w:t>
          </w:r>
          <w:r>
            <w:rPr>
              <w:color w:val="auto"/>
              <w:highlight w:val="none"/>
            </w:rPr>
            <w:tab/>
          </w:r>
          <w:r>
            <w:rPr>
              <w:color w:val="auto"/>
              <w:highlight w:val="none"/>
            </w:rPr>
            <w:fldChar w:fldCharType="begin"/>
          </w:r>
          <w:r>
            <w:rPr>
              <w:color w:val="auto"/>
              <w:highlight w:val="none"/>
            </w:rPr>
            <w:instrText xml:space="preserve"> PAGEREF _Toc29669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"_Toc29965" </w:instrText>
          </w:r>
          <w:r>
            <w:rPr>
              <w:color w:val="auto"/>
              <w:highlight w:val="none"/>
            </w:rPr>
            <w:fldChar w:fldCharType="separate"/>
          </w:r>
          <w:r>
            <w:rPr>
              <w:rFonts w:hint="eastAsia" w:ascii="仿宋" w:hAnsi="仿宋" w:eastAsia="仿宋" w:cs="仿宋"/>
              <w:color w:val="auto"/>
              <w:szCs w:val="24"/>
              <w:highlight w:val="none"/>
            </w:rPr>
            <w:t>54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钻孔与勘探性开挖</w:t>
          </w:r>
          <w:r>
            <w:rPr>
              <w:color w:val="auto"/>
              <w:highlight w:val="none"/>
            </w:rPr>
            <w:tab/>
          </w:r>
          <w:r>
            <w:rPr>
              <w:color w:val="auto"/>
              <w:highlight w:val="none"/>
            </w:rPr>
            <w:fldChar w:fldCharType="begin"/>
          </w:r>
          <w:r>
            <w:rPr>
              <w:color w:val="auto"/>
              <w:highlight w:val="none"/>
            </w:rPr>
            <w:instrText xml:space="preserve"> PAGEREF _Toc29965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"_Toc15679" </w:instrText>
          </w:r>
          <w:r>
            <w:rPr>
              <w:color w:val="auto"/>
              <w:highlight w:val="none"/>
            </w:rPr>
            <w:fldChar w:fldCharType="separate"/>
          </w:r>
          <w:r>
            <w:rPr>
              <w:rFonts w:hint="eastAsia" w:ascii="仿宋" w:hAnsi="仿宋" w:eastAsia="仿宋" w:cs="仿宋"/>
              <w:color w:val="auto"/>
              <w:szCs w:val="24"/>
              <w:highlight w:val="none"/>
            </w:rPr>
            <w:t>55</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发包人供应材料和工程设备</w:t>
          </w:r>
          <w:r>
            <w:rPr>
              <w:color w:val="auto"/>
              <w:highlight w:val="none"/>
            </w:rPr>
            <w:tab/>
          </w:r>
          <w:r>
            <w:rPr>
              <w:color w:val="auto"/>
              <w:highlight w:val="none"/>
            </w:rPr>
            <w:fldChar w:fldCharType="begin"/>
          </w:r>
          <w:r>
            <w:rPr>
              <w:color w:val="auto"/>
              <w:highlight w:val="none"/>
            </w:rPr>
            <w:instrText xml:space="preserve"> PAGEREF _Toc15679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"_Toc28058" </w:instrText>
          </w:r>
          <w:r>
            <w:rPr>
              <w:color w:val="auto"/>
              <w:highlight w:val="none"/>
            </w:rPr>
            <w:fldChar w:fldCharType="separate"/>
          </w:r>
          <w:r>
            <w:rPr>
              <w:rFonts w:hint="eastAsia" w:ascii="仿宋" w:hAnsi="仿宋" w:eastAsia="仿宋" w:cs="仿宋"/>
              <w:color w:val="auto"/>
              <w:szCs w:val="24"/>
              <w:highlight w:val="none"/>
            </w:rPr>
            <w:t>56</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承包人购置设备及工器具、采购材料和工程设备</w:t>
          </w:r>
          <w:r>
            <w:rPr>
              <w:color w:val="auto"/>
              <w:highlight w:val="none"/>
            </w:rPr>
            <w:tab/>
          </w:r>
          <w:r>
            <w:rPr>
              <w:color w:val="auto"/>
              <w:highlight w:val="none"/>
            </w:rPr>
            <w:fldChar w:fldCharType="begin"/>
          </w:r>
          <w:r>
            <w:rPr>
              <w:color w:val="auto"/>
              <w:highlight w:val="none"/>
            </w:rPr>
            <w:instrText xml:space="preserve"> PAGEREF _Toc28058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"_Toc15845" </w:instrText>
          </w:r>
          <w:r>
            <w:rPr>
              <w:color w:val="auto"/>
              <w:highlight w:val="none"/>
            </w:rPr>
            <w:fldChar w:fldCharType="separate"/>
          </w:r>
          <w:r>
            <w:rPr>
              <w:rFonts w:ascii="仿宋" w:hAnsi="仿宋" w:eastAsia="仿宋" w:cs="仿宋"/>
              <w:color w:val="auto"/>
              <w:szCs w:val="24"/>
              <w:highlight w:val="none"/>
            </w:rPr>
            <w:t>5</w:t>
          </w:r>
          <w:r>
            <w:rPr>
              <w:rFonts w:hint="eastAsia" w:ascii="仿宋" w:hAnsi="仿宋" w:eastAsia="仿宋" w:cs="仿宋"/>
              <w:color w:val="auto"/>
              <w:szCs w:val="24"/>
              <w:highlight w:val="none"/>
            </w:rPr>
            <w:t>7</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_Toc15845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"_Toc29792" </w:instrText>
          </w:r>
          <w:r>
            <w:rPr>
              <w:color w:val="auto"/>
              <w:highlight w:val="none"/>
            </w:rPr>
            <w:fldChar w:fldCharType="separate"/>
          </w:r>
          <w:r>
            <w:rPr>
              <w:rFonts w:ascii="仿宋" w:hAnsi="仿宋" w:eastAsia="仿宋" w:cs="仿宋"/>
              <w:color w:val="auto"/>
              <w:szCs w:val="24"/>
              <w:highlight w:val="none"/>
            </w:rPr>
            <w:t>5</w:t>
          </w:r>
          <w:r>
            <w:rPr>
              <w:rFonts w:hint="eastAsia" w:ascii="仿宋" w:hAnsi="仿宋" w:eastAsia="仿宋" w:cs="仿宋"/>
              <w:color w:val="auto"/>
              <w:szCs w:val="24"/>
              <w:highlight w:val="none"/>
            </w:rPr>
            <w:t>8</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施工设备和临时设施</w:t>
          </w:r>
          <w:r>
            <w:rPr>
              <w:color w:val="auto"/>
              <w:highlight w:val="none"/>
            </w:rPr>
            <w:tab/>
          </w:r>
          <w:r>
            <w:rPr>
              <w:color w:val="auto"/>
              <w:highlight w:val="none"/>
            </w:rPr>
            <w:fldChar w:fldCharType="begin"/>
          </w:r>
          <w:r>
            <w:rPr>
              <w:color w:val="auto"/>
              <w:highlight w:val="none"/>
            </w:rPr>
            <w:instrText xml:space="preserve"> PAGEREF _Toc29792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"_Toc14476" </w:instrText>
          </w:r>
          <w:r>
            <w:rPr>
              <w:color w:val="auto"/>
              <w:highlight w:val="none"/>
            </w:rPr>
            <w:fldChar w:fldCharType="separate"/>
          </w:r>
          <w:r>
            <w:rPr>
              <w:rFonts w:hint="eastAsia" w:ascii="仿宋" w:hAnsi="仿宋" w:eastAsia="仿宋" w:cs="仿宋"/>
              <w:color w:val="auto"/>
              <w:szCs w:val="24"/>
              <w:highlight w:val="none"/>
            </w:rPr>
            <w:t>★59</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工程质量检查</w:t>
          </w:r>
          <w:r>
            <w:rPr>
              <w:color w:val="auto"/>
              <w:highlight w:val="none"/>
            </w:rPr>
            <w:tab/>
          </w:r>
          <w:r>
            <w:rPr>
              <w:color w:val="auto"/>
              <w:highlight w:val="none"/>
            </w:rPr>
            <w:fldChar w:fldCharType="begin"/>
          </w:r>
          <w:r>
            <w:rPr>
              <w:color w:val="auto"/>
              <w:highlight w:val="none"/>
            </w:rPr>
            <w:instrText xml:space="preserve"> PAGEREF _Toc14476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"_Toc23584" </w:instrText>
          </w:r>
          <w:r>
            <w:rPr>
              <w:color w:val="auto"/>
              <w:highlight w:val="none"/>
            </w:rPr>
            <w:fldChar w:fldCharType="separate"/>
          </w:r>
          <w:r>
            <w:rPr>
              <w:rFonts w:hint="eastAsia" w:ascii="仿宋" w:hAnsi="仿宋" w:eastAsia="仿宋" w:cs="仿宋"/>
              <w:color w:val="auto"/>
              <w:szCs w:val="24"/>
              <w:highlight w:val="none"/>
            </w:rPr>
            <w:t>★60</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隐蔽工程和中间验收</w:t>
          </w:r>
          <w:r>
            <w:rPr>
              <w:color w:val="auto"/>
              <w:highlight w:val="none"/>
            </w:rPr>
            <w:tab/>
          </w:r>
          <w:r>
            <w:rPr>
              <w:color w:val="auto"/>
              <w:highlight w:val="none"/>
            </w:rPr>
            <w:fldChar w:fldCharType="begin"/>
          </w:r>
          <w:r>
            <w:rPr>
              <w:color w:val="auto"/>
              <w:highlight w:val="none"/>
            </w:rPr>
            <w:instrText xml:space="preserve"> PAGEREF _Toc23584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"_Toc27720" </w:instrText>
          </w:r>
          <w:r>
            <w:rPr>
              <w:color w:val="auto"/>
              <w:highlight w:val="none"/>
            </w:rPr>
            <w:fldChar w:fldCharType="separate"/>
          </w:r>
          <w:r>
            <w:rPr>
              <w:rFonts w:hint="eastAsia" w:ascii="仿宋" w:hAnsi="仿宋" w:eastAsia="仿宋" w:cs="仿宋"/>
              <w:color w:val="auto"/>
              <w:szCs w:val="24"/>
              <w:highlight w:val="none"/>
            </w:rPr>
            <w:t>★61</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重新验收和额外检查检验</w:t>
          </w:r>
          <w:r>
            <w:rPr>
              <w:color w:val="auto"/>
              <w:highlight w:val="none"/>
            </w:rPr>
            <w:tab/>
          </w:r>
          <w:r>
            <w:rPr>
              <w:color w:val="auto"/>
              <w:highlight w:val="none"/>
            </w:rPr>
            <w:fldChar w:fldCharType="begin"/>
          </w:r>
          <w:r>
            <w:rPr>
              <w:color w:val="auto"/>
              <w:highlight w:val="none"/>
            </w:rPr>
            <w:instrText xml:space="preserve"> PAGEREF _Toc27720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"_Toc10642" </w:instrText>
          </w:r>
          <w:r>
            <w:rPr>
              <w:color w:val="auto"/>
              <w:highlight w:val="none"/>
            </w:rPr>
            <w:fldChar w:fldCharType="separate"/>
          </w:r>
          <w:r>
            <w:rPr>
              <w:rFonts w:hint="eastAsia" w:ascii="仿宋" w:hAnsi="仿宋" w:eastAsia="仿宋" w:cs="仿宋"/>
              <w:color w:val="auto"/>
              <w:szCs w:val="24"/>
              <w:highlight w:val="none"/>
            </w:rPr>
            <w:t>62</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工程试车</w:t>
          </w:r>
          <w:r>
            <w:rPr>
              <w:color w:val="auto"/>
              <w:highlight w:val="none"/>
            </w:rPr>
            <w:tab/>
          </w:r>
          <w:r>
            <w:rPr>
              <w:color w:val="auto"/>
              <w:highlight w:val="none"/>
            </w:rPr>
            <w:fldChar w:fldCharType="begin"/>
          </w:r>
          <w:r>
            <w:rPr>
              <w:color w:val="auto"/>
              <w:highlight w:val="none"/>
            </w:rPr>
            <w:instrText xml:space="preserve"> PAGEREF _Toc10642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"_Toc19744" </w:instrText>
          </w:r>
          <w:r>
            <w:rPr>
              <w:color w:val="auto"/>
              <w:highlight w:val="none"/>
            </w:rPr>
            <w:fldChar w:fldCharType="separate"/>
          </w:r>
          <w:r>
            <w:rPr>
              <w:rFonts w:hint="eastAsia" w:ascii="仿宋" w:hAnsi="仿宋" w:eastAsia="仿宋" w:cs="仿宋"/>
              <w:color w:val="auto"/>
              <w:szCs w:val="24"/>
              <w:highlight w:val="none"/>
            </w:rPr>
            <w:t>★63</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工程变更</w:t>
          </w:r>
          <w:r>
            <w:rPr>
              <w:color w:val="auto"/>
              <w:highlight w:val="none"/>
            </w:rPr>
            <w:tab/>
          </w:r>
          <w:r>
            <w:rPr>
              <w:color w:val="auto"/>
              <w:highlight w:val="none"/>
            </w:rPr>
            <w:fldChar w:fldCharType="begin"/>
          </w:r>
          <w:r>
            <w:rPr>
              <w:color w:val="auto"/>
              <w:highlight w:val="none"/>
            </w:rPr>
            <w:instrText xml:space="preserve"> PAGEREF _Toc19744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"_Toc8740" </w:instrText>
          </w:r>
          <w:r>
            <w:rPr>
              <w:color w:val="auto"/>
              <w:highlight w:val="none"/>
            </w:rPr>
            <w:fldChar w:fldCharType="separate"/>
          </w:r>
          <w:r>
            <w:rPr>
              <w:rFonts w:hint="eastAsia" w:ascii="仿宋" w:hAnsi="仿宋" w:eastAsia="仿宋" w:cs="仿宋"/>
              <w:color w:val="auto"/>
              <w:szCs w:val="24"/>
              <w:highlight w:val="none"/>
            </w:rPr>
            <w:t>64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竣工验收条件</w:t>
          </w:r>
          <w:r>
            <w:rPr>
              <w:color w:val="auto"/>
              <w:highlight w:val="none"/>
            </w:rPr>
            <w:tab/>
          </w:r>
          <w:r>
            <w:rPr>
              <w:color w:val="auto"/>
              <w:highlight w:val="none"/>
            </w:rPr>
            <w:fldChar w:fldCharType="begin"/>
          </w:r>
          <w:r>
            <w:rPr>
              <w:color w:val="auto"/>
              <w:highlight w:val="none"/>
            </w:rPr>
            <w:instrText xml:space="preserve"> PAGEREF _Toc8740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"_Toc11841" </w:instrText>
          </w:r>
          <w:r>
            <w:rPr>
              <w:color w:val="auto"/>
              <w:highlight w:val="none"/>
            </w:rPr>
            <w:fldChar w:fldCharType="separate"/>
          </w:r>
          <w:r>
            <w:rPr>
              <w:rFonts w:hint="eastAsia" w:ascii="仿宋" w:hAnsi="仿宋" w:eastAsia="仿宋" w:cs="仿宋"/>
              <w:color w:val="auto"/>
              <w:szCs w:val="24"/>
              <w:highlight w:val="none"/>
            </w:rPr>
            <w:t>65</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竣工验收</w:t>
          </w:r>
          <w:r>
            <w:rPr>
              <w:color w:val="auto"/>
              <w:highlight w:val="none"/>
            </w:rPr>
            <w:tab/>
          </w:r>
          <w:r>
            <w:rPr>
              <w:color w:val="auto"/>
              <w:highlight w:val="none"/>
            </w:rPr>
            <w:fldChar w:fldCharType="begin"/>
          </w:r>
          <w:r>
            <w:rPr>
              <w:color w:val="auto"/>
              <w:highlight w:val="none"/>
            </w:rPr>
            <w:instrText xml:space="preserve"> PAGEREF _Toc11841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"_Toc21216" </w:instrText>
          </w:r>
          <w:r>
            <w:rPr>
              <w:color w:val="auto"/>
              <w:highlight w:val="none"/>
            </w:rPr>
            <w:fldChar w:fldCharType="separate"/>
          </w:r>
          <w:r>
            <w:rPr>
              <w:rFonts w:hint="eastAsia" w:ascii="仿宋" w:hAnsi="仿宋" w:eastAsia="仿宋" w:cs="仿宋"/>
              <w:color w:val="auto"/>
              <w:szCs w:val="24"/>
              <w:highlight w:val="none"/>
            </w:rPr>
            <w:t>66</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缺陷责任与质量保修</w:t>
          </w:r>
          <w:r>
            <w:rPr>
              <w:color w:val="auto"/>
              <w:highlight w:val="none"/>
            </w:rPr>
            <w:tab/>
          </w:r>
          <w:r>
            <w:rPr>
              <w:color w:val="auto"/>
              <w:highlight w:val="none"/>
            </w:rPr>
            <w:fldChar w:fldCharType="begin"/>
          </w:r>
          <w:r>
            <w:rPr>
              <w:color w:val="auto"/>
              <w:highlight w:val="none"/>
            </w:rPr>
            <w:instrText xml:space="preserve"> PAGEREF _Toc21216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"_Toc4418" </w:instrText>
          </w:r>
          <w:r>
            <w:rPr>
              <w:color w:val="auto"/>
              <w:highlight w:val="none"/>
            </w:rPr>
            <w:fldChar w:fldCharType="separate"/>
          </w:r>
          <w:r>
            <w:rPr>
              <w:rFonts w:hint="eastAsia" w:ascii="仿宋" w:hAnsi="仿宋" w:eastAsia="仿宋" w:cs="仿宋"/>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_Toc4418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"_Toc17158" </w:instrText>
          </w:r>
          <w:r>
            <w:rPr>
              <w:color w:val="auto"/>
              <w:highlight w:val="none"/>
            </w:rPr>
            <w:fldChar w:fldCharType="separate"/>
          </w:r>
          <w:r>
            <w:rPr>
              <w:rFonts w:ascii="仿宋" w:hAnsi="仿宋" w:eastAsia="仿宋" w:cs="仿宋"/>
              <w:color w:val="auto"/>
              <w:szCs w:val="24"/>
              <w:highlight w:val="none"/>
            </w:rPr>
            <w:t>6</w:t>
          </w:r>
          <w:r>
            <w:rPr>
              <w:rFonts w:hint="eastAsia" w:ascii="仿宋" w:hAnsi="仿宋" w:eastAsia="仿宋" w:cs="仿宋"/>
              <w:color w:val="auto"/>
              <w:szCs w:val="24"/>
              <w:highlight w:val="none"/>
            </w:rPr>
            <w:t>7</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资金计划和安排</w:t>
          </w:r>
          <w:r>
            <w:rPr>
              <w:color w:val="auto"/>
              <w:highlight w:val="none"/>
            </w:rPr>
            <w:tab/>
          </w:r>
          <w:r>
            <w:rPr>
              <w:color w:val="auto"/>
              <w:highlight w:val="none"/>
            </w:rPr>
            <w:fldChar w:fldCharType="begin"/>
          </w:r>
          <w:r>
            <w:rPr>
              <w:color w:val="auto"/>
              <w:highlight w:val="none"/>
            </w:rPr>
            <w:instrText xml:space="preserve"> PAGEREF _Toc17158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"_Toc15211" </w:instrText>
          </w:r>
          <w:r>
            <w:rPr>
              <w:color w:val="auto"/>
              <w:highlight w:val="none"/>
            </w:rPr>
            <w:fldChar w:fldCharType="separate"/>
          </w:r>
          <w:r>
            <w:rPr>
              <w:rFonts w:hint="eastAsia" w:ascii="仿宋" w:hAnsi="仿宋" w:eastAsia="仿宋" w:cs="仿宋"/>
              <w:color w:val="auto"/>
              <w:szCs w:val="24"/>
              <w:highlight w:val="none"/>
            </w:rPr>
            <w:t>68</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联合体牵头人项目管理费</w:t>
          </w:r>
          <w:r>
            <w:rPr>
              <w:color w:val="auto"/>
              <w:highlight w:val="none"/>
            </w:rPr>
            <w:tab/>
          </w:r>
          <w:r>
            <w:rPr>
              <w:color w:val="auto"/>
              <w:highlight w:val="none"/>
            </w:rPr>
            <w:fldChar w:fldCharType="begin"/>
          </w:r>
          <w:r>
            <w:rPr>
              <w:color w:val="auto"/>
              <w:highlight w:val="none"/>
            </w:rPr>
            <w:instrText xml:space="preserve"> PAGEREF _Toc15211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"_Toc27610" </w:instrText>
          </w:r>
          <w:r>
            <w:rPr>
              <w:color w:val="auto"/>
              <w:highlight w:val="none"/>
            </w:rPr>
            <w:fldChar w:fldCharType="separate"/>
          </w:r>
          <w:r>
            <w:rPr>
              <w:rFonts w:hint="eastAsia" w:ascii="仿宋" w:hAnsi="仿宋" w:eastAsia="仿宋" w:cs="仿宋"/>
              <w:color w:val="auto"/>
              <w:szCs w:val="24"/>
              <w:highlight w:val="none"/>
            </w:rPr>
            <w:t>★69</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合同价格的约定与调整</w:t>
          </w:r>
          <w:r>
            <w:rPr>
              <w:color w:val="auto"/>
              <w:highlight w:val="none"/>
            </w:rPr>
            <w:tab/>
          </w:r>
          <w:r>
            <w:rPr>
              <w:color w:val="auto"/>
              <w:highlight w:val="none"/>
            </w:rPr>
            <w:fldChar w:fldCharType="begin"/>
          </w:r>
          <w:r>
            <w:rPr>
              <w:color w:val="auto"/>
              <w:highlight w:val="none"/>
            </w:rPr>
            <w:instrText xml:space="preserve"> PAGEREF _Toc27610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"_Toc1447" </w:instrText>
          </w:r>
          <w:r>
            <w:rPr>
              <w:color w:val="auto"/>
              <w:highlight w:val="none"/>
            </w:rPr>
            <w:fldChar w:fldCharType="separate"/>
          </w:r>
          <w:r>
            <w:rPr>
              <w:rFonts w:hint="eastAsia" w:ascii="仿宋" w:hAnsi="仿宋" w:eastAsia="仿宋" w:cs="仿宋"/>
              <w:color w:val="auto"/>
              <w:szCs w:val="24"/>
              <w:highlight w:val="none"/>
            </w:rPr>
            <w:t>★70</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合同价格调整程序</w:t>
          </w:r>
          <w:r>
            <w:rPr>
              <w:color w:val="auto"/>
              <w:highlight w:val="none"/>
            </w:rPr>
            <w:tab/>
          </w:r>
          <w:r>
            <w:rPr>
              <w:color w:val="auto"/>
              <w:highlight w:val="none"/>
            </w:rPr>
            <w:fldChar w:fldCharType="begin"/>
          </w:r>
          <w:r>
            <w:rPr>
              <w:color w:val="auto"/>
              <w:highlight w:val="none"/>
            </w:rPr>
            <w:instrText xml:space="preserve"> PAGEREF _Toc1447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"_Toc3879" </w:instrText>
          </w:r>
          <w:r>
            <w:rPr>
              <w:color w:val="auto"/>
              <w:highlight w:val="none"/>
            </w:rPr>
            <w:fldChar w:fldCharType="separate"/>
          </w:r>
          <w:r>
            <w:rPr>
              <w:rFonts w:hint="eastAsia" w:ascii="仿宋" w:hAnsi="仿宋" w:eastAsia="仿宋" w:cs="仿宋"/>
              <w:color w:val="auto"/>
              <w:szCs w:val="24"/>
              <w:highlight w:val="none"/>
            </w:rPr>
            <w:t>★71</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工作量或工程量</w:t>
          </w:r>
          <w:r>
            <w:rPr>
              <w:color w:val="auto"/>
              <w:highlight w:val="none"/>
            </w:rPr>
            <w:tab/>
          </w:r>
          <w:r>
            <w:rPr>
              <w:color w:val="auto"/>
              <w:highlight w:val="none"/>
            </w:rPr>
            <w:fldChar w:fldCharType="begin"/>
          </w:r>
          <w:r>
            <w:rPr>
              <w:color w:val="auto"/>
              <w:highlight w:val="none"/>
            </w:rPr>
            <w:instrText xml:space="preserve"> PAGEREF _Toc3879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"_Toc9569" </w:instrText>
          </w:r>
          <w:r>
            <w:rPr>
              <w:color w:val="auto"/>
              <w:highlight w:val="none"/>
            </w:rPr>
            <w:fldChar w:fldCharType="separate"/>
          </w:r>
          <w:r>
            <w:rPr>
              <w:rFonts w:hint="eastAsia" w:ascii="仿宋" w:hAnsi="仿宋" w:eastAsia="仿宋" w:cs="仿宋"/>
              <w:color w:val="auto"/>
              <w:szCs w:val="24"/>
              <w:highlight w:val="none"/>
            </w:rPr>
            <w:t>★72</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计量和计价</w:t>
          </w:r>
          <w:r>
            <w:rPr>
              <w:color w:val="auto"/>
              <w:highlight w:val="none"/>
            </w:rPr>
            <w:tab/>
          </w:r>
          <w:r>
            <w:rPr>
              <w:color w:val="auto"/>
              <w:highlight w:val="none"/>
            </w:rPr>
            <w:fldChar w:fldCharType="begin"/>
          </w:r>
          <w:r>
            <w:rPr>
              <w:color w:val="auto"/>
              <w:highlight w:val="none"/>
            </w:rPr>
            <w:instrText xml:space="preserve"> PAGEREF _Toc9569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"_Toc25651" </w:instrText>
          </w:r>
          <w:r>
            <w:rPr>
              <w:color w:val="auto"/>
              <w:highlight w:val="none"/>
            </w:rPr>
            <w:fldChar w:fldCharType="separate"/>
          </w:r>
          <w:r>
            <w:rPr>
              <w:rFonts w:hint="eastAsia" w:ascii="仿宋" w:hAnsi="仿宋" w:eastAsia="仿宋" w:cs="仿宋"/>
              <w:color w:val="auto"/>
              <w:szCs w:val="24"/>
              <w:highlight w:val="none"/>
            </w:rPr>
            <w:t>★73</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暂列金额</w:t>
          </w:r>
          <w:r>
            <w:rPr>
              <w:color w:val="auto"/>
              <w:highlight w:val="none"/>
            </w:rPr>
            <w:tab/>
          </w:r>
          <w:r>
            <w:rPr>
              <w:color w:val="auto"/>
              <w:highlight w:val="none"/>
            </w:rPr>
            <w:fldChar w:fldCharType="begin"/>
          </w:r>
          <w:r>
            <w:rPr>
              <w:color w:val="auto"/>
              <w:highlight w:val="none"/>
            </w:rPr>
            <w:instrText xml:space="preserve"> PAGEREF _Toc25651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"_Toc7198" </w:instrText>
          </w:r>
          <w:r>
            <w:rPr>
              <w:color w:val="auto"/>
              <w:highlight w:val="none"/>
            </w:rPr>
            <w:fldChar w:fldCharType="separate"/>
          </w:r>
          <w:r>
            <w:rPr>
              <w:rFonts w:hint="eastAsia" w:ascii="仿宋" w:hAnsi="仿宋" w:eastAsia="仿宋" w:cs="仿宋"/>
              <w:color w:val="auto"/>
              <w:szCs w:val="24"/>
              <w:highlight w:val="none"/>
            </w:rPr>
            <w:t>★74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计日工</w:t>
          </w:r>
          <w:r>
            <w:rPr>
              <w:color w:val="auto"/>
              <w:highlight w:val="none"/>
            </w:rPr>
            <w:tab/>
          </w:r>
          <w:r>
            <w:rPr>
              <w:color w:val="auto"/>
              <w:highlight w:val="none"/>
            </w:rPr>
            <w:fldChar w:fldCharType="begin"/>
          </w:r>
          <w:r>
            <w:rPr>
              <w:color w:val="auto"/>
              <w:highlight w:val="none"/>
            </w:rPr>
            <w:instrText xml:space="preserve"> PAGEREF _Toc7198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"_Toc16668" </w:instrText>
          </w:r>
          <w:r>
            <w:rPr>
              <w:color w:val="auto"/>
              <w:highlight w:val="none"/>
            </w:rPr>
            <w:fldChar w:fldCharType="separate"/>
          </w:r>
          <w:r>
            <w:rPr>
              <w:rFonts w:hint="eastAsia" w:ascii="仿宋" w:hAnsi="仿宋" w:eastAsia="仿宋" w:cs="仿宋"/>
              <w:color w:val="auto"/>
              <w:szCs w:val="24"/>
              <w:highlight w:val="none"/>
            </w:rPr>
            <w:t>★75</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暂估价</w:t>
          </w:r>
          <w:r>
            <w:rPr>
              <w:color w:val="auto"/>
              <w:highlight w:val="none"/>
            </w:rPr>
            <w:tab/>
          </w:r>
          <w:r>
            <w:rPr>
              <w:color w:val="auto"/>
              <w:highlight w:val="none"/>
            </w:rPr>
            <w:fldChar w:fldCharType="begin"/>
          </w:r>
          <w:r>
            <w:rPr>
              <w:color w:val="auto"/>
              <w:highlight w:val="none"/>
            </w:rPr>
            <w:instrText xml:space="preserve"> PAGEREF _Toc16668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"_Toc20064" </w:instrText>
          </w:r>
          <w:r>
            <w:rPr>
              <w:color w:val="auto"/>
              <w:highlight w:val="none"/>
            </w:rPr>
            <w:fldChar w:fldCharType="separate"/>
          </w:r>
          <w:r>
            <w:rPr>
              <w:rFonts w:hint="eastAsia" w:ascii="仿宋" w:hAnsi="仿宋" w:eastAsia="仿宋" w:cs="仿宋"/>
              <w:color w:val="auto"/>
              <w:szCs w:val="24"/>
              <w:highlight w:val="none"/>
            </w:rPr>
            <w:t>★76</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提前竣工奖与误期赔偿费</w:t>
          </w:r>
          <w:r>
            <w:rPr>
              <w:color w:val="auto"/>
              <w:highlight w:val="none"/>
            </w:rPr>
            <w:tab/>
          </w:r>
          <w:r>
            <w:rPr>
              <w:color w:val="auto"/>
              <w:highlight w:val="none"/>
            </w:rPr>
            <w:fldChar w:fldCharType="begin"/>
          </w:r>
          <w:r>
            <w:rPr>
              <w:color w:val="auto"/>
              <w:highlight w:val="none"/>
            </w:rPr>
            <w:instrText xml:space="preserve"> PAGEREF _Toc20064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"_Toc4039" </w:instrText>
          </w:r>
          <w:r>
            <w:rPr>
              <w:color w:val="auto"/>
              <w:highlight w:val="none"/>
            </w:rPr>
            <w:fldChar w:fldCharType="separate"/>
          </w:r>
          <w:r>
            <w:rPr>
              <w:rFonts w:hint="eastAsia" w:ascii="仿宋" w:hAnsi="仿宋" w:eastAsia="仿宋" w:cs="仿宋"/>
              <w:color w:val="auto"/>
              <w:szCs w:val="24"/>
              <w:highlight w:val="none"/>
            </w:rPr>
            <w:t>★77</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优质优价费用</w:t>
          </w:r>
          <w:r>
            <w:rPr>
              <w:color w:val="auto"/>
              <w:highlight w:val="none"/>
            </w:rPr>
            <w:tab/>
          </w:r>
          <w:r>
            <w:rPr>
              <w:color w:val="auto"/>
              <w:highlight w:val="none"/>
            </w:rPr>
            <w:fldChar w:fldCharType="begin"/>
          </w:r>
          <w:r>
            <w:rPr>
              <w:color w:val="auto"/>
              <w:highlight w:val="none"/>
            </w:rPr>
            <w:instrText xml:space="preserve"> PAGEREF _Toc4039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"_Toc13863" </w:instrText>
          </w:r>
          <w:r>
            <w:rPr>
              <w:color w:val="auto"/>
              <w:highlight w:val="none"/>
            </w:rPr>
            <w:fldChar w:fldCharType="separate"/>
          </w:r>
          <w:r>
            <w:rPr>
              <w:rFonts w:hint="eastAsia" w:ascii="仿宋" w:hAnsi="仿宋" w:eastAsia="仿宋" w:cs="仿宋"/>
              <w:color w:val="auto"/>
              <w:szCs w:val="24"/>
              <w:highlight w:val="none"/>
            </w:rPr>
            <w:t>★78</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后继法律变化引起的价格调整</w:t>
          </w:r>
          <w:r>
            <w:rPr>
              <w:color w:val="auto"/>
              <w:highlight w:val="none"/>
            </w:rPr>
            <w:tab/>
          </w:r>
          <w:r>
            <w:rPr>
              <w:color w:val="auto"/>
              <w:highlight w:val="none"/>
            </w:rPr>
            <w:fldChar w:fldCharType="begin"/>
          </w:r>
          <w:r>
            <w:rPr>
              <w:color w:val="auto"/>
              <w:highlight w:val="none"/>
            </w:rPr>
            <w:instrText xml:space="preserve"> PAGEREF _Toc13863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"_Toc20666" </w:instrText>
          </w:r>
          <w:r>
            <w:rPr>
              <w:color w:val="auto"/>
              <w:highlight w:val="none"/>
            </w:rPr>
            <w:fldChar w:fldCharType="separate"/>
          </w:r>
          <w:r>
            <w:rPr>
              <w:rFonts w:hint="eastAsia" w:ascii="仿宋" w:hAnsi="仿宋" w:eastAsia="仿宋" w:cs="仿宋"/>
              <w:color w:val="auto"/>
              <w:szCs w:val="24"/>
              <w:highlight w:val="none"/>
            </w:rPr>
            <w:t>★79</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 xml:space="preserve"> 可调价变更定价</w:t>
          </w:r>
          <w:r>
            <w:rPr>
              <w:color w:val="auto"/>
              <w:highlight w:val="none"/>
            </w:rPr>
            <w:tab/>
          </w:r>
          <w:r>
            <w:rPr>
              <w:color w:val="auto"/>
              <w:highlight w:val="none"/>
            </w:rPr>
            <w:fldChar w:fldCharType="begin"/>
          </w:r>
          <w:r>
            <w:rPr>
              <w:color w:val="auto"/>
              <w:highlight w:val="none"/>
            </w:rPr>
            <w:instrText xml:space="preserve"> PAGEREF _Toc20666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"_Toc12185" </w:instrText>
          </w:r>
          <w:r>
            <w:rPr>
              <w:color w:val="auto"/>
              <w:highlight w:val="none"/>
            </w:rPr>
            <w:fldChar w:fldCharType="separate"/>
          </w:r>
          <w:r>
            <w:rPr>
              <w:rFonts w:hint="eastAsia" w:ascii="仿宋" w:hAnsi="仿宋" w:eastAsia="仿宋" w:cs="仿宋"/>
              <w:color w:val="auto"/>
              <w:szCs w:val="24"/>
              <w:highlight w:val="none"/>
            </w:rPr>
            <w:t>★80</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费用索赔</w:t>
          </w:r>
          <w:r>
            <w:rPr>
              <w:color w:val="auto"/>
              <w:highlight w:val="none"/>
            </w:rPr>
            <w:tab/>
          </w:r>
          <w:r>
            <w:rPr>
              <w:color w:val="auto"/>
              <w:highlight w:val="none"/>
            </w:rPr>
            <w:fldChar w:fldCharType="begin"/>
          </w:r>
          <w:r>
            <w:rPr>
              <w:color w:val="auto"/>
              <w:highlight w:val="none"/>
            </w:rPr>
            <w:instrText xml:space="preserve"> PAGEREF _Toc12185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"_Toc16416" </w:instrText>
          </w:r>
          <w:r>
            <w:rPr>
              <w:color w:val="auto"/>
              <w:highlight w:val="none"/>
            </w:rPr>
            <w:fldChar w:fldCharType="separate"/>
          </w:r>
          <w:r>
            <w:rPr>
              <w:rFonts w:hint="eastAsia" w:ascii="仿宋" w:hAnsi="仿宋" w:eastAsia="仿宋" w:cs="仿宋"/>
              <w:color w:val="auto"/>
              <w:szCs w:val="24"/>
              <w:highlight w:val="none"/>
            </w:rPr>
            <w:t>★81</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现场签证价格的确定</w:t>
          </w:r>
          <w:r>
            <w:rPr>
              <w:color w:val="auto"/>
              <w:highlight w:val="none"/>
            </w:rPr>
            <w:tab/>
          </w:r>
          <w:r>
            <w:rPr>
              <w:color w:val="auto"/>
              <w:highlight w:val="none"/>
            </w:rPr>
            <w:fldChar w:fldCharType="begin"/>
          </w:r>
          <w:r>
            <w:rPr>
              <w:color w:val="auto"/>
              <w:highlight w:val="none"/>
            </w:rPr>
            <w:instrText xml:space="preserve"> PAGEREF _Toc16416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"_Toc7250" </w:instrText>
          </w:r>
          <w:r>
            <w:rPr>
              <w:color w:val="auto"/>
              <w:highlight w:val="none"/>
            </w:rPr>
            <w:fldChar w:fldCharType="separate"/>
          </w:r>
          <w:r>
            <w:rPr>
              <w:rFonts w:hint="eastAsia" w:ascii="仿宋" w:hAnsi="仿宋" w:eastAsia="仿宋" w:cs="仿宋"/>
              <w:color w:val="auto"/>
              <w:szCs w:val="24"/>
              <w:highlight w:val="none"/>
            </w:rPr>
            <w:t>★82</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物价涨落的价格调整</w:t>
          </w:r>
          <w:r>
            <w:rPr>
              <w:color w:val="auto"/>
              <w:highlight w:val="none"/>
            </w:rPr>
            <w:tab/>
          </w:r>
          <w:r>
            <w:rPr>
              <w:color w:val="auto"/>
              <w:highlight w:val="none"/>
            </w:rPr>
            <w:fldChar w:fldCharType="begin"/>
          </w:r>
          <w:r>
            <w:rPr>
              <w:color w:val="auto"/>
              <w:highlight w:val="none"/>
            </w:rPr>
            <w:instrText xml:space="preserve"> PAGEREF _Toc7250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"_Toc24285" </w:instrText>
          </w:r>
          <w:r>
            <w:rPr>
              <w:color w:val="auto"/>
              <w:highlight w:val="none"/>
            </w:rPr>
            <w:fldChar w:fldCharType="separate"/>
          </w:r>
          <w:r>
            <w:rPr>
              <w:rFonts w:hint="eastAsia" w:ascii="仿宋" w:hAnsi="仿宋" w:eastAsia="仿宋" w:cs="仿宋"/>
              <w:color w:val="auto"/>
              <w:szCs w:val="24"/>
              <w:highlight w:val="none"/>
            </w:rPr>
            <w:t>★83</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支付事项</w:t>
          </w:r>
          <w:r>
            <w:rPr>
              <w:color w:val="auto"/>
              <w:highlight w:val="none"/>
            </w:rPr>
            <w:tab/>
          </w:r>
          <w:r>
            <w:rPr>
              <w:color w:val="auto"/>
              <w:highlight w:val="none"/>
            </w:rPr>
            <w:fldChar w:fldCharType="begin"/>
          </w:r>
          <w:r>
            <w:rPr>
              <w:color w:val="auto"/>
              <w:highlight w:val="none"/>
            </w:rPr>
            <w:instrText xml:space="preserve"> PAGEREF _Toc24285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"_Toc20619" </w:instrText>
          </w:r>
          <w:r>
            <w:rPr>
              <w:color w:val="auto"/>
              <w:highlight w:val="none"/>
            </w:rPr>
            <w:fldChar w:fldCharType="separate"/>
          </w:r>
          <w:r>
            <w:rPr>
              <w:rFonts w:hint="eastAsia" w:ascii="仿宋" w:hAnsi="仿宋" w:eastAsia="仿宋" w:cs="仿宋"/>
              <w:color w:val="auto"/>
              <w:szCs w:val="24"/>
              <w:highlight w:val="none"/>
            </w:rPr>
            <w:t>★84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预付款</w:t>
          </w:r>
          <w:r>
            <w:rPr>
              <w:color w:val="auto"/>
              <w:highlight w:val="none"/>
            </w:rPr>
            <w:tab/>
          </w:r>
          <w:r>
            <w:rPr>
              <w:color w:val="auto"/>
              <w:highlight w:val="none"/>
            </w:rPr>
            <w:fldChar w:fldCharType="begin"/>
          </w:r>
          <w:r>
            <w:rPr>
              <w:color w:val="auto"/>
              <w:highlight w:val="none"/>
            </w:rPr>
            <w:instrText xml:space="preserve"> PAGEREF _Toc20619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"_Toc21375" </w:instrText>
          </w:r>
          <w:r>
            <w:rPr>
              <w:color w:val="auto"/>
              <w:highlight w:val="none"/>
            </w:rPr>
            <w:fldChar w:fldCharType="separate"/>
          </w:r>
          <w:r>
            <w:rPr>
              <w:rFonts w:hint="eastAsia" w:ascii="仿宋" w:hAnsi="仿宋" w:eastAsia="仿宋" w:cs="仿宋"/>
              <w:color w:val="auto"/>
              <w:szCs w:val="24"/>
              <w:highlight w:val="none"/>
            </w:rPr>
            <w:t>★85</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绿色施工安全防护费</w:t>
          </w:r>
          <w:r>
            <w:rPr>
              <w:color w:val="auto"/>
              <w:highlight w:val="none"/>
            </w:rPr>
            <w:tab/>
          </w:r>
          <w:r>
            <w:rPr>
              <w:color w:val="auto"/>
              <w:highlight w:val="none"/>
            </w:rPr>
            <w:fldChar w:fldCharType="begin"/>
          </w:r>
          <w:r>
            <w:rPr>
              <w:color w:val="auto"/>
              <w:highlight w:val="none"/>
            </w:rPr>
            <w:instrText xml:space="preserve"> PAGEREF _Toc21375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"_Toc30422" </w:instrText>
          </w:r>
          <w:r>
            <w:rPr>
              <w:color w:val="auto"/>
              <w:highlight w:val="none"/>
            </w:rPr>
            <w:fldChar w:fldCharType="separate"/>
          </w:r>
          <w:r>
            <w:rPr>
              <w:rFonts w:hint="eastAsia" w:ascii="仿宋" w:hAnsi="仿宋" w:eastAsia="仿宋" w:cs="仿宋"/>
              <w:color w:val="auto"/>
              <w:szCs w:val="24"/>
              <w:highlight w:val="none"/>
            </w:rPr>
            <w:t>★86</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进度款</w:t>
          </w:r>
          <w:r>
            <w:rPr>
              <w:color w:val="auto"/>
              <w:highlight w:val="none"/>
            </w:rPr>
            <w:tab/>
          </w:r>
          <w:r>
            <w:rPr>
              <w:color w:val="auto"/>
              <w:highlight w:val="none"/>
            </w:rPr>
            <w:fldChar w:fldCharType="begin"/>
          </w:r>
          <w:r>
            <w:rPr>
              <w:color w:val="auto"/>
              <w:highlight w:val="none"/>
            </w:rPr>
            <w:instrText xml:space="preserve"> PAGEREF _Toc30422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"_Toc11179" </w:instrText>
          </w:r>
          <w:r>
            <w:rPr>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color w:val="auto"/>
              <w:szCs w:val="24"/>
              <w:highlight w:val="none"/>
            </w:rPr>
            <w:t>8</w:t>
          </w:r>
          <w:r>
            <w:rPr>
              <w:rFonts w:hint="eastAsia" w:ascii="仿宋" w:hAnsi="仿宋" w:eastAsia="仿宋" w:cs="仿宋"/>
              <w:color w:val="auto"/>
              <w:szCs w:val="24"/>
              <w:highlight w:val="none"/>
            </w:rPr>
            <w:t>7</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竣工结算</w:t>
          </w:r>
          <w:r>
            <w:rPr>
              <w:color w:val="auto"/>
              <w:highlight w:val="none"/>
            </w:rPr>
            <w:tab/>
          </w:r>
          <w:r>
            <w:rPr>
              <w:color w:val="auto"/>
              <w:highlight w:val="none"/>
            </w:rPr>
            <w:fldChar w:fldCharType="begin"/>
          </w:r>
          <w:r>
            <w:rPr>
              <w:color w:val="auto"/>
              <w:highlight w:val="none"/>
            </w:rPr>
            <w:instrText xml:space="preserve"> PAGEREF _Toc11179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"_Toc1614" </w:instrText>
          </w:r>
          <w:r>
            <w:rPr>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color w:val="auto"/>
              <w:szCs w:val="24"/>
              <w:highlight w:val="none"/>
            </w:rPr>
            <w:t>8</w:t>
          </w:r>
          <w:r>
            <w:rPr>
              <w:rFonts w:hint="eastAsia" w:ascii="仿宋" w:hAnsi="仿宋" w:eastAsia="仿宋" w:cs="仿宋"/>
              <w:color w:val="auto"/>
              <w:szCs w:val="24"/>
              <w:highlight w:val="none"/>
            </w:rPr>
            <w:t>8</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结算款</w:t>
          </w:r>
          <w:r>
            <w:rPr>
              <w:color w:val="auto"/>
              <w:highlight w:val="none"/>
            </w:rPr>
            <w:tab/>
          </w:r>
          <w:r>
            <w:rPr>
              <w:color w:val="auto"/>
              <w:highlight w:val="none"/>
            </w:rPr>
            <w:fldChar w:fldCharType="begin"/>
          </w:r>
          <w:r>
            <w:rPr>
              <w:color w:val="auto"/>
              <w:highlight w:val="none"/>
            </w:rPr>
            <w:instrText xml:space="preserve"> PAGEREF _Toc1614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"_Toc18926" </w:instrText>
          </w:r>
          <w:r>
            <w:rPr>
              <w:color w:val="auto"/>
              <w:highlight w:val="none"/>
            </w:rPr>
            <w:fldChar w:fldCharType="separate"/>
          </w:r>
          <w:r>
            <w:rPr>
              <w:rFonts w:hint="eastAsia" w:ascii="仿宋" w:hAnsi="仿宋" w:eastAsia="仿宋" w:cs="仿宋"/>
              <w:color w:val="auto"/>
              <w:szCs w:val="24"/>
              <w:highlight w:val="none"/>
            </w:rPr>
            <w:t>★89</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质量保证金</w:t>
          </w:r>
          <w:r>
            <w:rPr>
              <w:color w:val="auto"/>
              <w:highlight w:val="none"/>
            </w:rPr>
            <w:tab/>
          </w:r>
          <w:r>
            <w:rPr>
              <w:color w:val="auto"/>
              <w:highlight w:val="none"/>
            </w:rPr>
            <w:fldChar w:fldCharType="begin"/>
          </w:r>
          <w:r>
            <w:rPr>
              <w:color w:val="auto"/>
              <w:highlight w:val="none"/>
            </w:rPr>
            <w:instrText xml:space="preserve"> PAGEREF _Toc18926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"_Toc1960" </w:instrText>
          </w:r>
          <w:r>
            <w:rPr>
              <w:color w:val="auto"/>
              <w:highlight w:val="none"/>
            </w:rPr>
            <w:fldChar w:fldCharType="separate"/>
          </w:r>
          <w:r>
            <w:rPr>
              <w:rFonts w:hint="eastAsia" w:ascii="仿宋" w:hAnsi="仿宋" w:eastAsia="仿宋" w:cs="仿宋"/>
              <w:color w:val="auto"/>
              <w:szCs w:val="24"/>
              <w:highlight w:val="none"/>
            </w:rPr>
            <w:t>90</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最终清算款</w:t>
          </w:r>
          <w:r>
            <w:rPr>
              <w:color w:val="auto"/>
              <w:highlight w:val="none"/>
            </w:rPr>
            <w:tab/>
          </w:r>
          <w:r>
            <w:rPr>
              <w:color w:val="auto"/>
              <w:highlight w:val="none"/>
            </w:rPr>
            <w:fldChar w:fldCharType="begin"/>
          </w:r>
          <w:r>
            <w:rPr>
              <w:color w:val="auto"/>
              <w:highlight w:val="none"/>
            </w:rPr>
            <w:instrText xml:space="preserve"> PAGEREF _Toc1960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"_Toc27418" </w:instrText>
          </w:r>
          <w:r>
            <w:rPr>
              <w:color w:val="auto"/>
              <w:highlight w:val="none"/>
            </w:rPr>
            <w:fldChar w:fldCharType="separate"/>
          </w:r>
          <w:r>
            <w:rPr>
              <w:rFonts w:hint="eastAsia" w:ascii="仿宋" w:hAnsi="仿宋" w:eastAsia="仿宋" w:cs="仿宋"/>
              <w:bCs/>
              <w:color w:val="auto"/>
              <w:szCs w:val="24"/>
              <w:highlight w:val="none"/>
            </w:rPr>
            <w:t>八、合同争议、解除与终止</w:t>
          </w:r>
          <w:r>
            <w:rPr>
              <w:color w:val="auto"/>
              <w:highlight w:val="none"/>
            </w:rPr>
            <w:tab/>
          </w:r>
          <w:r>
            <w:rPr>
              <w:color w:val="auto"/>
              <w:highlight w:val="none"/>
            </w:rPr>
            <w:fldChar w:fldCharType="begin"/>
          </w:r>
          <w:r>
            <w:rPr>
              <w:color w:val="auto"/>
              <w:highlight w:val="none"/>
            </w:rPr>
            <w:instrText xml:space="preserve"> PAGEREF _Toc27418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"_Toc1942" </w:instrText>
          </w:r>
          <w:r>
            <w:rPr>
              <w:color w:val="auto"/>
              <w:highlight w:val="none"/>
            </w:rPr>
            <w:fldChar w:fldCharType="separate"/>
          </w:r>
          <w:r>
            <w:rPr>
              <w:rFonts w:hint="eastAsia" w:ascii="仿宋" w:hAnsi="仿宋" w:eastAsia="仿宋" w:cs="仿宋"/>
              <w:color w:val="auto"/>
              <w:szCs w:val="24"/>
              <w:highlight w:val="none"/>
            </w:rPr>
            <w:t>91</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合同争议</w:t>
          </w:r>
          <w:r>
            <w:rPr>
              <w:color w:val="auto"/>
              <w:highlight w:val="none"/>
            </w:rPr>
            <w:tab/>
          </w:r>
          <w:r>
            <w:rPr>
              <w:color w:val="auto"/>
              <w:highlight w:val="none"/>
            </w:rPr>
            <w:fldChar w:fldCharType="begin"/>
          </w:r>
          <w:r>
            <w:rPr>
              <w:color w:val="auto"/>
              <w:highlight w:val="none"/>
            </w:rPr>
            <w:instrText xml:space="preserve"> PAGEREF _Toc1942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"_Toc18331" </w:instrText>
          </w:r>
          <w:r>
            <w:rPr>
              <w:color w:val="auto"/>
              <w:highlight w:val="none"/>
            </w:rPr>
            <w:fldChar w:fldCharType="separate"/>
          </w:r>
          <w:r>
            <w:rPr>
              <w:rFonts w:hint="eastAsia" w:ascii="仿宋" w:hAnsi="仿宋" w:eastAsia="仿宋" w:cs="仿宋"/>
              <w:color w:val="auto"/>
              <w:szCs w:val="24"/>
              <w:highlight w:val="none"/>
            </w:rPr>
            <w:t>92</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合同解除</w:t>
          </w:r>
          <w:r>
            <w:rPr>
              <w:color w:val="auto"/>
              <w:highlight w:val="none"/>
            </w:rPr>
            <w:tab/>
          </w:r>
          <w:r>
            <w:rPr>
              <w:color w:val="auto"/>
              <w:highlight w:val="none"/>
            </w:rPr>
            <w:fldChar w:fldCharType="begin"/>
          </w:r>
          <w:r>
            <w:rPr>
              <w:color w:val="auto"/>
              <w:highlight w:val="none"/>
            </w:rPr>
            <w:instrText xml:space="preserve"> PAGEREF _Toc18331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"_Toc18764" </w:instrText>
          </w:r>
          <w:r>
            <w:rPr>
              <w:color w:val="auto"/>
              <w:highlight w:val="none"/>
            </w:rPr>
            <w:fldChar w:fldCharType="separate"/>
          </w:r>
          <w:r>
            <w:rPr>
              <w:rFonts w:hint="eastAsia" w:ascii="仿宋" w:hAnsi="仿宋" w:eastAsia="仿宋" w:cs="仿宋"/>
              <w:color w:val="auto"/>
              <w:szCs w:val="24"/>
              <w:highlight w:val="none"/>
            </w:rPr>
            <w:t>93</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合同解除的支付</w:t>
          </w:r>
          <w:r>
            <w:rPr>
              <w:color w:val="auto"/>
              <w:highlight w:val="none"/>
            </w:rPr>
            <w:tab/>
          </w:r>
          <w:r>
            <w:rPr>
              <w:color w:val="auto"/>
              <w:highlight w:val="none"/>
            </w:rPr>
            <w:fldChar w:fldCharType="begin"/>
          </w:r>
          <w:r>
            <w:rPr>
              <w:color w:val="auto"/>
              <w:highlight w:val="none"/>
            </w:rPr>
            <w:instrText xml:space="preserve"> PAGEREF _Toc18764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"_Toc14442" </w:instrText>
          </w:r>
          <w:r>
            <w:rPr>
              <w:color w:val="auto"/>
              <w:highlight w:val="none"/>
            </w:rPr>
            <w:fldChar w:fldCharType="separate"/>
          </w:r>
          <w:r>
            <w:rPr>
              <w:rFonts w:hint="eastAsia" w:ascii="仿宋" w:hAnsi="仿宋" w:eastAsia="仿宋" w:cs="仿宋"/>
              <w:color w:val="auto"/>
              <w:szCs w:val="24"/>
              <w:highlight w:val="none"/>
            </w:rPr>
            <w:t>94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合同终止</w:t>
          </w:r>
          <w:r>
            <w:rPr>
              <w:color w:val="auto"/>
              <w:highlight w:val="none"/>
            </w:rPr>
            <w:tab/>
          </w:r>
          <w:r>
            <w:rPr>
              <w:color w:val="auto"/>
              <w:highlight w:val="none"/>
            </w:rPr>
            <w:fldChar w:fldCharType="begin"/>
          </w:r>
          <w:r>
            <w:rPr>
              <w:color w:val="auto"/>
              <w:highlight w:val="none"/>
            </w:rPr>
            <w:instrText xml:space="preserve"> PAGEREF _Toc14442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"_Toc8749" </w:instrText>
          </w:r>
          <w:r>
            <w:rPr>
              <w:color w:val="auto"/>
              <w:highlight w:val="none"/>
            </w:rPr>
            <w:fldChar w:fldCharType="separate"/>
          </w:r>
          <w:r>
            <w:rPr>
              <w:rFonts w:hint="eastAsia" w:ascii="仿宋" w:hAnsi="仿宋" w:eastAsia="仿宋" w:cs="仿宋"/>
              <w:bCs/>
              <w:color w:val="auto"/>
              <w:szCs w:val="24"/>
              <w:highlight w:val="none"/>
            </w:rPr>
            <w:t>九、违约</w:t>
          </w:r>
          <w:r>
            <w:rPr>
              <w:color w:val="auto"/>
              <w:highlight w:val="none"/>
            </w:rPr>
            <w:tab/>
          </w:r>
          <w:r>
            <w:rPr>
              <w:color w:val="auto"/>
              <w:highlight w:val="none"/>
            </w:rPr>
            <w:fldChar w:fldCharType="begin"/>
          </w:r>
          <w:r>
            <w:rPr>
              <w:color w:val="auto"/>
              <w:highlight w:val="none"/>
            </w:rPr>
            <w:instrText xml:space="preserve"> PAGEREF _Toc8749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"_Toc17534" </w:instrText>
          </w:r>
          <w:r>
            <w:rPr>
              <w:color w:val="auto"/>
              <w:highlight w:val="none"/>
            </w:rPr>
            <w:fldChar w:fldCharType="separate"/>
          </w:r>
          <w:r>
            <w:rPr>
              <w:rFonts w:hint="eastAsia" w:ascii="仿宋" w:hAnsi="仿宋" w:eastAsia="仿宋" w:cs="仿宋"/>
              <w:color w:val="auto"/>
              <w:szCs w:val="24"/>
              <w:highlight w:val="none"/>
            </w:rPr>
            <w:t>★95</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承包人违约</w:t>
          </w:r>
          <w:r>
            <w:rPr>
              <w:color w:val="auto"/>
              <w:highlight w:val="none"/>
            </w:rPr>
            <w:tab/>
          </w:r>
          <w:r>
            <w:rPr>
              <w:color w:val="auto"/>
              <w:highlight w:val="none"/>
            </w:rPr>
            <w:fldChar w:fldCharType="begin"/>
          </w:r>
          <w:r>
            <w:rPr>
              <w:color w:val="auto"/>
              <w:highlight w:val="none"/>
            </w:rPr>
            <w:instrText xml:space="preserve"> PAGEREF _Toc17534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"_Toc28652" </w:instrText>
          </w:r>
          <w:r>
            <w:rPr>
              <w:color w:val="auto"/>
              <w:highlight w:val="none"/>
            </w:rPr>
            <w:fldChar w:fldCharType="separate"/>
          </w:r>
          <w:r>
            <w:rPr>
              <w:rFonts w:hint="eastAsia" w:ascii="仿宋" w:hAnsi="仿宋" w:eastAsia="仿宋" w:cs="仿宋"/>
              <w:color w:val="auto"/>
              <w:szCs w:val="24"/>
              <w:highlight w:val="none"/>
            </w:rPr>
            <w:t>★96</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 xml:space="preserve"> 发包人违约</w:t>
          </w:r>
          <w:r>
            <w:rPr>
              <w:color w:val="auto"/>
              <w:highlight w:val="none"/>
            </w:rPr>
            <w:tab/>
          </w:r>
          <w:r>
            <w:rPr>
              <w:color w:val="auto"/>
              <w:highlight w:val="none"/>
            </w:rPr>
            <w:fldChar w:fldCharType="begin"/>
          </w:r>
          <w:r>
            <w:rPr>
              <w:color w:val="auto"/>
              <w:highlight w:val="none"/>
            </w:rPr>
            <w:instrText xml:space="preserve"> PAGEREF _Toc28652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"_Toc25331" </w:instrText>
          </w:r>
          <w:r>
            <w:rPr>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color w:val="auto"/>
              <w:szCs w:val="24"/>
              <w:highlight w:val="none"/>
            </w:rPr>
            <w:t>9</w:t>
          </w:r>
          <w:r>
            <w:rPr>
              <w:rFonts w:hint="eastAsia" w:ascii="仿宋" w:hAnsi="仿宋" w:eastAsia="仿宋" w:cs="仿宋"/>
              <w:color w:val="auto"/>
              <w:szCs w:val="24"/>
              <w:highlight w:val="none"/>
            </w:rPr>
            <w:t>7</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第三方违约与除外责任</w:t>
          </w:r>
          <w:r>
            <w:rPr>
              <w:color w:val="auto"/>
              <w:highlight w:val="none"/>
            </w:rPr>
            <w:tab/>
          </w:r>
          <w:r>
            <w:rPr>
              <w:color w:val="auto"/>
              <w:highlight w:val="none"/>
            </w:rPr>
            <w:fldChar w:fldCharType="begin"/>
          </w:r>
          <w:r>
            <w:rPr>
              <w:color w:val="auto"/>
              <w:highlight w:val="none"/>
            </w:rPr>
            <w:instrText xml:space="preserve"> PAGEREF _Toc25331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"_Toc25761" </w:instrText>
          </w:r>
          <w:r>
            <w:rPr>
              <w:color w:val="auto"/>
              <w:highlight w:val="none"/>
            </w:rPr>
            <w:fldChar w:fldCharType="separate"/>
          </w:r>
          <w:r>
            <w:rPr>
              <w:rFonts w:hint="eastAsia" w:ascii="仿宋" w:hAnsi="仿宋" w:eastAsia="仿宋" w:cs="仿宋"/>
              <w:bCs/>
              <w:color w:val="auto"/>
              <w:szCs w:val="24"/>
              <w:highlight w:val="none"/>
            </w:rPr>
            <w:t>十、其</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他</w:t>
          </w:r>
          <w:r>
            <w:rPr>
              <w:color w:val="auto"/>
              <w:highlight w:val="none"/>
            </w:rPr>
            <w:tab/>
          </w:r>
          <w:r>
            <w:rPr>
              <w:color w:val="auto"/>
              <w:highlight w:val="none"/>
            </w:rPr>
            <w:fldChar w:fldCharType="begin"/>
          </w:r>
          <w:r>
            <w:rPr>
              <w:color w:val="auto"/>
              <w:highlight w:val="none"/>
            </w:rPr>
            <w:instrText xml:space="preserve"> PAGEREF _Toc25761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"_Toc24380" </w:instrText>
          </w:r>
          <w:r>
            <w:rPr>
              <w:color w:val="auto"/>
              <w:highlight w:val="none"/>
            </w:rPr>
            <w:fldChar w:fldCharType="separate"/>
          </w:r>
          <w:r>
            <w:rPr>
              <w:rFonts w:ascii="仿宋" w:hAnsi="仿宋" w:eastAsia="仿宋" w:cs="仿宋"/>
              <w:color w:val="auto"/>
              <w:szCs w:val="24"/>
              <w:highlight w:val="none"/>
            </w:rPr>
            <w:t>9</w:t>
          </w:r>
          <w:r>
            <w:rPr>
              <w:rFonts w:hint="eastAsia" w:ascii="仿宋" w:hAnsi="仿宋" w:eastAsia="仿宋" w:cs="仿宋"/>
              <w:color w:val="auto"/>
              <w:szCs w:val="24"/>
              <w:highlight w:val="none"/>
            </w:rPr>
            <w:t>8</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缴纳税费</w:t>
          </w:r>
          <w:r>
            <w:rPr>
              <w:color w:val="auto"/>
              <w:highlight w:val="none"/>
            </w:rPr>
            <w:tab/>
          </w:r>
          <w:r>
            <w:rPr>
              <w:color w:val="auto"/>
              <w:highlight w:val="none"/>
            </w:rPr>
            <w:fldChar w:fldCharType="begin"/>
          </w:r>
          <w:r>
            <w:rPr>
              <w:color w:val="auto"/>
              <w:highlight w:val="none"/>
            </w:rPr>
            <w:instrText xml:space="preserve"> PAGEREF _Toc24380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"_Toc167" </w:instrText>
          </w:r>
          <w:r>
            <w:rPr>
              <w:color w:val="auto"/>
              <w:highlight w:val="none"/>
            </w:rPr>
            <w:fldChar w:fldCharType="separate"/>
          </w:r>
          <w:r>
            <w:rPr>
              <w:rFonts w:hint="eastAsia" w:ascii="仿宋" w:hAnsi="仿宋" w:eastAsia="仿宋" w:cs="仿宋"/>
              <w:color w:val="auto"/>
              <w:szCs w:val="24"/>
              <w:highlight w:val="none"/>
            </w:rPr>
            <w:t>99</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保密要求</w:t>
          </w:r>
          <w:r>
            <w:rPr>
              <w:color w:val="auto"/>
              <w:highlight w:val="none"/>
            </w:rPr>
            <w:tab/>
          </w:r>
          <w:r>
            <w:rPr>
              <w:color w:val="auto"/>
              <w:highlight w:val="none"/>
            </w:rPr>
            <w:fldChar w:fldCharType="begin"/>
          </w:r>
          <w:r>
            <w:rPr>
              <w:color w:val="auto"/>
              <w:highlight w:val="none"/>
            </w:rPr>
            <w:instrText xml:space="preserve"> PAGEREF _Toc167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"_Toc30752" </w:instrText>
          </w:r>
          <w:r>
            <w:rPr>
              <w:color w:val="auto"/>
              <w:highlight w:val="none"/>
            </w:rPr>
            <w:fldChar w:fldCharType="separate"/>
          </w:r>
          <w:r>
            <w:rPr>
              <w:rFonts w:hint="eastAsia" w:ascii="仿宋" w:hAnsi="仿宋" w:eastAsia="仿宋" w:cs="仿宋"/>
              <w:color w:val="auto"/>
              <w:szCs w:val="24"/>
              <w:highlight w:val="none"/>
            </w:rPr>
            <w:t>100</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 xml:space="preserve"> 廉政建设</w:t>
          </w:r>
          <w:r>
            <w:rPr>
              <w:color w:val="auto"/>
              <w:highlight w:val="none"/>
            </w:rPr>
            <w:tab/>
          </w:r>
          <w:r>
            <w:rPr>
              <w:color w:val="auto"/>
              <w:highlight w:val="none"/>
            </w:rPr>
            <w:fldChar w:fldCharType="begin"/>
          </w:r>
          <w:r>
            <w:rPr>
              <w:color w:val="auto"/>
              <w:highlight w:val="none"/>
            </w:rPr>
            <w:instrText xml:space="preserve"> PAGEREF _Toc30752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"_Toc4154" </w:instrText>
          </w:r>
          <w:r>
            <w:rPr>
              <w:color w:val="auto"/>
              <w:highlight w:val="none"/>
            </w:rPr>
            <w:fldChar w:fldCharType="separate"/>
          </w:r>
          <w:r>
            <w:rPr>
              <w:rFonts w:hint="eastAsia" w:ascii="仿宋" w:hAnsi="仿宋" w:eastAsia="仿宋" w:cs="仿宋"/>
              <w:color w:val="auto"/>
              <w:szCs w:val="24"/>
              <w:highlight w:val="none"/>
            </w:rPr>
            <w:t>101</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禁止转让</w:t>
          </w:r>
          <w:r>
            <w:rPr>
              <w:color w:val="auto"/>
              <w:highlight w:val="none"/>
            </w:rPr>
            <w:tab/>
          </w:r>
          <w:r>
            <w:rPr>
              <w:color w:val="auto"/>
              <w:highlight w:val="none"/>
            </w:rPr>
            <w:fldChar w:fldCharType="begin"/>
          </w:r>
          <w:r>
            <w:rPr>
              <w:color w:val="auto"/>
              <w:highlight w:val="none"/>
            </w:rPr>
            <w:instrText xml:space="preserve"> PAGEREF _Toc4154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"_Toc22348" </w:instrText>
          </w:r>
          <w:r>
            <w:rPr>
              <w:color w:val="auto"/>
              <w:highlight w:val="none"/>
            </w:rPr>
            <w:fldChar w:fldCharType="separate"/>
          </w:r>
          <w:r>
            <w:rPr>
              <w:rFonts w:hint="eastAsia" w:ascii="仿宋" w:hAnsi="仿宋" w:eastAsia="仿宋" w:cs="仿宋"/>
              <w:color w:val="auto"/>
              <w:szCs w:val="24"/>
              <w:highlight w:val="none"/>
            </w:rPr>
            <w:t>102</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合同份数</w:t>
          </w:r>
          <w:r>
            <w:rPr>
              <w:color w:val="auto"/>
              <w:highlight w:val="none"/>
            </w:rPr>
            <w:tab/>
          </w:r>
          <w:r>
            <w:rPr>
              <w:color w:val="auto"/>
              <w:highlight w:val="none"/>
            </w:rPr>
            <w:fldChar w:fldCharType="begin"/>
          </w:r>
          <w:r>
            <w:rPr>
              <w:color w:val="auto"/>
              <w:highlight w:val="none"/>
            </w:rPr>
            <w:instrText xml:space="preserve"> PAGEREF _Toc22348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pPr>
            <w:pStyle w:val="21"/>
            <w:tabs>
              <w:tab w:val="right" w:leader="dot" w:pos="9178"/>
            </w:tabs>
            <w:rPr>
              <w:color w:val="auto"/>
              <w:highlight w:val="none"/>
            </w:rPr>
          </w:pPr>
          <w:r>
            <w:rPr>
              <w:color w:val="auto"/>
              <w:highlight w:val="none"/>
            </w:rPr>
            <w:fldChar w:fldCharType="begin"/>
          </w:r>
          <w:r>
            <w:rPr>
              <w:color w:val="auto"/>
              <w:highlight w:val="none"/>
            </w:rPr>
            <w:instrText xml:space="preserve"> HYPERLINK \l "_Toc29483" </w:instrText>
          </w:r>
          <w:r>
            <w:rPr>
              <w:color w:val="auto"/>
              <w:highlight w:val="none"/>
            </w:rPr>
            <w:fldChar w:fldCharType="separate"/>
          </w:r>
          <w:r>
            <w:rPr>
              <w:rFonts w:hint="eastAsia" w:ascii="仿宋" w:hAnsi="仿宋" w:eastAsia="仿宋" w:cs="仿宋"/>
              <w:color w:val="auto"/>
              <w:szCs w:val="24"/>
              <w:highlight w:val="none"/>
            </w:rPr>
            <w:t>103</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合同管理</w:t>
          </w:r>
          <w:r>
            <w:rPr>
              <w:color w:val="auto"/>
              <w:highlight w:val="none"/>
            </w:rPr>
            <w:tab/>
          </w:r>
          <w:r>
            <w:rPr>
              <w:color w:val="auto"/>
              <w:highlight w:val="none"/>
            </w:rPr>
            <w:fldChar w:fldCharType="begin"/>
          </w:r>
          <w:r>
            <w:rPr>
              <w:color w:val="auto"/>
              <w:highlight w:val="none"/>
            </w:rPr>
            <w:instrText xml:space="preserve"> PAGEREF _Toc29483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"_Toc11964" </w:instrText>
          </w:r>
          <w:r>
            <w:rPr>
              <w:color w:val="auto"/>
              <w:highlight w:val="none"/>
            </w:rPr>
            <w:fldChar w:fldCharType="separate"/>
          </w:r>
          <w:r>
            <w:rPr>
              <w:rFonts w:hint="eastAsia" w:hAnsi="宋体"/>
              <w:bCs w:val="0"/>
              <w:color w:val="auto"/>
              <w:szCs w:val="36"/>
              <w:highlight w:val="none"/>
            </w:rPr>
            <w:t>第三部分  专用条款</w:t>
          </w:r>
          <w:r>
            <w:rPr>
              <w:color w:val="auto"/>
              <w:highlight w:val="none"/>
            </w:rPr>
            <w:tab/>
          </w:r>
          <w:r>
            <w:rPr>
              <w:color w:val="auto"/>
              <w:highlight w:val="none"/>
            </w:rPr>
            <w:fldChar w:fldCharType="begin"/>
          </w:r>
          <w:r>
            <w:rPr>
              <w:color w:val="auto"/>
              <w:highlight w:val="none"/>
            </w:rPr>
            <w:instrText xml:space="preserve"> PAGEREF _Toc11964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"_Toc26414" </w:instrText>
          </w:r>
          <w:r>
            <w:rPr>
              <w:color w:val="auto"/>
              <w:highlight w:val="none"/>
            </w:rPr>
            <w:fldChar w:fldCharType="separate"/>
          </w:r>
          <w:r>
            <w:rPr>
              <w:rFonts w:ascii="仿宋" w:hAnsi="仿宋" w:eastAsia="仿宋"/>
              <w:color w:val="auto"/>
              <w:szCs w:val="24"/>
              <w:highlight w:val="none"/>
            </w:rPr>
            <w:t xml:space="preserve">1． </w:t>
          </w:r>
          <w:r>
            <w:rPr>
              <w:rFonts w:hint="eastAsia" w:ascii="仿宋" w:hAnsi="仿宋" w:eastAsia="仿宋" w:cs="仿宋"/>
              <w:color w:val="auto"/>
              <w:szCs w:val="24"/>
              <w:highlight w:val="none"/>
            </w:rPr>
            <w:t>定义</w:t>
          </w:r>
          <w:r>
            <w:rPr>
              <w:color w:val="auto"/>
              <w:highlight w:val="none"/>
            </w:rPr>
            <w:tab/>
          </w:r>
          <w:r>
            <w:rPr>
              <w:color w:val="auto"/>
              <w:highlight w:val="none"/>
            </w:rPr>
            <w:fldChar w:fldCharType="begin"/>
          </w:r>
          <w:r>
            <w:rPr>
              <w:color w:val="auto"/>
              <w:highlight w:val="none"/>
            </w:rPr>
            <w:instrText xml:space="preserve"> PAGEREF _Toc26414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"_Toc29272" </w:instrText>
          </w:r>
          <w:r>
            <w:rPr>
              <w:color w:val="auto"/>
              <w:highlight w:val="none"/>
            </w:rPr>
            <w:fldChar w:fldCharType="separate"/>
          </w:r>
          <w:r>
            <w:rPr>
              <w:rFonts w:hint="eastAsia" w:ascii="仿宋" w:hAnsi="仿宋" w:eastAsia="仿宋" w:cs="仿宋"/>
              <w:color w:val="auto"/>
              <w:szCs w:val="24"/>
              <w:highlight w:val="none"/>
            </w:rPr>
            <w:t>2．合同文件及解释</w:t>
          </w:r>
          <w:r>
            <w:rPr>
              <w:color w:val="auto"/>
              <w:highlight w:val="none"/>
            </w:rPr>
            <w:tab/>
          </w:r>
          <w:r>
            <w:rPr>
              <w:color w:val="auto"/>
              <w:highlight w:val="none"/>
            </w:rPr>
            <w:fldChar w:fldCharType="begin"/>
          </w:r>
          <w:r>
            <w:rPr>
              <w:color w:val="auto"/>
              <w:highlight w:val="none"/>
            </w:rPr>
            <w:instrText xml:space="preserve"> PAGEREF _Toc29272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"_Toc4486" </w:instrText>
          </w:r>
          <w:r>
            <w:rPr>
              <w:color w:val="auto"/>
              <w:highlight w:val="none"/>
            </w:rPr>
            <w:fldChar w:fldCharType="separate"/>
          </w:r>
          <w:r>
            <w:rPr>
              <w:rFonts w:hint="eastAsia" w:ascii="仿宋" w:hAnsi="仿宋" w:eastAsia="仿宋" w:cs="仿宋"/>
              <w:color w:val="auto"/>
              <w:szCs w:val="24"/>
              <w:highlight w:val="none"/>
            </w:rPr>
            <w:t>4．语言及适用的法律、标准与</w:t>
          </w:r>
          <w:r>
            <w:rPr>
              <w:rFonts w:hint="eastAsia" w:ascii="仿宋" w:hAnsi="仿宋" w:eastAsia="仿宋"/>
              <w:color w:val="auto"/>
              <w:szCs w:val="24"/>
              <w:highlight w:val="none"/>
            </w:rPr>
            <w:t>规范</w:t>
          </w:r>
          <w:r>
            <w:rPr>
              <w:color w:val="auto"/>
              <w:highlight w:val="none"/>
            </w:rPr>
            <w:tab/>
          </w:r>
          <w:r>
            <w:rPr>
              <w:color w:val="auto"/>
              <w:highlight w:val="none"/>
            </w:rPr>
            <w:fldChar w:fldCharType="begin"/>
          </w:r>
          <w:r>
            <w:rPr>
              <w:color w:val="auto"/>
              <w:highlight w:val="none"/>
            </w:rPr>
            <w:instrText xml:space="preserve"> PAGEREF _Toc4486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"_Toc5996" </w:instrText>
          </w:r>
          <w:r>
            <w:rPr>
              <w:color w:val="auto"/>
              <w:highlight w:val="none"/>
            </w:rPr>
            <w:fldChar w:fldCharType="separate"/>
          </w:r>
          <w:r>
            <w:rPr>
              <w:rFonts w:hint="eastAsia" w:ascii="仿宋" w:hAnsi="仿宋" w:eastAsia="仿宋" w:cs="仿宋"/>
              <w:color w:val="auto"/>
              <w:szCs w:val="24"/>
              <w:highlight w:val="none"/>
            </w:rPr>
            <w:t>5. 发包人要求</w:t>
          </w:r>
          <w:r>
            <w:rPr>
              <w:color w:val="auto"/>
              <w:highlight w:val="none"/>
            </w:rPr>
            <w:tab/>
          </w:r>
          <w:r>
            <w:rPr>
              <w:color w:val="auto"/>
              <w:highlight w:val="none"/>
            </w:rPr>
            <w:fldChar w:fldCharType="begin"/>
          </w:r>
          <w:r>
            <w:rPr>
              <w:color w:val="auto"/>
              <w:highlight w:val="none"/>
            </w:rPr>
            <w:instrText xml:space="preserve"> PAGEREF _Toc5996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"_Toc11032" </w:instrText>
          </w:r>
          <w:r>
            <w:rPr>
              <w:color w:val="auto"/>
              <w:highlight w:val="none"/>
            </w:rPr>
            <w:fldChar w:fldCharType="separate"/>
          </w:r>
          <w:r>
            <w:rPr>
              <w:rFonts w:hint="eastAsia" w:ascii="仿宋" w:hAnsi="仿宋" w:eastAsia="仿宋" w:cs="仿宋"/>
              <w:color w:val="auto"/>
              <w:szCs w:val="24"/>
              <w:highlight w:val="none"/>
            </w:rPr>
            <w:t>6. 项目基础资料</w:t>
          </w:r>
          <w:r>
            <w:rPr>
              <w:color w:val="auto"/>
              <w:highlight w:val="none"/>
            </w:rPr>
            <w:tab/>
          </w:r>
          <w:r>
            <w:rPr>
              <w:color w:val="auto"/>
              <w:highlight w:val="none"/>
            </w:rPr>
            <w:fldChar w:fldCharType="begin"/>
          </w:r>
          <w:r>
            <w:rPr>
              <w:color w:val="auto"/>
              <w:highlight w:val="none"/>
            </w:rPr>
            <w:instrText xml:space="preserve"> PAGEREF _Toc11032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"_Toc20710" </w:instrText>
          </w:r>
          <w:r>
            <w:rPr>
              <w:color w:val="auto"/>
              <w:highlight w:val="none"/>
            </w:rPr>
            <w:fldChar w:fldCharType="separate"/>
          </w:r>
          <w:r>
            <w:rPr>
              <w:rFonts w:hint="eastAsia" w:ascii="仿宋" w:hAnsi="仿宋" w:eastAsia="仿宋" w:cs="仿宋"/>
              <w:color w:val="auto"/>
              <w:szCs w:val="24"/>
              <w:highlight w:val="none"/>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_Toc20710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"_Toc2617" </w:instrText>
          </w:r>
          <w:r>
            <w:rPr>
              <w:color w:val="auto"/>
              <w:highlight w:val="none"/>
            </w:rPr>
            <w:fldChar w:fldCharType="separate"/>
          </w:r>
          <w:r>
            <w:rPr>
              <w:rFonts w:hint="eastAsia" w:ascii="仿宋" w:hAnsi="仿宋" w:eastAsia="仿宋" w:cs="仿宋"/>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_Toc2617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"_Toc13949" </w:instrText>
          </w:r>
          <w:r>
            <w:rPr>
              <w:color w:val="auto"/>
              <w:highlight w:val="none"/>
            </w:rPr>
            <w:fldChar w:fldCharType="separate"/>
          </w:r>
          <w:r>
            <w:rPr>
              <w:rFonts w:hint="eastAsia" w:ascii="仿宋" w:hAnsi="仿宋" w:eastAsia="仿宋" w:cs="仿宋"/>
              <w:color w:val="auto"/>
              <w:szCs w:val="24"/>
              <w:highlight w:val="none"/>
            </w:rPr>
            <w:t>9. 通信联络</w:t>
          </w:r>
          <w:r>
            <w:rPr>
              <w:color w:val="auto"/>
              <w:highlight w:val="none"/>
            </w:rPr>
            <w:tab/>
          </w:r>
          <w:r>
            <w:rPr>
              <w:color w:val="auto"/>
              <w:highlight w:val="none"/>
            </w:rPr>
            <w:fldChar w:fldCharType="begin"/>
          </w:r>
          <w:r>
            <w:rPr>
              <w:color w:val="auto"/>
              <w:highlight w:val="none"/>
            </w:rPr>
            <w:instrText xml:space="preserve"> PAGEREF _Toc13949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"_Toc24487" </w:instrText>
          </w:r>
          <w:r>
            <w:rPr>
              <w:color w:val="auto"/>
              <w:highlight w:val="none"/>
            </w:rPr>
            <w:fldChar w:fldCharType="separate"/>
          </w:r>
          <w:r>
            <w:rPr>
              <w:rFonts w:hint="eastAsia" w:ascii="仿宋" w:hAnsi="仿宋" w:eastAsia="仿宋" w:cs="仿宋"/>
              <w:color w:val="auto"/>
              <w:szCs w:val="24"/>
              <w:highlight w:val="none"/>
            </w:rPr>
            <w:t>10. 分包</w:t>
          </w:r>
          <w:r>
            <w:rPr>
              <w:color w:val="auto"/>
              <w:highlight w:val="none"/>
            </w:rPr>
            <w:tab/>
          </w:r>
          <w:r>
            <w:rPr>
              <w:color w:val="auto"/>
              <w:highlight w:val="none"/>
            </w:rPr>
            <w:fldChar w:fldCharType="begin"/>
          </w:r>
          <w:r>
            <w:rPr>
              <w:color w:val="auto"/>
              <w:highlight w:val="none"/>
            </w:rPr>
            <w:instrText xml:space="preserve"> PAGEREF _Toc24487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"_Toc30263" </w:instrText>
          </w:r>
          <w:r>
            <w:rPr>
              <w:color w:val="auto"/>
              <w:highlight w:val="none"/>
            </w:rPr>
            <w:fldChar w:fldCharType="separate"/>
          </w:r>
          <w:r>
            <w:rPr>
              <w:rFonts w:hint="eastAsia" w:ascii="仿宋" w:hAnsi="仿宋" w:eastAsia="仿宋" w:cs="仿宋"/>
              <w:color w:val="auto"/>
              <w:szCs w:val="24"/>
              <w:highlight w:val="none"/>
            </w:rPr>
            <w:t>16. 交通运输</w:t>
          </w:r>
          <w:r>
            <w:rPr>
              <w:color w:val="auto"/>
              <w:highlight w:val="none"/>
            </w:rPr>
            <w:tab/>
          </w:r>
          <w:r>
            <w:rPr>
              <w:color w:val="auto"/>
              <w:highlight w:val="none"/>
            </w:rPr>
            <w:fldChar w:fldCharType="begin"/>
          </w:r>
          <w:r>
            <w:rPr>
              <w:color w:val="auto"/>
              <w:highlight w:val="none"/>
            </w:rPr>
            <w:instrText xml:space="preserve"> PAGEREF _Toc30263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"_Toc26766" </w:instrText>
          </w:r>
          <w:r>
            <w:rPr>
              <w:color w:val="auto"/>
              <w:highlight w:val="none"/>
            </w:rPr>
            <w:fldChar w:fldCharType="separate"/>
          </w:r>
          <w:r>
            <w:rPr>
              <w:rFonts w:hint="eastAsia" w:ascii="仿宋" w:hAnsi="仿宋" w:eastAsia="仿宋" w:cs="仿宋"/>
              <w:color w:val="auto"/>
              <w:szCs w:val="24"/>
              <w:highlight w:val="none"/>
            </w:rPr>
            <w:t>17. 专项批准事项的签认</w:t>
          </w:r>
          <w:r>
            <w:rPr>
              <w:color w:val="auto"/>
              <w:highlight w:val="none"/>
            </w:rPr>
            <w:tab/>
          </w:r>
          <w:r>
            <w:rPr>
              <w:color w:val="auto"/>
              <w:highlight w:val="none"/>
            </w:rPr>
            <w:fldChar w:fldCharType="begin"/>
          </w:r>
          <w:r>
            <w:rPr>
              <w:color w:val="auto"/>
              <w:highlight w:val="none"/>
            </w:rPr>
            <w:instrText xml:space="preserve"> PAGEREF _Toc26766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"_Toc27360" </w:instrText>
          </w:r>
          <w:r>
            <w:rPr>
              <w:color w:val="auto"/>
              <w:highlight w:val="none"/>
            </w:rPr>
            <w:fldChar w:fldCharType="separate"/>
          </w:r>
          <w:r>
            <w:rPr>
              <w:rFonts w:hint="eastAsia" w:ascii="仿宋" w:hAnsi="仿宋" w:eastAsia="仿宋" w:cs="仿宋"/>
              <w:color w:val="auto"/>
              <w:szCs w:val="24"/>
              <w:highlight w:val="none"/>
            </w:rPr>
            <w:t>18. 专利技术和知识产权</w:t>
          </w:r>
          <w:r>
            <w:rPr>
              <w:color w:val="auto"/>
              <w:highlight w:val="none"/>
            </w:rPr>
            <w:tab/>
          </w:r>
          <w:r>
            <w:rPr>
              <w:color w:val="auto"/>
              <w:highlight w:val="none"/>
            </w:rPr>
            <w:fldChar w:fldCharType="begin"/>
          </w:r>
          <w:r>
            <w:rPr>
              <w:color w:val="auto"/>
              <w:highlight w:val="none"/>
            </w:rPr>
            <w:instrText xml:space="preserve"> PAGEREF _Toc27360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"_Toc9619" </w:instrText>
          </w:r>
          <w:r>
            <w:rPr>
              <w:color w:val="auto"/>
              <w:highlight w:val="none"/>
            </w:rPr>
            <w:fldChar w:fldCharType="separate"/>
          </w:r>
          <w:r>
            <w:rPr>
              <w:rFonts w:hint="eastAsia" w:ascii="仿宋" w:hAnsi="仿宋" w:eastAsia="仿宋" w:cs="仿宋"/>
              <w:color w:val="auto"/>
              <w:szCs w:val="24"/>
              <w:highlight w:val="none"/>
            </w:rPr>
            <w:t>19.  联合的责任</w:t>
          </w:r>
          <w:r>
            <w:rPr>
              <w:color w:val="auto"/>
              <w:highlight w:val="none"/>
            </w:rPr>
            <w:tab/>
          </w:r>
          <w:r>
            <w:rPr>
              <w:color w:val="auto"/>
              <w:highlight w:val="none"/>
            </w:rPr>
            <w:fldChar w:fldCharType="begin"/>
          </w:r>
          <w:r>
            <w:rPr>
              <w:color w:val="auto"/>
              <w:highlight w:val="none"/>
            </w:rPr>
            <w:instrText xml:space="preserve"> PAGEREF _Toc9619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"_Toc1903" </w:instrText>
          </w:r>
          <w:r>
            <w:rPr>
              <w:color w:val="auto"/>
              <w:highlight w:val="none"/>
            </w:rPr>
            <w:fldChar w:fldCharType="separate"/>
          </w:r>
          <w:r>
            <w:rPr>
              <w:rFonts w:hint="eastAsia" w:ascii="仿宋" w:hAnsi="仿宋" w:eastAsia="仿宋" w:cs="仿宋"/>
              <w:color w:val="auto"/>
              <w:szCs w:val="24"/>
              <w:highlight w:val="none"/>
            </w:rPr>
            <w:t>22.  发包人</w:t>
          </w:r>
          <w:r>
            <w:rPr>
              <w:color w:val="auto"/>
              <w:highlight w:val="none"/>
            </w:rPr>
            <w:tab/>
          </w:r>
          <w:r>
            <w:rPr>
              <w:color w:val="auto"/>
              <w:highlight w:val="none"/>
            </w:rPr>
            <w:fldChar w:fldCharType="begin"/>
          </w:r>
          <w:r>
            <w:rPr>
              <w:color w:val="auto"/>
              <w:highlight w:val="none"/>
            </w:rPr>
            <w:instrText xml:space="preserve"> PAGEREF _Toc1903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"_Toc26412" </w:instrText>
          </w:r>
          <w:r>
            <w:rPr>
              <w:color w:val="auto"/>
              <w:highlight w:val="none"/>
            </w:rPr>
            <w:fldChar w:fldCharType="separate"/>
          </w:r>
          <w:r>
            <w:rPr>
              <w:rFonts w:hint="eastAsia" w:ascii="仿宋" w:hAnsi="仿宋" w:eastAsia="仿宋" w:cs="仿宋"/>
              <w:color w:val="auto"/>
              <w:szCs w:val="24"/>
              <w:highlight w:val="none"/>
            </w:rPr>
            <w:t>23.  承包人</w:t>
          </w:r>
          <w:r>
            <w:rPr>
              <w:color w:val="auto"/>
              <w:highlight w:val="none"/>
            </w:rPr>
            <w:tab/>
          </w:r>
          <w:r>
            <w:rPr>
              <w:color w:val="auto"/>
              <w:highlight w:val="none"/>
            </w:rPr>
            <w:fldChar w:fldCharType="begin"/>
          </w:r>
          <w:r>
            <w:rPr>
              <w:color w:val="auto"/>
              <w:highlight w:val="none"/>
            </w:rPr>
            <w:instrText xml:space="preserve"> PAGEREF _Toc26412 \h </w:instrText>
          </w:r>
          <w:r>
            <w:rPr>
              <w:color w:val="auto"/>
              <w:highlight w:val="none"/>
            </w:rPr>
            <w:fldChar w:fldCharType="separate"/>
          </w:r>
          <w:r>
            <w:rPr>
              <w:color w:val="auto"/>
              <w:highlight w:val="none"/>
            </w:rPr>
            <w:t>160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"_Toc18035" </w:instrText>
          </w:r>
          <w:r>
            <w:rPr>
              <w:color w:val="auto"/>
              <w:highlight w:val="none"/>
            </w:rPr>
            <w:fldChar w:fldCharType="separate"/>
          </w:r>
          <w:r>
            <w:rPr>
              <w:rFonts w:hint="eastAsia" w:ascii="仿宋" w:hAnsi="仿宋" w:eastAsia="仿宋" w:cs="仿宋"/>
              <w:color w:val="auto"/>
              <w:szCs w:val="24"/>
              <w:highlight w:val="none"/>
            </w:rPr>
            <w:t>24.  现场管理人员任命和更换</w:t>
          </w:r>
          <w:r>
            <w:rPr>
              <w:color w:val="auto"/>
              <w:highlight w:val="none"/>
            </w:rPr>
            <w:tab/>
          </w:r>
          <w:r>
            <w:rPr>
              <w:color w:val="auto"/>
              <w:highlight w:val="none"/>
            </w:rPr>
            <w:fldChar w:fldCharType="begin"/>
          </w:r>
          <w:r>
            <w:rPr>
              <w:color w:val="auto"/>
              <w:highlight w:val="none"/>
            </w:rPr>
            <w:instrText xml:space="preserve"> PAGEREF _Toc18035 \h </w:instrText>
          </w:r>
          <w:r>
            <w:rPr>
              <w:color w:val="auto"/>
              <w:highlight w:val="none"/>
            </w:rPr>
            <w:fldChar w:fldCharType="separate"/>
          </w:r>
          <w:r>
            <w:rPr>
              <w:color w:val="auto"/>
              <w:highlight w:val="none"/>
            </w:rPr>
            <w:t>164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"_Toc16854" </w:instrText>
          </w:r>
          <w:r>
            <w:rPr>
              <w:color w:val="auto"/>
              <w:highlight w:val="none"/>
            </w:rPr>
            <w:fldChar w:fldCharType="separate"/>
          </w:r>
          <w:r>
            <w:rPr>
              <w:rFonts w:hint="eastAsia" w:ascii="仿宋" w:hAnsi="仿宋" w:eastAsia="仿宋" w:cs="仿宋"/>
              <w:color w:val="auto"/>
              <w:szCs w:val="24"/>
              <w:highlight w:val="none"/>
            </w:rPr>
            <w:t>25.  发包人代表</w:t>
          </w:r>
          <w:r>
            <w:rPr>
              <w:color w:val="auto"/>
              <w:highlight w:val="none"/>
            </w:rPr>
            <w:tab/>
          </w:r>
          <w:r>
            <w:rPr>
              <w:color w:val="auto"/>
              <w:highlight w:val="none"/>
            </w:rPr>
            <w:fldChar w:fldCharType="begin"/>
          </w:r>
          <w:r>
            <w:rPr>
              <w:color w:val="auto"/>
              <w:highlight w:val="none"/>
            </w:rPr>
            <w:instrText xml:space="preserve"> PAGEREF _Toc16854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"_Toc1527" </w:instrText>
          </w:r>
          <w:r>
            <w:rPr>
              <w:color w:val="auto"/>
              <w:highlight w:val="none"/>
            </w:rPr>
            <w:fldChar w:fldCharType="separate"/>
          </w:r>
          <w:r>
            <w:rPr>
              <w:rFonts w:hint="eastAsia" w:ascii="仿宋" w:hAnsi="仿宋" w:eastAsia="仿宋" w:cs="仿宋"/>
              <w:color w:val="auto"/>
              <w:szCs w:val="24"/>
              <w:highlight w:val="none"/>
            </w:rPr>
            <w:t>26.  设计顾问人</w:t>
          </w:r>
          <w:r>
            <w:rPr>
              <w:color w:val="auto"/>
              <w:highlight w:val="none"/>
            </w:rPr>
            <w:tab/>
          </w:r>
          <w:r>
            <w:rPr>
              <w:color w:val="auto"/>
              <w:highlight w:val="none"/>
            </w:rPr>
            <w:fldChar w:fldCharType="begin"/>
          </w:r>
          <w:r>
            <w:rPr>
              <w:color w:val="auto"/>
              <w:highlight w:val="none"/>
            </w:rPr>
            <w:instrText xml:space="preserve"> PAGEREF _Toc1527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"_Toc20713" </w:instrText>
          </w:r>
          <w:r>
            <w:rPr>
              <w:color w:val="auto"/>
              <w:highlight w:val="none"/>
            </w:rPr>
            <w:fldChar w:fldCharType="separate"/>
          </w:r>
          <w:r>
            <w:rPr>
              <w:rFonts w:hint="eastAsia" w:ascii="仿宋" w:hAnsi="仿宋" w:eastAsia="仿宋" w:cs="仿宋"/>
              <w:color w:val="auto"/>
              <w:szCs w:val="24"/>
              <w:highlight w:val="none"/>
            </w:rPr>
            <w:t>27.  监理人</w:t>
          </w:r>
          <w:r>
            <w:rPr>
              <w:color w:val="auto"/>
              <w:highlight w:val="none"/>
            </w:rPr>
            <w:tab/>
          </w:r>
          <w:r>
            <w:rPr>
              <w:color w:val="auto"/>
              <w:highlight w:val="none"/>
            </w:rPr>
            <w:fldChar w:fldCharType="begin"/>
          </w:r>
          <w:r>
            <w:rPr>
              <w:color w:val="auto"/>
              <w:highlight w:val="none"/>
            </w:rPr>
            <w:instrText xml:space="preserve"> PAGEREF _Toc20713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"_Toc15235" </w:instrText>
          </w:r>
          <w:r>
            <w:rPr>
              <w:color w:val="auto"/>
              <w:highlight w:val="none"/>
            </w:rPr>
            <w:fldChar w:fldCharType="separate"/>
          </w:r>
          <w:r>
            <w:rPr>
              <w:rFonts w:hint="eastAsia" w:ascii="仿宋" w:hAnsi="仿宋" w:eastAsia="仿宋" w:cs="仿宋"/>
              <w:color w:val="auto"/>
              <w:szCs w:val="24"/>
              <w:highlight w:val="none"/>
            </w:rPr>
            <w:t>28.  造价咨询人</w:t>
          </w:r>
          <w:r>
            <w:rPr>
              <w:color w:val="auto"/>
              <w:highlight w:val="none"/>
            </w:rPr>
            <w:tab/>
          </w:r>
          <w:r>
            <w:rPr>
              <w:color w:val="auto"/>
              <w:highlight w:val="none"/>
            </w:rPr>
            <w:fldChar w:fldCharType="begin"/>
          </w:r>
          <w:r>
            <w:rPr>
              <w:color w:val="auto"/>
              <w:highlight w:val="none"/>
            </w:rPr>
            <w:instrText xml:space="preserve"> PAGEREF _Toc15235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"_Toc9496" </w:instrText>
          </w:r>
          <w:r>
            <w:rPr>
              <w:color w:val="auto"/>
              <w:highlight w:val="none"/>
            </w:rPr>
            <w:fldChar w:fldCharType="separate"/>
          </w:r>
          <w:r>
            <w:rPr>
              <w:rFonts w:hint="eastAsia" w:ascii="仿宋" w:hAnsi="仿宋" w:eastAsia="仿宋" w:cs="仿宋"/>
              <w:color w:val="auto"/>
              <w:szCs w:val="24"/>
              <w:highlight w:val="none"/>
            </w:rPr>
            <w:t>29.  承包人代表及其专业负责人</w:t>
          </w:r>
          <w:r>
            <w:rPr>
              <w:color w:val="auto"/>
              <w:highlight w:val="none"/>
            </w:rPr>
            <w:tab/>
          </w:r>
          <w:r>
            <w:rPr>
              <w:color w:val="auto"/>
              <w:highlight w:val="none"/>
            </w:rPr>
            <w:fldChar w:fldCharType="begin"/>
          </w:r>
          <w:r>
            <w:rPr>
              <w:color w:val="auto"/>
              <w:highlight w:val="none"/>
            </w:rPr>
            <w:instrText xml:space="preserve"> PAGEREF _Toc9496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"_Toc2336" </w:instrText>
          </w:r>
          <w:r>
            <w:rPr>
              <w:color w:val="auto"/>
              <w:highlight w:val="none"/>
            </w:rPr>
            <w:fldChar w:fldCharType="separate"/>
          </w:r>
          <w:r>
            <w:rPr>
              <w:rFonts w:hint="eastAsia" w:ascii="仿宋" w:hAnsi="仿宋" w:eastAsia="仿宋" w:cs="仿宋"/>
              <w:color w:val="auto"/>
              <w:szCs w:val="24"/>
              <w:highlight w:val="none"/>
            </w:rPr>
            <w:t>30. 指定分包人</w:t>
          </w:r>
          <w:r>
            <w:rPr>
              <w:color w:val="auto"/>
              <w:highlight w:val="none"/>
            </w:rPr>
            <w:tab/>
          </w:r>
          <w:r>
            <w:rPr>
              <w:color w:val="auto"/>
              <w:highlight w:val="none"/>
            </w:rPr>
            <w:fldChar w:fldCharType="begin"/>
          </w:r>
          <w:r>
            <w:rPr>
              <w:color w:val="auto"/>
              <w:highlight w:val="none"/>
            </w:rPr>
            <w:instrText xml:space="preserve"> PAGEREF _Toc2336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"_Toc25567" </w:instrText>
          </w:r>
          <w:r>
            <w:rPr>
              <w:color w:val="auto"/>
              <w:highlight w:val="none"/>
            </w:rPr>
            <w:fldChar w:fldCharType="separate"/>
          </w:r>
          <w:r>
            <w:rPr>
              <w:rFonts w:hint="eastAsia" w:ascii="仿宋" w:hAnsi="仿宋" w:eastAsia="仿宋" w:cs="仿宋"/>
              <w:color w:val="auto"/>
              <w:szCs w:val="24"/>
              <w:highlight w:val="none"/>
            </w:rPr>
            <w:t>32.  工程担保</w:t>
          </w:r>
          <w:r>
            <w:rPr>
              <w:color w:val="auto"/>
              <w:highlight w:val="none"/>
            </w:rPr>
            <w:tab/>
          </w:r>
          <w:r>
            <w:rPr>
              <w:color w:val="auto"/>
              <w:highlight w:val="none"/>
            </w:rPr>
            <w:fldChar w:fldCharType="begin"/>
          </w:r>
          <w:r>
            <w:rPr>
              <w:color w:val="auto"/>
              <w:highlight w:val="none"/>
            </w:rPr>
            <w:instrText xml:space="preserve"> PAGEREF _Toc25567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"_Toc17294" </w:instrText>
          </w:r>
          <w:r>
            <w:rPr>
              <w:color w:val="auto"/>
              <w:highlight w:val="none"/>
            </w:rPr>
            <w:fldChar w:fldCharType="separate"/>
          </w:r>
          <w:r>
            <w:rPr>
              <w:rFonts w:hint="eastAsia" w:ascii="仿宋" w:hAnsi="仿宋" w:eastAsia="仿宋" w:cs="仿宋"/>
              <w:color w:val="auto"/>
              <w:szCs w:val="24"/>
              <w:highlight w:val="none"/>
            </w:rPr>
            <w:t>33.发包人风险</w:t>
          </w:r>
          <w:r>
            <w:rPr>
              <w:color w:val="auto"/>
              <w:highlight w:val="none"/>
            </w:rPr>
            <w:tab/>
          </w:r>
          <w:r>
            <w:rPr>
              <w:color w:val="auto"/>
              <w:highlight w:val="none"/>
            </w:rPr>
            <w:fldChar w:fldCharType="begin"/>
          </w:r>
          <w:r>
            <w:rPr>
              <w:color w:val="auto"/>
              <w:highlight w:val="none"/>
            </w:rPr>
            <w:instrText xml:space="preserve"> PAGEREF _Toc17294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"_Toc1899" </w:instrText>
          </w:r>
          <w:r>
            <w:rPr>
              <w:color w:val="auto"/>
              <w:highlight w:val="none"/>
            </w:rPr>
            <w:fldChar w:fldCharType="separate"/>
          </w:r>
          <w:r>
            <w:rPr>
              <w:rFonts w:hint="eastAsia" w:ascii="仿宋" w:hAnsi="仿宋" w:eastAsia="仿宋" w:cs="仿宋"/>
              <w:color w:val="auto"/>
              <w:szCs w:val="24"/>
              <w:highlight w:val="none"/>
            </w:rPr>
            <w:t>35. 不可抗力</w:t>
          </w:r>
          <w:r>
            <w:rPr>
              <w:color w:val="auto"/>
              <w:highlight w:val="none"/>
            </w:rPr>
            <w:tab/>
          </w:r>
          <w:r>
            <w:rPr>
              <w:color w:val="auto"/>
              <w:highlight w:val="none"/>
            </w:rPr>
            <w:fldChar w:fldCharType="begin"/>
          </w:r>
          <w:r>
            <w:rPr>
              <w:color w:val="auto"/>
              <w:highlight w:val="none"/>
            </w:rPr>
            <w:instrText xml:space="preserve"> PAGEREF _Toc1899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"_Toc15113" </w:instrText>
          </w:r>
          <w:r>
            <w:rPr>
              <w:color w:val="auto"/>
              <w:highlight w:val="none"/>
            </w:rPr>
            <w:fldChar w:fldCharType="separate"/>
          </w:r>
          <w:r>
            <w:rPr>
              <w:rFonts w:hint="eastAsia" w:ascii="仿宋" w:hAnsi="仿宋" w:eastAsia="仿宋" w:cs="仿宋"/>
              <w:color w:val="auto"/>
              <w:szCs w:val="24"/>
              <w:highlight w:val="none"/>
            </w:rPr>
            <w:t>36.  保险</w:t>
          </w:r>
          <w:r>
            <w:rPr>
              <w:color w:val="auto"/>
              <w:highlight w:val="none"/>
            </w:rPr>
            <w:tab/>
          </w:r>
          <w:r>
            <w:rPr>
              <w:color w:val="auto"/>
              <w:highlight w:val="none"/>
            </w:rPr>
            <w:fldChar w:fldCharType="begin"/>
          </w:r>
          <w:r>
            <w:rPr>
              <w:color w:val="auto"/>
              <w:highlight w:val="none"/>
            </w:rPr>
            <w:instrText xml:space="preserve"> PAGEREF _Toc15113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"_Toc27330" </w:instrText>
          </w:r>
          <w:r>
            <w:rPr>
              <w:color w:val="auto"/>
              <w:highlight w:val="none"/>
            </w:rPr>
            <w:fldChar w:fldCharType="separate"/>
          </w:r>
          <w:r>
            <w:rPr>
              <w:rFonts w:hint="eastAsia" w:ascii="仿宋" w:hAnsi="仿宋" w:eastAsia="仿宋" w:cs="仿宋"/>
              <w:color w:val="auto"/>
              <w:szCs w:val="24"/>
              <w:highlight w:val="none"/>
            </w:rPr>
            <w:t>37.  工程勘察</w:t>
          </w:r>
          <w:r>
            <w:rPr>
              <w:color w:val="auto"/>
              <w:highlight w:val="none"/>
            </w:rPr>
            <w:tab/>
          </w:r>
          <w:r>
            <w:rPr>
              <w:color w:val="auto"/>
              <w:highlight w:val="none"/>
            </w:rPr>
            <w:fldChar w:fldCharType="begin"/>
          </w:r>
          <w:r>
            <w:rPr>
              <w:color w:val="auto"/>
              <w:highlight w:val="none"/>
            </w:rPr>
            <w:instrText xml:space="preserve"> PAGEREF _Toc27330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"_Toc25421" </w:instrText>
          </w:r>
          <w:r>
            <w:rPr>
              <w:color w:val="auto"/>
              <w:highlight w:val="none"/>
            </w:rPr>
            <w:fldChar w:fldCharType="separate"/>
          </w:r>
          <w:r>
            <w:rPr>
              <w:rFonts w:hint="eastAsia" w:ascii="仿宋" w:hAnsi="仿宋" w:eastAsia="仿宋" w:cs="仿宋"/>
              <w:color w:val="auto"/>
              <w:szCs w:val="24"/>
              <w:highlight w:val="none"/>
            </w:rPr>
            <w:t>38.  工程设计</w:t>
          </w:r>
          <w:r>
            <w:rPr>
              <w:color w:val="auto"/>
              <w:highlight w:val="none"/>
            </w:rPr>
            <w:tab/>
          </w:r>
          <w:r>
            <w:rPr>
              <w:color w:val="auto"/>
              <w:highlight w:val="none"/>
            </w:rPr>
            <w:fldChar w:fldCharType="begin"/>
          </w:r>
          <w:r>
            <w:rPr>
              <w:color w:val="auto"/>
              <w:highlight w:val="none"/>
            </w:rPr>
            <w:instrText xml:space="preserve"> PAGEREF _Toc25421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"_Toc27704" </w:instrText>
          </w:r>
          <w:r>
            <w:rPr>
              <w:color w:val="auto"/>
              <w:highlight w:val="none"/>
            </w:rPr>
            <w:fldChar w:fldCharType="separate"/>
          </w:r>
          <w:r>
            <w:rPr>
              <w:rFonts w:hint="eastAsia" w:ascii="仿宋" w:hAnsi="仿宋" w:eastAsia="仿宋" w:cs="仿宋"/>
              <w:color w:val="auto"/>
              <w:szCs w:val="24"/>
              <w:highlight w:val="none"/>
            </w:rPr>
            <w:t>39.  BIM技术应用</w:t>
          </w:r>
          <w:r>
            <w:rPr>
              <w:color w:val="auto"/>
              <w:highlight w:val="none"/>
            </w:rPr>
            <w:tab/>
          </w:r>
          <w:r>
            <w:rPr>
              <w:color w:val="auto"/>
              <w:highlight w:val="none"/>
            </w:rPr>
            <w:fldChar w:fldCharType="begin"/>
          </w:r>
          <w:r>
            <w:rPr>
              <w:color w:val="auto"/>
              <w:highlight w:val="none"/>
            </w:rPr>
            <w:instrText xml:space="preserve"> PAGEREF _Toc27704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"_Toc7362" </w:instrText>
          </w:r>
          <w:r>
            <w:rPr>
              <w:color w:val="auto"/>
              <w:highlight w:val="none"/>
            </w:rPr>
            <w:fldChar w:fldCharType="separate"/>
          </w:r>
          <w:r>
            <w:rPr>
              <w:rFonts w:hint="eastAsia" w:ascii="仿宋" w:hAnsi="仿宋" w:eastAsia="仿宋" w:cs="仿宋"/>
              <w:color w:val="auto"/>
              <w:szCs w:val="24"/>
              <w:highlight w:val="none"/>
            </w:rPr>
            <w:t>40.  进度计划和报告</w:t>
          </w:r>
          <w:r>
            <w:rPr>
              <w:color w:val="auto"/>
              <w:highlight w:val="none"/>
            </w:rPr>
            <w:tab/>
          </w:r>
          <w:r>
            <w:rPr>
              <w:color w:val="auto"/>
              <w:highlight w:val="none"/>
            </w:rPr>
            <w:fldChar w:fldCharType="begin"/>
          </w:r>
          <w:r>
            <w:rPr>
              <w:color w:val="auto"/>
              <w:highlight w:val="none"/>
            </w:rPr>
            <w:instrText xml:space="preserve"> PAGEREF _Toc7362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"_Toc113" </w:instrText>
          </w:r>
          <w:r>
            <w:rPr>
              <w:color w:val="auto"/>
              <w:highlight w:val="none"/>
            </w:rPr>
            <w:fldChar w:fldCharType="separate"/>
          </w:r>
          <w:r>
            <w:rPr>
              <w:rFonts w:hint="eastAsia" w:ascii="仿宋" w:hAnsi="仿宋" w:eastAsia="仿宋" w:cs="仿宋"/>
              <w:color w:val="auto"/>
              <w:szCs w:val="24"/>
              <w:highlight w:val="none"/>
            </w:rPr>
            <w:t>41.  开始工作或开工</w:t>
          </w:r>
          <w:r>
            <w:rPr>
              <w:color w:val="auto"/>
              <w:highlight w:val="none"/>
            </w:rPr>
            <w:tab/>
          </w:r>
          <w:r>
            <w:rPr>
              <w:color w:val="auto"/>
              <w:highlight w:val="none"/>
            </w:rPr>
            <w:fldChar w:fldCharType="begin"/>
          </w:r>
          <w:r>
            <w:rPr>
              <w:color w:val="auto"/>
              <w:highlight w:val="none"/>
            </w:rPr>
            <w:instrText xml:space="preserve"> PAGEREF _Toc113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"_Toc12273" </w:instrText>
          </w:r>
          <w:r>
            <w:rPr>
              <w:color w:val="auto"/>
              <w:highlight w:val="none"/>
            </w:rPr>
            <w:fldChar w:fldCharType="separate"/>
          </w:r>
          <w:r>
            <w:rPr>
              <w:rFonts w:hint="eastAsia" w:ascii="仿宋" w:hAnsi="仿宋" w:eastAsia="仿宋" w:cs="仿宋"/>
              <w:color w:val="auto"/>
              <w:szCs w:val="24"/>
              <w:highlight w:val="none"/>
            </w:rPr>
            <w:t>42.  暂停工作、暂停施工和复工</w:t>
          </w:r>
          <w:r>
            <w:rPr>
              <w:color w:val="auto"/>
              <w:highlight w:val="none"/>
            </w:rPr>
            <w:tab/>
          </w:r>
          <w:r>
            <w:rPr>
              <w:color w:val="auto"/>
              <w:highlight w:val="none"/>
            </w:rPr>
            <w:fldChar w:fldCharType="begin"/>
          </w:r>
          <w:r>
            <w:rPr>
              <w:color w:val="auto"/>
              <w:highlight w:val="none"/>
            </w:rPr>
            <w:instrText xml:space="preserve"> PAGEREF _Toc12273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"_Toc8825" </w:instrText>
          </w:r>
          <w:r>
            <w:rPr>
              <w:color w:val="auto"/>
              <w:highlight w:val="none"/>
            </w:rPr>
            <w:fldChar w:fldCharType="separate"/>
          </w:r>
          <w:r>
            <w:rPr>
              <w:rFonts w:hint="eastAsia" w:ascii="仿宋" w:hAnsi="仿宋" w:eastAsia="仿宋" w:cs="仿宋"/>
              <w:color w:val="auto"/>
              <w:szCs w:val="24"/>
              <w:highlight w:val="none"/>
            </w:rPr>
            <w:t>43.  工期和工期延误</w:t>
          </w:r>
          <w:r>
            <w:rPr>
              <w:color w:val="auto"/>
              <w:highlight w:val="none"/>
            </w:rPr>
            <w:tab/>
          </w:r>
          <w:r>
            <w:rPr>
              <w:color w:val="auto"/>
              <w:highlight w:val="none"/>
            </w:rPr>
            <w:fldChar w:fldCharType="begin"/>
          </w:r>
          <w:r>
            <w:rPr>
              <w:color w:val="auto"/>
              <w:highlight w:val="none"/>
            </w:rPr>
            <w:instrText xml:space="preserve"> PAGEREF _Toc8825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"_Toc21937" </w:instrText>
          </w:r>
          <w:r>
            <w:rPr>
              <w:color w:val="auto"/>
              <w:highlight w:val="none"/>
            </w:rPr>
            <w:fldChar w:fldCharType="separate"/>
          </w:r>
          <w:r>
            <w:rPr>
              <w:rFonts w:hint="eastAsia" w:ascii="仿宋" w:hAnsi="仿宋" w:eastAsia="仿宋" w:cs="仿宋"/>
              <w:color w:val="auto"/>
              <w:szCs w:val="24"/>
              <w:highlight w:val="none"/>
            </w:rPr>
            <w:t>45.  竣工日期</w:t>
          </w:r>
          <w:r>
            <w:rPr>
              <w:color w:val="auto"/>
              <w:highlight w:val="none"/>
            </w:rPr>
            <w:tab/>
          </w:r>
          <w:r>
            <w:rPr>
              <w:color w:val="auto"/>
              <w:highlight w:val="none"/>
            </w:rPr>
            <w:fldChar w:fldCharType="begin"/>
          </w:r>
          <w:r>
            <w:rPr>
              <w:color w:val="auto"/>
              <w:highlight w:val="none"/>
            </w:rPr>
            <w:instrText xml:space="preserve"> PAGEREF _Toc21937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"_Toc12746" </w:instrText>
          </w:r>
          <w:r>
            <w:rPr>
              <w:color w:val="auto"/>
              <w:highlight w:val="none"/>
            </w:rPr>
            <w:fldChar w:fldCharType="separate"/>
          </w:r>
          <w:r>
            <w:rPr>
              <w:rFonts w:hint="eastAsia" w:ascii="仿宋" w:hAnsi="仿宋" w:eastAsia="仿宋" w:cs="仿宋"/>
              <w:color w:val="auto"/>
              <w:szCs w:val="24"/>
              <w:highlight w:val="none"/>
            </w:rPr>
            <w:t>★49.  质量标准</w:t>
          </w:r>
          <w:r>
            <w:rPr>
              <w:color w:val="auto"/>
              <w:highlight w:val="none"/>
            </w:rPr>
            <w:tab/>
          </w:r>
          <w:r>
            <w:rPr>
              <w:color w:val="auto"/>
              <w:highlight w:val="none"/>
            </w:rPr>
            <w:fldChar w:fldCharType="begin"/>
          </w:r>
          <w:r>
            <w:rPr>
              <w:color w:val="auto"/>
              <w:highlight w:val="none"/>
            </w:rPr>
            <w:instrText xml:space="preserve"> PAGEREF _Toc12746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"_Toc5417" </w:instrText>
          </w:r>
          <w:r>
            <w:rPr>
              <w:color w:val="auto"/>
              <w:highlight w:val="none"/>
            </w:rPr>
            <w:fldChar w:fldCharType="separate"/>
          </w:r>
          <w:r>
            <w:rPr>
              <w:rFonts w:hint="eastAsia" w:ascii="仿宋" w:hAnsi="仿宋" w:eastAsia="仿宋" w:cs="仿宋"/>
              <w:color w:val="auto"/>
              <w:szCs w:val="24"/>
              <w:highlight w:val="none"/>
            </w:rPr>
            <w:t>★50. 工程质量创优</w:t>
          </w:r>
          <w:r>
            <w:rPr>
              <w:color w:val="auto"/>
              <w:highlight w:val="none"/>
            </w:rPr>
            <w:tab/>
          </w:r>
          <w:r>
            <w:rPr>
              <w:color w:val="auto"/>
              <w:highlight w:val="none"/>
            </w:rPr>
            <w:fldChar w:fldCharType="begin"/>
          </w:r>
          <w:r>
            <w:rPr>
              <w:color w:val="auto"/>
              <w:highlight w:val="none"/>
            </w:rPr>
            <w:instrText xml:space="preserve"> PAGEREF _Toc5417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"_Toc4661" </w:instrText>
          </w:r>
          <w:r>
            <w:rPr>
              <w:color w:val="auto"/>
              <w:highlight w:val="none"/>
            </w:rPr>
            <w:fldChar w:fldCharType="separate"/>
          </w:r>
          <w:r>
            <w:rPr>
              <w:rFonts w:hint="eastAsia" w:ascii="仿宋" w:hAnsi="仿宋" w:eastAsia="仿宋" w:cs="仿宋"/>
              <w:color w:val="auto"/>
              <w:szCs w:val="24"/>
              <w:highlight w:val="none"/>
            </w:rPr>
            <w:t>★52.  绿色施工安全防护</w:t>
          </w:r>
          <w:r>
            <w:rPr>
              <w:color w:val="auto"/>
              <w:highlight w:val="none"/>
            </w:rPr>
            <w:tab/>
          </w:r>
          <w:r>
            <w:rPr>
              <w:color w:val="auto"/>
              <w:highlight w:val="none"/>
            </w:rPr>
            <w:fldChar w:fldCharType="begin"/>
          </w:r>
          <w:r>
            <w:rPr>
              <w:color w:val="auto"/>
              <w:highlight w:val="none"/>
            </w:rPr>
            <w:instrText xml:space="preserve"> PAGEREF _Toc4661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"_Toc29123" </w:instrText>
          </w:r>
          <w:r>
            <w:rPr>
              <w:color w:val="auto"/>
              <w:highlight w:val="none"/>
            </w:rPr>
            <w:fldChar w:fldCharType="separate"/>
          </w:r>
          <w:r>
            <w:rPr>
              <w:rFonts w:hint="eastAsia" w:ascii="仿宋" w:hAnsi="仿宋" w:eastAsia="仿宋" w:cs="仿宋"/>
              <w:color w:val="auto"/>
              <w:szCs w:val="24"/>
              <w:highlight w:val="none"/>
            </w:rPr>
            <w:t>53.  测量放线</w:t>
          </w:r>
          <w:r>
            <w:rPr>
              <w:color w:val="auto"/>
              <w:highlight w:val="none"/>
            </w:rPr>
            <w:tab/>
          </w:r>
          <w:r>
            <w:rPr>
              <w:color w:val="auto"/>
              <w:highlight w:val="none"/>
            </w:rPr>
            <w:fldChar w:fldCharType="begin"/>
          </w:r>
          <w:r>
            <w:rPr>
              <w:color w:val="auto"/>
              <w:highlight w:val="none"/>
            </w:rPr>
            <w:instrText xml:space="preserve"> PAGEREF _Toc29123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"_Toc32630" </w:instrText>
          </w:r>
          <w:r>
            <w:rPr>
              <w:color w:val="auto"/>
              <w:highlight w:val="none"/>
            </w:rPr>
            <w:fldChar w:fldCharType="separate"/>
          </w:r>
          <w:r>
            <w:rPr>
              <w:rFonts w:hint="eastAsia" w:ascii="仿宋" w:hAnsi="仿宋" w:eastAsia="仿宋" w:cs="仿宋"/>
              <w:color w:val="auto"/>
              <w:szCs w:val="24"/>
              <w:highlight w:val="none"/>
            </w:rPr>
            <w:t>55.  发包人供应材料和工程设备</w:t>
          </w:r>
          <w:r>
            <w:rPr>
              <w:color w:val="auto"/>
              <w:highlight w:val="none"/>
            </w:rPr>
            <w:tab/>
          </w:r>
          <w:r>
            <w:rPr>
              <w:color w:val="auto"/>
              <w:highlight w:val="none"/>
            </w:rPr>
            <w:fldChar w:fldCharType="begin"/>
          </w:r>
          <w:r>
            <w:rPr>
              <w:color w:val="auto"/>
              <w:highlight w:val="none"/>
            </w:rPr>
            <w:instrText xml:space="preserve"> PAGEREF _Toc32630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"_Toc32761" </w:instrText>
          </w:r>
          <w:r>
            <w:rPr>
              <w:color w:val="auto"/>
              <w:highlight w:val="none"/>
            </w:rPr>
            <w:fldChar w:fldCharType="separate"/>
          </w:r>
          <w:r>
            <w:rPr>
              <w:rFonts w:hint="eastAsia" w:ascii="仿宋" w:hAnsi="仿宋" w:eastAsia="仿宋" w:cs="仿宋"/>
              <w:color w:val="auto"/>
              <w:szCs w:val="24"/>
              <w:highlight w:val="none"/>
            </w:rPr>
            <w:t>56.  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_Toc32761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"_Toc13706" </w:instrText>
          </w:r>
          <w:r>
            <w:rPr>
              <w:color w:val="auto"/>
              <w:highlight w:val="none"/>
            </w:rPr>
            <w:fldChar w:fldCharType="separate"/>
          </w:r>
          <w:r>
            <w:rPr>
              <w:rFonts w:ascii="仿宋" w:hAnsi="仿宋" w:eastAsia="仿宋" w:cs="仿宋"/>
              <w:color w:val="auto"/>
              <w:szCs w:val="24"/>
              <w:highlight w:val="none"/>
            </w:rPr>
            <w:t>57. 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_Toc13706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"_Toc5046" </w:instrText>
          </w:r>
          <w:r>
            <w:rPr>
              <w:color w:val="auto"/>
              <w:highlight w:val="none"/>
            </w:rPr>
            <w:fldChar w:fldCharType="separate"/>
          </w:r>
          <w:r>
            <w:rPr>
              <w:rFonts w:hint="eastAsia" w:ascii="仿宋" w:hAnsi="仿宋" w:eastAsia="仿宋" w:cs="仿宋"/>
              <w:color w:val="auto"/>
              <w:szCs w:val="24"/>
              <w:highlight w:val="none"/>
            </w:rPr>
            <w:t>58.  施工设备和临时设施</w:t>
          </w:r>
          <w:r>
            <w:rPr>
              <w:color w:val="auto"/>
              <w:highlight w:val="none"/>
            </w:rPr>
            <w:tab/>
          </w:r>
          <w:r>
            <w:rPr>
              <w:color w:val="auto"/>
              <w:highlight w:val="none"/>
            </w:rPr>
            <w:fldChar w:fldCharType="begin"/>
          </w:r>
          <w:r>
            <w:rPr>
              <w:color w:val="auto"/>
              <w:highlight w:val="none"/>
            </w:rPr>
            <w:instrText xml:space="preserve"> PAGEREF _Toc5046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"_Toc20487" </w:instrText>
          </w:r>
          <w:r>
            <w:rPr>
              <w:color w:val="auto"/>
              <w:highlight w:val="none"/>
            </w:rPr>
            <w:fldChar w:fldCharType="separate"/>
          </w:r>
          <w:r>
            <w:rPr>
              <w:rFonts w:hint="eastAsia" w:ascii="仿宋" w:hAnsi="仿宋" w:eastAsia="仿宋" w:cs="仿宋"/>
              <w:color w:val="auto"/>
              <w:szCs w:val="24"/>
              <w:highlight w:val="none"/>
            </w:rPr>
            <w:t>★60.  隐蔽工程和中间验收</w:t>
          </w:r>
          <w:r>
            <w:rPr>
              <w:color w:val="auto"/>
              <w:highlight w:val="none"/>
            </w:rPr>
            <w:tab/>
          </w:r>
          <w:r>
            <w:rPr>
              <w:color w:val="auto"/>
              <w:highlight w:val="none"/>
            </w:rPr>
            <w:fldChar w:fldCharType="begin"/>
          </w:r>
          <w:r>
            <w:rPr>
              <w:color w:val="auto"/>
              <w:highlight w:val="none"/>
            </w:rPr>
            <w:instrText xml:space="preserve"> PAGEREF _Toc20487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"_Toc23621" </w:instrText>
          </w:r>
          <w:r>
            <w:rPr>
              <w:color w:val="auto"/>
              <w:highlight w:val="none"/>
            </w:rPr>
            <w:fldChar w:fldCharType="separate"/>
          </w:r>
          <w:r>
            <w:rPr>
              <w:rFonts w:hint="eastAsia" w:ascii="仿宋" w:hAnsi="仿宋" w:eastAsia="仿宋" w:cs="仿宋"/>
              <w:color w:val="auto"/>
              <w:szCs w:val="24"/>
              <w:highlight w:val="none"/>
            </w:rPr>
            <w:t>62. 工程试车</w:t>
          </w:r>
          <w:r>
            <w:rPr>
              <w:color w:val="auto"/>
              <w:highlight w:val="none"/>
            </w:rPr>
            <w:tab/>
          </w:r>
          <w:r>
            <w:rPr>
              <w:color w:val="auto"/>
              <w:highlight w:val="none"/>
            </w:rPr>
            <w:fldChar w:fldCharType="begin"/>
          </w:r>
          <w:r>
            <w:rPr>
              <w:color w:val="auto"/>
              <w:highlight w:val="none"/>
            </w:rPr>
            <w:instrText xml:space="preserve"> PAGEREF _Toc23621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"_Toc25325" </w:instrText>
          </w:r>
          <w:r>
            <w:rPr>
              <w:color w:val="auto"/>
              <w:highlight w:val="none"/>
            </w:rPr>
            <w:fldChar w:fldCharType="separate"/>
          </w:r>
          <w:r>
            <w:rPr>
              <w:rFonts w:hint="eastAsia" w:ascii="仿宋" w:hAnsi="仿宋" w:eastAsia="仿宋" w:cs="仿宋"/>
              <w:color w:val="auto"/>
              <w:szCs w:val="24"/>
              <w:highlight w:val="none"/>
            </w:rPr>
            <w:t>★63. 工程变更</w:t>
          </w:r>
          <w:r>
            <w:rPr>
              <w:color w:val="auto"/>
              <w:highlight w:val="none"/>
            </w:rPr>
            <w:tab/>
          </w:r>
          <w:r>
            <w:rPr>
              <w:color w:val="auto"/>
              <w:highlight w:val="none"/>
            </w:rPr>
            <w:fldChar w:fldCharType="begin"/>
          </w:r>
          <w:r>
            <w:rPr>
              <w:color w:val="auto"/>
              <w:highlight w:val="none"/>
            </w:rPr>
            <w:instrText xml:space="preserve"> PAGEREF _Toc25325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"_Toc16381" </w:instrText>
          </w:r>
          <w:r>
            <w:rPr>
              <w:color w:val="auto"/>
              <w:highlight w:val="none"/>
            </w:rPr>
            <w:fldChar w:fldCharType="separate"/>
          </w:r>
          <w:r>
            <w:rPr>
              <w:rFonts w:hint="eastAsia" w:ascii="仿宋" w:hAnsi="仿宋" w:eastAsia="仿宋" w:cs="仿宋"/>
              <w:color w:val="auto"/>
              <w:szCs w:val="24"/>
              <w:highlight w:val="none"/>
            </w:rPr>
            <w:t>64. 竣工验收条件</w:t>
          </w:r>
          <w:r>
            <w:rPr>
              <w:color w:val="auto"/>
              <w:highlight w:val="none"/>
            </w:rPr>
            <w:tab/>
          </w:r>
          <w:r>
            <w:rPr>
              <w:color w:val="auto"/>
              <w:highlight w:val="none"/>
            </w:rPr>
            <w:fldChar w:fldCharType="begin"/>
          </w:r>
          <w:r>
            <w:rPr>
              <w:color w:val="auto"/>
              <w:highlight w:val="none"/>
            </w:rPr>
            <w:instrText xml:space="preserve"> PAGEREF _Toc16381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"_Toc15399" </w:instrText>
          </w:r>
          <w:r>
            <w:rPr>
              <w:color w:val="auto"/>
              <w:highlight w:val="none"/>
            </w:rPr>
            <w:fldChar w:fldCharType="separate"/>
          </w:r>
          <w:r>
            <w:rPr>
              <w:rFonts w:hint="eastAsia" w:ascii="仿宋" w:hAnsi="仿宋" w:eastAsia="仿宋" w:cs="仿宋"/>
              <w:color w:val="auto"/>
              <w:szCs w:val="24"/>
              <w:highlight w:val="none"/>
            </w:rPr>
            <w:t>★65. 竣工验收</w:t>
          </w:r>
          <w:r>
            <w:rPr>
              <w:color w:val="auto"/>
              <w:highlight w:val="none"/>
            </w:rPr>
            <w:tab/>
          </w:r>
          <w:r>
            <w:rPr>
              <w:color w:val="auto"/>
              <w:highlight w:val="none"/>
            </w:rPr>
            <w:fldChar w:fldCharType="begin"/>
          </w:r>
          <w:r>
            <w:rPr>
              <w:color w:val="auto"/>
              <w:highlight w:val="none"/>
            </w:rPr>
            <w:instrText xml:space="preserve"> PAGEREF _Toc15399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"_Toc6726" </w:instrText>
          </w:r>
          <w:r>
            <w:rPr>
              <w:color w:val="auto"/>
              <w:highlight w:val="none"/>
            </w:rPr>
            <w:fldChar w:fldCharType="separate"/>
          </w:r>
          <w:r>
            <w:rPr>
              <w:rFonts w:hint="eastAsia" w:ascii="仿宋" w:hAnsi="仿宋" w:eastAsia="仿宋" w:cs="仿宋"/>
              <w:color w:val="auto"/>
              <w:szCs w:val="24"/>
              <w:highlight w:val="none"/>
            </w:rPr>
            <w:t>66.  缺陷责任与质量保修</w:t>
          </w:r>
          <w:r>
            <w:rPr>
              <w:color w:val="auto"/>
              <w:highlight w:val="none"/>
            </w:rPr>
            <w:tab/>
          </w:r>
          <w:r>
            <w:rPr>
              <w:color w:val="auto"/>
              <w:highlight w:val="none"/>
            </w:rPr>
            <w:fldChar w:fldCharType="begin"/>
          </w:r>
          <w:r>
            <w:rPr>
              <w:color w:val="auto"/>
              <w:highlight w:val="none"/>
            </w:rPr>
            <w:instrText xml:space="preserve"> PAGEREF _Toc6726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"_Toc8704" </w:instrText>
          </w:r>
          <w:r>
            <w:rPr>
              <w:color w:val="auto"/>
              <w:highlight w:val="none"/>
            </w:rPr>
            <w:fldChar w:fldCharType="separate"/>
          </w:r>
          <w:r>
            <w:rPr>
              <w:rFonts w:hint="eastAsia" w:ascii="仿宋" w:hAnsi="仿宋" w:eastAsia="仿宋" w:cs="仿宋"/>
              <w:color w:val="auto"/>
              <w:szCs w:val="24"/>
              <w:highlight w:val="none"/>
            </w:rPr>
            <w:t>68. 联合体牵头人项目管理费</w:t>
          </w:r>
          <w:r>
            <w:rPr>
              <w:color w:val="auto"/>
              <w:highlight w:val="none"/>
            </w:rPr>
            <w:tab/>
          </w:r>
          <w:r>
            <w:rPr>
              <w:color w:val="auto"/>
              <w:highlight w:val="none"/>
            </w:rPr>
            <w:fldChar w:fldCharType="begin"/>
          </w:r>
          <w:r>
            <w:rPr>
              <w:color w:val="auto"/>
              <w:highlight w:val="none"/>
            </w:rPr>
            <w:instrText xml:space="preserve"> PAGEREF _Toc8704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"_Toc5823" </w:instrText>
          </w:r>
          <w:r>
            <w:rPr>
              <w:color w:val="auto"/>
              <w:highlight w:val="none"/>
            </w:rPr>
            <w:fldChar w:fldCharType="separate"/>
          </w:r>
          <w:r>
            <w:rPr>
              <w:rFonts w:hint="eastAsia" w:ascii="仿宋" w:hAnsi="仿宋" w:eastAsia="仿宋" w:cs="仿宋"/>
              <w:color w:val="auto"/>
              <w:szCs w:val="24"/>
              <w:highlight w:val="none"/>
            </w:rPr>
            <w:t>★69. 合同价格的约定与调整</w:t>
          </w:r>
          <w:r>
            <w:rPr>
              <w:color w:val="auto"/>
              <w:highlight w:val="none"/>
            </w:rPr>
            <w:tab/>
          </w:r>
          <w:r>
            <w:rPr>
              <w:color w:val="auto"/>
              <w:highlight w:val="none"/>
            </w:rPr>
            <w:fldChar w:fldCharType="begin"/>
          </w:r>
          <w:r>
            <w:rPr>
              <w:color w:val="auto"/>
              <w:highlight w:val="none"/>
            </w:rPr>
            <w:instrText xml:space="preserve"> PAGEREF _Toc5823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"_Toc32302" </w:instrText>
          </w:r>
          <w:r>
            <w:rPr>
              <w:color w:val="auto"/>
              <w:highlight w:val="none"/>
            </w:rPr>
            <w:fldChar w:fldCharType="separate"/>
          </w:r>
          <w:r>
            <w:rPr>
              <w:rFonts w:hint="eastAsia" w:ascii="仿宋" w:hAnsi="仿宋" w:eastAsia="仿宋" w:cs="仿宋"/>
              <w:color w:val="auto"/>
              <w:szCs w:val="24"/>
              <w:highlight w:val="none"/>
            </w:rPr>
            <w:t>★71. 工作量或工程量</w:t>
          </w:r>
          <w:r>
            <w:rPr>
              <w:color w:val="auto"/>
              <w:highlight w:val="none"/>
            </w:rPr>
            <w:tab/>
          </w:r>
          <w:r>
            <w:rPr>
              <w:color w:val="auto"/>
              <w:highlight w:val="none"/>
            </w:rPr>
            <w:fldChar w:fldCharType="begin"/>
          </w:r>
          <w:r>
            <w:rPr>
              <w:color w:val="auto"/>
              <w:highlight w:val="none"/>
            </w:rPr>
            <w:instrText xml:space="preserve"> PAGEREF _Toc32302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"_Toc31369" </w:instrText>
          </w:r>
          <w:r>
            <w:rPr>
              <w:color w:val="auto"/>
              <w:highlight w:val="none"/>
            </w:rPr>
            <w:fldChar w:fldCharType="separate"/>
          </w:r>
          <w:r>
            <w:rPr>
              <w:rFonts w:hint="eastAsia" w:ascii="仿宋" w:hAnsi="仿宋" w:eastAsia="仿宋" w:cs="仿宋"/>
              <w:color w:val="auto"/>
              <w:szCs w:val="24"/>
              <w:highlight w:val="none"/>
            </w:rPr>
            <w:t>★72. 计量和计价</w:t>
          </w:r>
          <w:r>
            <w:rPr>
              <w:color w:val="auto"/>
              <w:highlight w:val="none"/>
            </w:rPr>
            <w:tab/>
          </w:r>
          <w:r>
            <w:rPr>
              <w:color w:val="auto"/>
              <w:highlight w:val="none"/>
            </w:rPr>
            <w:fldChar w:fldCharType="begin"/>
          </w:r>
          <w:r>
            <w:rPr>
              <w:color w:val="auto"/>
              <w:highlight w:val="none"/>
            </w:rPr>
            <w:instrText xml:space="preserve"> PAGEREF _Toc31369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"_Toc8815" </w:instrText>
          </w:r>
          <w:r>
            <w:rPr>
              <w:color w:val="auto"/>
              <w:highlight w:val="none"/>
            </w:rPr>
            <w:fldChar w:fldCharType="separate"/>
          </w:r>
          <w:r>
            <w:rPr>
              <w:rFonts w:hint="eastAsia" w:ascii="仿宋" w:hAnsi="仿宋" w:eastAsia="仿宋" w:cs="仿宋"/>
              <w:color w:val="auto"/>
              <w:szCs w:val="24"/>
              <w:highlight w:val="none"/>
            </w:rPr>
            <w:t>★73.  暂列金额</w:t>
          </w:r>
          <w:r>
            <w:rPr>
              <w:color w:val="auto"/>
              <w:highlight w:val="none"/>
            </w:rPr>
            <w:tab/>
          </w:r>
          <w:r>
            <w:rPr>
              <w:color w:val="auto"/>
              <w:highlight w:val="none"/>
            </w:rPr>
            <w:fldChar w:fldCharType="begin"/>
          </w:r>
          <w:r>
            <w:rPr>
              <w:color w:val="auto"/>
              <w:highlight w:val="none"/>
            </w:rPr>
            <w:instrText xml:space="preserve"> PAGEREF _Toc8815 \h </w:instrText>
          </w:r>
          <w:r>
            <w:rPr>
              <w:color w:val="auto"/>
              <w:highlight w:val="none"/>
            </w:rPr>
            <w:fldChar w:fldCharType="separate"/>
          </w:r>
          <w:r>
            <w:rPr>
              <w:color w:val="auto"/>
              <w:highlight w:val="none"/>
            </w:rPr>
            <w:t>194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"_Toc29961" </w:instrText>
          </w:r>
          <w:r>
            <w:rPr>
              <w:color w:val="auto"/>
              <w:highlight w:val="none"/>
            </w:rPr>
            <w:fldChar w:fldCharType="separate"/>
          </w:r>
          <w:r>
            <w:rPr>
              <w:rFonts w:hint="eastAsia" w:ascii="仿宋" w:hAnsi="仿宋" w:eastAsia="仿宋" w:cs="仿宋"/>
              <w:color w:val="auto"/>
              <w:szCs w:val="24"/>
              <w:highlight w:val="none"/>
            </w:rPr>
            <w:t>★75.  暂估价</w:t>
          </w:r>
          <w:r>
            <w:rPr>
              <w:color w:val="auto"/>
              <w:highlight w:val="none"/>
            </w:rPr>
            <w:tab/>
          </w:r>
          <w:r>
            <w:rPr>
              <w:color w:val="auto"/>
              <w:highlight w:val="none"/>
            </w:rPr>
            <w:fldChar w:fldCharType="begin"/>
          </w:r>
          <w:r>
            <w:rPr>
              <w:color w:val="auto"/>
              <w:highlight w:val="none"/>
            </w:rPr>
            <w:instrText xml:space="preserve"> PAGEREF _Toc29961 \h </w:instrText>
          </w:r>
          <w:r>
            <w:rPr>
              <w:color w:val="auto"/>
              <w:highlight w:val="none"/>
            </w:rPr>
            <w:fldChar w:fldCharType="separate"/>
          </w:r>
          <w:r>
            <w:rPr>
              <w:color w:val="auto"/>
              <w:highlight w:val="none"/>
            </w:rPr>
            <w:t>194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"_Toc31430" </w:instrText>
          </w:r>
          <w:r>
            <w:rPr>
              <w:color w:val="auto"/>
              <w:highlight w:val="none"/>
            </w:rPr>
            <w:fldChar w:fldCharType="separate"/>
          </w:r>
          <w:r>
            <w:rPr>
              <w:rFonts w:hint="eastAsia" w:ascii="仿宋" w:hAnsi="仿宋" w:eastAsia="仿宋" w:cs="仿宋"/>
              <w:color w:val="auto"/>
              <w:szCs w:val="24"/>
              <w:highlight w:val="none"/>
            </w:rPr>
            <w:t>★76.  提前竣工奖与误期赔偿费</w:t>
          </w:r>
          <w:r>
            <w:rPr>
              <w:color w:val="auto"/>
              <w:highlight w:val="none"/>
            </w:rPr>
            <w:tab/>
          </w:r>
          <w:r>
            <w:rPr>
              <w:color w:val="auto"/>
              <w:highlight w:val="none"/>
            </w:rPr>
            <w:fldChar w:fldCharType="begin"/>
          </w:r>
          <w:r>
            <w:rPr>
              <w:color w:val="auto"/>
              <w:highlight w:val="none"/>
            </w:rPr>
            <w:instrText xml:space="preserve"> PAGEREF _Toc31430 \h </w:instrText>
          </w:r>
          <w:r>
            <w:rPr>
              <w:color w:val="auto"/>
              <w:highlight w:val="none"/>
            </w:rPr>
            <w:fldChar w:fldCharType="separate"/>
          </w:r>
          <w:r>
            <w:rPr>
              <w:color w:val="auto"/>
              <w:highlight w:val="none"/>
            </w:rPr>
            <w:t>194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"_Toc7072" </w:instrText>
          </w:r>
          <w:r>
            <w:rPr>
              <w:color w:val="auto"/>
              <w:highlight w:val="none"/>
            </w:rPr>
            <w:fldChar w:fldCharType="separate"/>
          </w:r>
          <w:r>
            <w:rPr>
              <w:rFonts w:hint="eastAsia" w:ascii="仿宋" w:hAnsi="仿宋" w:eastAsia="仿宋" w:cs="仿宋"/>
              <w:color w:val="auto"/>
              <w:szCs w:val="24"/>
              <w:highlight w:val="none"/>
            </w:rPr>
            <w:t>★77.  优质优价费用</w:t>
          </w:r>
          <w:r>
            <w:rPr>
              <w:color w:val="auto"/>
              <w:highlight w:val="none"/>
            </w:rPr>
            <w:tab/>
          </w:r>
          <w:r>
            <w:rPr>
              <w:color w:val="auto"/>
              <w:highlight w:val="none"/>
            </w:rPr>
            <w:fldChar w:fldCharType="begin"/>
          </w:r>
          <w:r>
            <w:rPr>
              <w:color w:val="auto"/>
              <w:highlight w:val="none"/>
            </w:rPr>
            <w:instrText xml:space="preserve"> PAGEREF _Toc7072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"_Toc25300" </w:instrText>
          </w:r>
          <w:r>
            <w:rPr>
              <w:color w:val="auto"/>
              <w:highlight w:val="none"/>
            </w:rPr>
            <w:fldChar w:fldCharType="separate"/>
          </w:r>
          <w:r>
            <w:rPr>
              <w:rFonts w:hint="eastAsia" w:ascii="仿宋" w:hAnsi="仿宋" w:eastAsia="仿宋" w:cs="仿宋"/>
              <w:color w:val="auto"/>
              <w:szCs w:val="24"/>
              <w:highlight w:val="none"/>
            </w:rPr>
            <w:t>79.  可调变更定价</w:t>
          </w:r>
          <w:r>
            <w:rPr>
              <w:color w:val="auto"/>
              <w:highlight w:val="none"/>
            </w:rPr>
            <w:tab/>
          </w:r>
          <w:r>
            <w:rPr>
              <w:color w:val="auto"/>
              <w:highlight w:val="none"/>
            </w:rPr>
            <w:fldChar w:fldCharType="begin"/>
          </w:r>
          <w:r>
            <w:rPr>
              <w:color w:val="auto"/>
              <w:highlight w:val="none"/>
            </w:rPr>
            <w:instrText xml:space="preserve"> PAGEREF _Toc25300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"_Toc4129" </w:instrText>
          </w:r>
          <w:r>
            <w:rPr>
              <w:color w:val="auto"/>
              <w:highlight w:val="none"/>
            </w:rPr>
            <w:fldChar w:fldCharType="separate"/>
          </w:r>
          <w:r>
            <w:rPr>
              <w:rFonts w:hint="eastAsia" w:ascii="仿宋" w:hAnsi="仿宋" w:eastAsia="仿宋" w:cs="仿宋"/>
              <w:color w:val="auto"/>
              <w:szCs w:val="24"/>
              <w:highlight w:val="none"/>
            </w:rPr>
            <w:t>★81.  现场签证价格的确定</w:t>
          </w:r>
          <w:r>
            <w:rPr>
              <w:color w:val="auto"/>
              <w:highlight w:val="none"/>
            </w:rPr>
            <w:tab/>
          </w:r>
          <w:r>
            <w:rPr>
              <w:color w:val="auto"/>
              <w:highlight w:val="none"/>
            </w:rPr>
            <w:fldChar w:fldCharType="begin"/>
          </w:r>
          <w:r>
            <w:rPr>
              <w:color w:val="auto"/>
              <w:highlight w:val="none"/>
            </w:rPr>
            <w:instrText xml:space="preserve"> PAGEREF _Toc4129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"_Toc16111" </w:instrText>
          </w:r>
          <w:r>
            <w:rPr>
              <w:color w:val="auto"/>
              <w:highlight w:val="none"/>
            </w:rPr>
            <w:fldChar w:fldCharType="separate"/>
          </w:r>
          <w:r>
            <w:rPr>
              <w:rFonts w:hint="eastAsia" w:ascii="仿宋" w:hAnsi="仿宋" w:eastAsia="仿宋" w:cs="仿宋"/>
              <w:color w:val="auto"/>
              <w:szCs w:val="24"/>
              <w:highlight w:val="none"/>
            </w:rPr>
            <w:t>★82.  物价涨落的价格调整</w:t>
          </w:r>
          <w:r>
            <w:rPr>
              <w:color w:val="auto"/>
              <w:highlight w:val="none"/>
            </w:rPr>
            <w:tab/>
          </w:r>
          <w:r>
            <w:rPr>
              <w:color w:val="auto"/>
              <w:highlight w:val="none"/>
            </w:rPr>
            <w:fldChar w:fldCharType="begin"/>
          </w:r>
          <w:r>
            <w:rPr>
              <w:color w:val="auto"/>
              <w:highlight w:val="none"/>
            </w:rPr>
            <w:instrText xml:space="preserve"> PAGEREF _Toc16111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"_Toc4119" </w:instrText>
          </w:r>
          <w:r>
            <w:rPr>
              <w:color w:val="auto"/>
              <w:highlight w:val="none"/>
            </w:rPr>
            <w:fldChar w:fldCharType="separate"/>
          </w:r>
          <w:r>
            <w:rPr>
              <w:rFonts w:hint="eastAsia" w:ascii="仿宋" w:hAnsi="仿宋" w:eastAsia="仿宋" w:cs="仿宋"/>
              <w:color w:val="auto"/>
              <w:szCs w:val="24"/>
              <w:highlight w:val="none"/>
            </w:rPr>
            <w:t>★83. 支付事项</w:t>
          </w:r>
          <w:r>
            <w:rPr>
              <w:color w:val="auto"/>
              <w:highlight w:val="none"/>
            </w:rPr>
            <w:tab/>
          </w:r>
          <w:r>
            <w:rPr>
              <w:color w:val="auto"/>
              <w:highlight w:val="none"/>
            </w:rPr>
            <w:fldChar w:fldCharType="begin"/>
          </w:r>
          <w:r>
            <w:rPr>
              <w:color w:val="auto"/>
              <w:highlight w:val="none"/>
            </w:rPr>
            <w:instrText xml:space="preserve"> PAGEREF _Toc4119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"_Toc16088" </w:instrText>
          </w:r>
          <w:r>
            <w:rPr>
              <w:color w:val="auto"/>
              <w:highlight w:val="none"/>
            </w:rPr>
            <w:fldChar w:fldCharType="separate"/>
          </w:r>
          <w:r>
            <w:rPr>
              <w:rFonts w:hint="eastAsia" w:ascii="仿宋" w:hAnsi="仿宋" w:eastAsia="仿宋" w:cs="仿宋"/>
              <w:color w:val="auto"/>
              <w:szCs w:val="24"/>
              <w:highlight w:val="none"/>
            </w:rPr>
            <w:t>★84.  预付款</w:t>
          </w:r>
          <w:r>
            <w:rPr>
              <w:color w:val="auto"/>
              <w:highlight w:val="none"/>
            </w:rPr>
            <w:tab/>
          </w:r>
          <w:r>
            <w:rPr>
              <w:color w:val="auto"/>
              <w:highlight w:val="none"/>
            </w:rPr>
            <w:fldChar w:fldCharType="begin"/>
          </w:r>
          <w:r>
            <w:rPr>
              <w:color w:val="auto"/>
              <w:highlight w:val="none"/>
            </w:rPr>
            <w:instrText xml:space="preserve"> PAGEREF _Toc16088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"_Toc23319" </w:instrText>
          </w:r>
          <w:r>
            <w:rPr>
              <w:color w:val="auto"/>
              <w:highlight w:val="none"/>
            </w:rPr>
            <w:fldChar w:fldCharType="separate"/>
          </w:r>
          <w:r>
            <w:rPr>
              <w:rFonts w:hint="eastAsia" w:ascii="仿宋" w:hAnsi="仿宋" w:eastAsia="仿宋" w:cs="仿宋"/>
              <w:color w:val="auto"/>
              <w:szCs w:val="24"/>
              <w:highlight w:val="none"/>
            </w:rPr>
            <w:t>★85.  绿色施工安全防护费</w:t>
          </w:r>
          <w:r>
            <w:rPr>
              <w:color w:val="auto"/>
              <w:highlight w:val="none"/>
            </w:rPr>
            <w:tab/>
          </w:r>
          <w:r>
            <w:rPr>
              <w:color w:val="auto"/>
              <w:highlight w:val="none"/>
            </w:rPr>
            <w:fldChar w:fldCharType="begin"/>
          </w:r>
          <w:r>
            <w:rPr>
              <w:color w:val="auto"/>
              <w:highlight w:val="none"/>
            </w:rPr>
            <w:instrText xml:space="preserve"> PAGEREF _Toc23319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"_Toc8006" </w:instrText>
          </w:r>
          <w:r>
            <w:rPr>
              <w:color w:val="auto"/>
              <w:highlight w:val="none"/>
            </w:rPr>
            <w:fldChar w:fldCharType="separate"/>
          </w:r>
          <w:r>
            <w:rPr>
              <w:rFonts w:hint="eastAsia" w:ascii="仿宋" w:hAnsi="仿宋" w:eastAsia="仿宋" w:cs="仿宋"/>
              <w:color w:val="auto"/>
              <w:szCs w:val="24"/>
              <w:highlight w:val="none"/>
            </w:rPr>
            <w:t>★86.  进度款</w:t>
          </w:r>
          <w:r>
            <w:rPr>
              <w:color w:val="auto"/>
              <w:highlight w:val="none"/>
            </w:rPr>
            <w:tab/>
          </w:r>
          <w:r>
            <w:rPr>
              <w:color w:val="auto"/>
              <w:highlight w:val="none"/>
            </w:rPr>
            <w:fldChar w:fldCharType="begin"/>
          </w:r>
          <w:r>
            <w:rPr>
              <w:color w:val="auto"/>
              <w:highlight w:val="none"/>
            </w:rPr>
            <w:instrText xml:space="preserve"> PAGEREF _Toc8006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"_Toc4266" </w:instrText>
          </w:r>
          <w:r>
            <w:rPr>
              <w:color w:val="auto"/>
              <w:highlight w:val="none"/>
            </w:rPr>
            <w:fldChar w:fldCharType="separate"/>
          </w:r>
          <w:r>
            <w:rPr>
              <w:rFonts w:hint="eastAsia" w:ascii="仿宋" w:hAnsi="仿宋" w:eastAsia="仿宋" w:cs="仿宋"/>
              <w:color w:val="auto"/>
              <w:szCs w:val="24"/>
              <w:highlight w:val="none"/>
            </w:rPr>
            <w:t>★87. 竣工结算</w:t>
          </w:r>
          <w:r>
            <w:rPr>
              <w:color w:val="auto"/>
              <w:highlight w:val="none"/>
            </w:rPr>
            <w:tab/>
          </w:r>
          <w:r>
            <w:rPr>
              <w:color w:val="auto"/>
              <w:highlight w:val="none"/>
            </w:rPr>
            <w:fldChar w:fldCharType="begin"/>
          </w:r>
          <w:r>
            <w:rPr>
              <w:color w:val="auto"/>
              <w:highlight w:val="none"/>
            </w:rPr>
            <w:instrText xml:space="preserve"> PAGEREF _Toc4266 \h </w:instrText>
          </w:r>
          <w:r>
            <w:rPr>
              <w:color w:val="auto"/>
              <w:highlight w:val="none"/>
            </w:rPr>
            <w:fldChar w:fldCharType="separate"/>
          </w:r>
          <w:r>
            <w:rPr>
              <w:color w:val="auto"/>
              <w:highlight w:val="none"/>
            </w:rPr>
            <w:t>210</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"_Toc10395" </w:instrText>
          </w:r>
          <w:r>
            <w:rPr>
              <w:color w:val="auto"/>
              <w:highlight w:val="none"/>
            </w:rPr>
            <w:fldChar w:fldCharType="separate"/>
          </w:r>
          <w:r>
            <w:rPr>
              <w:rFonts w:hint="eastAsia" w:ascii="仿宋" w:hAnsi="仿宋" w:eastAsia="仿宋" w:cs="仿宋"/>
              <w:color w:val="auto"/>
              <w:szCs w:val="24"/>
              <w:highlight w:val="none"/>
            </w:rPr>
            <w:t>★88.  结算款</w:t>
          </w:r>
          <w:r>
            <w:rPr>
              <w:color w:val="auto"/>
              <w:highlight w:val="none"/>
            </w:rPr>
            <w:tab/>
          </w:r>
          <w:r>
            <w:rPr>
              <w:color w:val="auto"/>
              <w:highlight w:val="none"/>
            </w:rPr>
            <w:fldChar w:fldCharType="begin"/>
          </w:r>
          <w:r>
            <w:rPr>
              <w:color w:val="auto"/>
              <w:highlight w:val="none"/>
            </w:rPr>
            <w:instrText xml:space="preserve"> PAGEREF _Toc10395 \h </w:instrText>
          </w:r>
          <w:r>
            <w:rPr>
              <w:color w:val="auto"/>
              <w:highlight w:val="none"/>
            </w:rPr>
            <w:fldChar w:fldCharType="separate"/>
          </w:r>
          <w:r>
            <w:rPr>
              <w:color w:val="auto"/>
              <w:highlight w:val="none"/>
            </w:rPr>
            <w:t>212</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"_Toc27292" </w:instrText>
          </w:r>
          <w:r>
            <w:rPr>
              <w:color w:val="auto"/>
              <w:highlight w:val="none"/>
            </w:rPr>
            <w:fldChar w:fldCharType="separate"/>
          </w:r>
          <w:r>
            <w:rPr>
              <w:rFonts w:hint="eastAsia" w:ascii="仿宋" w:hAnsi="仿宋" w:eastAsia="仿宋" w:cs="仿宋"/>
              <w:color w:val="auto"/>
              <w:szCs w:val="24"/>
              <w:highlight w:val="none"/>
            </w:rPr>
            <w:t>★89.  质量保证金</w:t>
          </w:r>
          <w:r>
            <w:rPr>
              <w:color w:val="auto"/>
              <w:highlight w:val="none"/>
            </w:rPr>
            <w:tab/>
          </w:r>
          <w:r>
            <w:rPr>
              <w:color w:val="auto"/>
              <w:highlight w:val="none"/>
            </w:rPr>
            <w:fldChar w:fldCharType="begin"/>
          </w:r>
          <w:r>
            <w:rPr>
              <w:color w:val="auto"/>
              <w:highlight w:val="none"/>
            </w:rPr>
            <w:instrText xml:space="preserve"> PAGEREF _Toc27292 \h </w:instrText>
          </w:r>
          <w:r>
            <w:rPr>
              <w:color w:val="auto"/>
              <w:highlight w:val="none"/>
            </w:rPr>
            <w:fldChar w:fldCharType="separate"/>
          </w:r>
          <w:r>
            <w:rPr>
              <w:color w:val="auto"/>
              <w:highlight w:val="none"/>
            </w:rPr>
            <w:t>213</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"_Toc23686" </w:instrText>
          </w:r>
          <w:r>
            <w:rPr>
              <w:color w:val="auto"/>
              <w:highlight w:val="none"/>
            </w:rPr>
            <w:fldChar w:fldCharType="separate"/>
          </w:r>
          <w:r>
            <w:rPr>
              <w:rFonts w:hint="eastAsia" w:ascii="仿宋" w:hAnsi="仿宋" w:eastAsia="仿宋" w:cs="仿宋"/>
              <w:color w:val="auto"/>
              <w:szCs w:val="24"/>
              <w:highlight w:val="none"/>
            </w:rPr>
            <w:t>90.  最终清算款</w:t>
          </w:r>
          <w:r>
            <w:rPr>
              <w:color w:val="auto"/>
              <w:highlight w:val="none"/>
            </w:rPr>
            <w:tab/>
          </w:r>
          <w:r>
            <w:rPr>
              <w:color w:val="auto"/>
              <w:highlight w:val="none"/>
            </w:rPr>
            <w:fldChar w:fldCharType="begin"/>
          </w:r>
          <w:r>
            <w:rPr>
              <w:color w:val="auto"/>
              <w:highlight w:val="none"/>
            </w:rPr>
            <w:instrText xml:space="preserve"> PAGEREF _Toc23686 \h </w:instrText>
          </w:r>
          <w:r>
            <w:rPr>
              <w:color w:val="auto"/>
              <w:highlight w:val="none"/>
            </w:rPr>
            <w:fldChar w:fldCharType="separate"/>
          </w:r>
          <w:r>
            <w:rPr>
              <w:color w:val="auto"/>
              <w:highlight w:val="none"/>
            </w:rPr>
            <w:t>213</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"_Toc7860" </w:instrText>
          </w:r>
          <w:r>
            <w:rPr>
              <w:color w:val="auto"/>
              <w:highlight w:val="none"/>
            </w:rPr>
            <w:fldChar w:fldCharType="separate"/>
          </w:r>
          <w:r>
            <w:rPr>
              <w:rFonts w:hint="eastAsia" w:ascii="仿宋" w:hAnsi="仿宋" w:eastAsia="仿宋" w:cs="仿宋"/>
              <w:color w:val="auto"/>
              <w:szCs w:val="24"/>
              <w:highlight w:val="none"/>
            </w:rPr>
            <w:t>91.  合同争议</w:t>
          </w:r>
          <w:r>
            <w:rPr>
              <w:color w:val="auto"/>
              <w:highlight w:val="none"/>
            </w:rPr>
            <w:tab/>
          </w:r>
          <w:r>
            <w:rPr>
              <w:color w:val="auto"/>
              <w:highlight w:val="none"/>
            </w:rPr>
            <w:fldChar w:fldCharType="begin"/>
          </w:r>
          <w:r>
            <w:rPr>
              <w:color w:val="auto"/>
              <w:highlight w:val="none"/>
            </w:rPr>
            <w:instrText xml:space="preserve"> PAGEREF _Toc7860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"_Toc4439" </w:instrText>
          </w:r>
          <w:r>
            <w:rPr>
              <w:color w:val="auto"/>
              <w:highlight w:val="none"/>
            </w:rPr>
            <w:fldChar w:fldCharType="separate"/>
          </w:r>
          <w:r>
            <w:rPr>
              <w:rFonts w:hint="eastAsia" w:ascii="仿宋" w:hAnsi="仿宋" w:eastAsia="仿宋" w:cs="仿宋"/>
              <w:color w:val="auto"/>
              <w:szCs w:val="24"/>
              <w:highlight w:val="none"/>
            </w:rPr>
            <w:t>92.  合同解除</w:t>
          </w:r>
          <w:r>
            <w:rPr>
              <w:color w:val="auto"/>
              <w:highlight w:val="none"/>
            </w:rPr>
            <w:tab/>
          </w:r>
          <w:r>
            <w:rPr>
              <w:color w:val="auto"/>
              <w:highlight w:val="none"/>
            </w:rPr>
            <w:fldChar w:fldCharType="begin"/>
          </w:r>
          <w:r>
            <w:rPr>
              <w:color w:val="auto"/>
              <w:highlight w:val="none"/>
            </w:rPr>
            <w:instrText xml:space="preserve"> PAGEREF _Toc4439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"_Toc19223" </w:instrText>
          </w:r>
          <w:r>
            <w:rPr>
              <w:color w:val="auto"/>
              <w:highlight w:val="none"/>
            </w:rPr>
            <w:fldChar w:fldCharType="separate"/>
          </w:r>
          <w:r>
            <w:rPr>
              <w:rFonts w:hint="eastAsia" w:ascii="仿宋" w:hAnsi="仿宋" w:eastAsia="仿宋" w:cs="仿宋"/>
              <w:color w:val="auto"/>
              <w:szCs w:val="24"/>
              <w:highlight w:val="none"/>
            </w:rPr>
            <w:t>★95</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承包人违约</w:t>
          </w:r>
          <w:r>
            <w:rPr>
              <w:color w:val="auto"/>
              <w:highlight w:val="none"/>
            </w:rPr>
            <w:tab/>
          </w:r>
          <w:r>
            <w:rPr>
              <w:color w:val="auto"/>
              <w:highlight w:val="none"/>
            </w:rPr>
            <w:fldChar w:fldCharType="begin"/>
          </w:r>
          <w:r>
            <w:rPr>
              <w:color w:val="auto"/>
              <w:highlight w:val="none"/>
            </w:rPr>
            <w:instrText xml:space="preserve"> PAGEREF _Toc19223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"_Toc29007" </w:instrText>
          </w:r>
          <w:r>
            <w:rPr>
              <w:color w:val="auto"/>
              <w:highlight w:val="none"/>
            </w:rPr>
            <w:fldChar w:fldCharType="separate"/>
          </w:r>
          <w:r>
            <w:rPr>
              <w:rFonts w:hint="eastAsia" w:ascii="仿宋" w:hAnsi="仿宋" w:eastAsia="仿宋" w:cs="仿宋"/>
              <w:color w:val="auto"/>
              <w:szCs w:val="24"/>
              <w:highlight w:val="none"/>
            </w:rPr>
            <w:t>★96</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发包人违约</w:t>
          </w:r>
          <w:r>
            <w:rPr>
              <w:color w:val="auto"/>
              <w:highlight w:val="none"/>
            </w:rPr>
            <w:tab/>
          </w:r>
          <w:r>
            <w:rPr>
              <w:color w:val="auto"/>
              <w:highlight w:val="none"/>
            </w:rPr>
            <w:fldChar w:fldCharType="begin"/>
          </w:r>
          <w:r>
            <w:rPr>
              <w:color w:val="auto"/>
              <w:highlight w:val="none"/>
            </w:rPr>
            <w:instrText xml:space="preserve"> PAGEREF _Toc29007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"_Toc10987" </w:instrText>
          </w:r>
          <w:r>
            <w:rPr>
              <w:color w:val="auto"/>
              <w:highlight w:val="none"/>
            </w:rPr>
            <w:fldChar w:fldCharType="separate"/>
          </w:r>
          <w:r>
            <w:rPr>
              <w:rFonts w:hint="eastAsia" w:ascii="仿宋" w:hAnsi="仿宋" w:eastAsia="仿宋" w:cs="仿宋"/>
              <w:color w:val="auto"/>
              <w:szCs w:val="24"/>
              <w:highlight w:val="none"/>
            </w:rPr>
            <w:t>99.  保密要求</w:t>
          </w:r>
          <w:r>
            <w:rPr>
              <w:color w:val="auto"/>
              <w:highlight w:val="none"/>
            </w:rPr>
            <w:tab/>
          </w:r>
          <w:r>
            <w:rPr>
              <w:color w:val="auto"/>
              <w:highlight w:val="none"/>
            </w:rPr>
            <w:fldChar w:fldCharType="begin"/>
          </w:r>
          <w:r>
            <w:rPr>
              <w:color w:val="auto"/>
              <w:highlight w:val="none"/>
            </w:rPr>
            <w:instrText xml:space="preserve"> PAGEREF _Toc10987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pPr>
            <w:pStyle w:val="34"/>
            <w:tabs>
              <w:tab w:val="right" w:leader="dot" w:pos="9178"/>
            </w:tabs>
            <w:rPr>
              <w:color w:val="auto"/>
              <w:highlight w:val="none"/>
            </w:rPr>
          </w:pPr>
          <w:r>
            <w:rPr>
              <w:color w:val="auto"/>
              <w:highlight w:val="none"/>
            </w:rPr>
            <w:fldChar w:fldCharType="begin"/>
          </w:r>
          <w:r>
            <w:rPr>
              <w:color w:val="auto"/>
              <w:highlight w:val="none"/>
            </w:rPr>
            <w:instrText xml:space="preserve"> HYPERLINK \l "_Toc17728" </w:instrText>
          </w:r>
          <w:r>
            <w:rPr>
              <w:color w:val="auto"/>
              <w:highlight w:val="none"/>
            </w:rPr>
            <w:fldChar w:fldCharType="separate"/>
          </w:r>
          <w:r>
            <w:rPr>
              <w:rFonts w:hint="eastAsia" w:ascii="仿宋" w:hAnsi="仿宋" w:eastAsia="仿宋" w:cs="仿宋"/>
              <w:color w:val="auto"/>
              <w:szCs w:val="24"/>
              <w:highlight w:val="none"/>
            </w:rPr>
            <w:t>102.  合同份数</w:t>
          </w:r>
          <w:r>
            <w:rPr>
              <w:color w:val="auto"/>
              <w:highlight w:val="none"/>
            </w:rPr>
            <w:tab/>
          </w:r>
          <w:r>
            <w:rPr>
              <w:color w:val="auto"/>
              <w:highlight w:val="none"/>
            </w:rPr>
            <w:fldChar w:fldCharType="begin"/>
          </w:r>
          <w:r>
            <w:rPr>
              <w:color w:val="auto"/>
              <w:highlight w:val="none"/>
            </w:rPr>
            <w:instrText xml:space="preserve"> PAGEREF _Toc17728 \h </w:instrText>
          </w:r>
          <w:r>
            <w:rPr>
              <w:color w:val="auto"/>
              <w:highlight w:val="none"/>
            </w:rPr>
            <w:fldChar w:fldCharType="separate"/>
          </w:r>
          <w:r>
            <w:rPr>
              <w:color w:val="auto"/>
              <w:highlight w:val="none"/>
            </w:rPr>
            <w:t>215</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"_Toc31990" </w:instrText>
          </w:r>
          <w:r>
            <w:rPr>
              <w:color w:val="auto"/>
              <w:highlight w:val="none"/>
            </w:rPr>
            <w:fldChar w:fldCharType="separate"/>
          </w:r>
          <w:r>
            <w:rPr>
              <w:rFonts w:hint="eastAsia" w:hAnsi="宋体"/>
              <w:color w:val="auto"/>
              <w:szCs w:val="36"/>
              <w:highlight w:val="none"/>
            </w:rPr>
            <w:t>第四部分  附件与格式</w:t>
          </w:r>
          <w:r>
            <w:rPr>
              <w:color w:val="auto"/>
              <w:highlight w:val="none"/>
            </w:rPr>
            <w:tab/>
          </w:r>
          <w:r>
            <w:rPr>
              <w:color w:val="auto"/>
              <w:highlight w:val="none"/>
            </w:rPr>
            <w:fldChar w:fldCharType="begin"/>
          </w:r>
          <w:r>
            <w:rPr>
              <w:color w:val="auto"/>
              <w:highlight w:val="none"/>
            </w:rPr>
            <w:instrText xml:space="preserve"> PAGEREF _Toc31990 \h </w:instrText>
          </w:r>
          <w:r>
            <w:rPr>
              <w:color w:val="auto"/>
              <w:highlight w:val="none"/>
            </w:rPr>
            <w:fldChar w:fldCharType="separate"/>
          </w:r>
          <w:r>
            <w:rPr>
              <w:color w:val="auto"/>
              <w:highlight w:val="none"/>
            </w:rPr>
            <w:t>218</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"_Toc27942" </w:instrText>
          </w:r>
          <w:r>
            <w:rPr>
              <w:color w:val="auto"/>
              <w:highlight w:val="none"/>
            </w:rPr>
            <w:fldChar w:fldCharType="separate"/>
          </w:r>
          <w:r>
            <w:rPr>
              <w:rFonts w:hint="eastAsia" w:ascii="仿宋" w:hAnsi="仿宋" w:eastAsia="仿宋" w:cs="仿宋"/>
              <w:color w:val="auto"/>
              <w:highlight w:val="none"/>
              <w:lang w:eastAsia="zh-CN"/>
            </w:rPr>
            <w:t>附件一</w:t>
          </w:r>
          <w:r>
            <w:rPr>
              <w:color w:val="auto"/>
              <w:highlight w:val="none"/>
            </w:rPr>
            <w:tab/>
          </w:r>
          <w:r>
            <w:rPr>
              <w:color w:val="auto"/>
              <w:highlight w:val="none"/>
            </w:rPr>
            <w:fldChar w:fldCharType="begin"/>
          </w:r>
          <w:r>
            <w:rPr>
              <w:color w:val="auto"/>
              <w:highlight w:val="none"/>
            </w:rPr>
            <w:instrText xml:space="preserve"> PAGEREF _Toc27942 \h </w:instrText>
          </w:r>
          <w:r>
            <w:rPr>
              <w:color w:val="auto"/>
              <w:highlight w:val="none"/>
            </w:rPr>
            <w:fldChar w:fldCharType="separate"/>
          </w:r>
          <w:r>
            <w:rPr>
              <w:color w:val="auto"/>
              <w:highlight w:val="none"/>
            </w:rPr>
            <w:t>218</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"_Toc5195" </w:instrText>
          </w:r>
          <w:r>
            <w:rPr>
              <w:color w:val="auto"/>
              <w:highlight w:val="none"/>
            </w:rPr>
            <w:fldChar w:fldCharType="separate"/>
          </w:r>
          <w:r>
            <w:rPr>
              <w:rFonts w:hint="eastAsia" w:ascii="仿宋" w:hAnsi="仿宋" w:eastAsia="仿宋" w:cs="仿宋"/>
              <w:color w:val="auto"/>
              <w:highlight w:val="none"/>
              <w:lang w:eastAsia="zh-CN"/>
            </w:rPr>
            <w:t>附件二</w:t>
          </w:r>
          <w:r>
            <w:rPr>
              <w:color w:val="auto"/>
              <w:highlight w:val="none"/>
            </w:rPr>
            <w:tab/>
          </w:r>
          <w:r>
            <w:rPr>
              <w:color w:val="auto"/>
              <w:highlight w:val="none"/>
            </w:rPr>
            <w:fldChar w:fldCharType="begin"/>
          </w:r>
          <w:r>
            <w:rPr>
              <w:color w:val="auto"/>
              <w:highlight w:val="none"/>
            </w:rPr>
            <w:instrText xml:space="preserve"> PAGEREF _Toc5195 \h </w:instrText>
          </w:r>
          <w:r>
            <w:rPr>
              <w:color w:val="auto"/>
              <w:highlight w:val="none"/>
            </w:rPr>
            <w:fldChar w:fldCharType="separate"/>
          </w:r>
          <w:r>
            <w:rPr>
              <w:color w:val="auto"/>
              <w:highlight w:val="none"/>
            </w:rPr>
            <w:t>220</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"_Toc16046" </w:instrText>
          </w:r>
          <w:r>
            <w:rPr>
              <w:color w:val="auto"/>
              <w:highlight w:val="none"/>
            </w:rPr>
            <w:fldChar w:fldCharType="separate"/>
          </w:r>
          <w:r>
            <w:rPr>
              <w:rFonts w:hint="eastAsia" w:ascii="仿宋" w:hAnsi="仿宋" w:eastAsia="仿宋" w:cs="仿宋"/>
              <w:color w:val="auto"/>
              <w:highlight w:val="none"/>
              <w:lang w:eastAsia="zh-CN"/>
            </w:rPr>
            <w:t>附件三</w:t>
          </w:r>
          <w:r>
            <w:rPr>
              <w:color w:val="auto"/>
              <w:highlight w:val="none"/>
            </w:rPr>
            <w:tab/>
          </w:r>
          <w:r>
            <w:rPr>
              <w:color w:val="auto"/>
              <w:highlight w:val="none"/>
            </w:rPr>
            <w:fldChar w:fldCharType="begin"/>
          </w:r>
          <w:r>
            <w:rPr>
              <w:color w:val="auto"/>
              <w:highlight w:val="none"/>
            </w:rPr>
            <w:instrText xml:space="preserve"> PAGEREF _Toc16046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"_Toc2882" </w:instrText>
          </w:r>
          <w:r>
            <w:rPr>
              <w:color w:val="auto"/>
              <w:highlight w:val="none"/>
            </w:rPr>
            <w:fldChar w:fldCharType="separate"/>
          </w:r>
          <w:r>
            <w:rPr>
              <w:rFonts w:hint="eastAsia" w:ascii="仿宋" w:hAnsi="仿宋" w:eastAsia="仿宋" w:cs="仿宋"/>
              <w:color w:val="auto"/>
              <w:highlight w:val="none"/>
              <w:lang w:eastAsia="zh-CN"/>
            </w:rPr>
            <w:t>附件四</w:t>
          </w:r>
          <w:r>
            <w:rPr>
              <w:color w:val="auto"/>
              <w:highlight w:val="none"/>
            </w:rPr>
            <w:tab/>
          </w:r>
          <w:r>
            <w:rPr>
              <w:color w:val="auto"/>
              <w:highlight w:val="none"/>
            </w:rPr>
            <w:fldChar w:fldCharType="begin"/>
          </w:r>
          <w:r>
            <w:rPr>
              <w:color w:val="auto"/>
              <w:highlight w:val="none"/>
            </w:rPr>
            <w:instrText xml:space="preserve"> PAGEREF _Toc2882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"_Toc190" </w:instrText>
          </w:r>
          <w:r>
            <w:rPr>
              <w:color w:val="auto"/>
              <w:highlight w:val="none"/>
            </w:rPr>
            <w:fldChar w:fldCharType="separate"/>
          </w:r>
          <w:r>
            <w:rPr>
              <w:rFonts w:hint="eastAsia" w:ascii="仿宋" w:hAnsi="仿宋" w:eastAsia="仿宋" w:cs="仿宋"/>
              <w:color w:val="auto"/>
              <w:highlight w:val="none"/>
              <w:lang w:eastAsia="zh-CN"/>
            </w:rPr>
            <w:t>附件五</w:t>
          </w:r>
          <w:r>
            <w:rPr>
              <w:color w:val="auto"/>
              <w:highlight w:val="none"/>
            </w:rPr>
            <w:tab/>
          </w:r>
          <w:r>
            <w:rPr>
              <w:color w:val="auto"/>
              <w:highlight w:val="none"/>
            </w:rPr>
            <w:fldChar w:fldCharType="begin"/>
          </w:r>
          <w:r>
            <w:rPr>
              <w:color w:val="auto"/>
              <w:highlight w:val="none"/>
            </w:rPr>
            <w:instrText xml:space="preserve"> PAGEREF _Toc190 \h </w:instrText>
          </w:r>
          <w:r>
            <w:rPr>
              <w:color w:val="auto"/>
              <w:highlight w:val="none"/>
            </w:rPr>
            <w:fldChar w:fldCharType="separate"/>
          </w:r>
          <w:r>
            <w:rPr>
              <w:color w:val="auto"/>
              <w:highlight w:val="none"/>
            </w:rPr>
            <w:t>227</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"_Toc4944" </w:instrText>
          </w:r>
          <w:r>
            <w:rPr>
              <w:color w:val="auto"/>
              <w:highlight w:val="none"/>
            </w:rPr>
            <w:fldChar w:fldCharType="separate"/>
          </w:r>
          <w:r>
            <w:rPr>
              <w:rFonts w:hint="eastAsia" w:ascii="仿宋" w:hAnsi="仿宋" w:eastAsia="仿宋" w:cs="仿宋"/>
              <w:color w:val="auto"/>
              <w:highlight w:val="none"/>
              <w:lang w:eastAsia="zh-CN"/>
            </w:rPr>
            <w:t>附件六</w:t>
          </w:r>
          <w:r>
            <w:rPr>
              <w:color w:val="auto"/>
              <w:highlight w:val="none"/>
            </w:rPr>
            <w:tab/>
          </w:r>
          <w:r>
            <w:rPr>
              <w:color w:val="auto"/>
              <w:highlight w:val="none"/>
            </w:rPr>
            <w:fldChar w:fldCharType="begin"/>
          </w:r>
          <w:r>
            <w:rPr>
              <w:color w:val="auto"/>
              <w:highlight w:val="none"/>
            </w:rPr>
            <w:instrText xml:space="preserve"> PAGEREF _Toc4944 \h </w:instrText>
          </w:r>
          <w:r>
            <w:rPr>
              <w:color w:val="auto"/>
              <w:highlight w:val="none"/>
            </w:rPr>
            <w:fldChar w:fldCharType="separate"/>
          </w:r>
          <w:r>
            <w:rPr>
              <w:color w:val="auto"/>
              <w:highlight w:val="none"/>
            </w:rPr>
            <w:t>231</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"_Toc13437" </w:instrText>
          </w:r>
          <w:r>
            <w:rPr>
              <w:color w:val="auto"/>
              <w:highlight w:val="none"/>
            </w:rPr>
            <w:fldChar w:fldCharType="separate"/>
          </w:r>
          <w:r>
            <w:rPr>
              <w:rFonts w:hint="eastAsia" w:ascii="仿宋" w:hAnsi="仿宋" w:eastAsia="仿宋" w:cs="仿宋"/>
              <w:color w:val="auto"/>
              <w:highlight w:val="none"/>
              <w:lang w:eastAsia="zh-CN"/>
            </w:rPr>
            <w:t>附件七</w:t>
          </w:r>
          <w:r>
            <w:rPr>
              <w:color w:val="auto"/>
              <w:highlight w:val="none"/>
            </w:rPr>
            <w:tab/>
          </w:r>
          <w:r>
            <w:rPr>
              <w:color w:val="auto"/>
              <w:highlight w:val="none"/>
            </w:rPr>
            <w:fldChar w:fldCharType="begin"/>
          </w:r>
          <w:r>
            <w:rPr>
              <w:color w:val="auto"/>
              <w:highlight w:val="none"/>
            </w:rPr>
            <w:instrText xml:space="preserve"> PAGEREF _Toc13437 \h </w:instrText>
          </w:r>
          <w:r>
            <w:rPr>
              <w:color w:val="auto"/>
              <w:highlight w:val="none"/>
            </w:rPr>
            <w:fldChar w:fldCharType="separate"/>
          </w:r>
          <w:r>
            <w:rPr>
              <w:color w:val="auto"/>
              <w:highlight w:val="none"/>
            </w:rPr>
            <w:t>232</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"_Toc28791" </w:instrText>
          </w:r>
          <w:r>
            <w:rPr>
              <w:color w:val="auto"/>
              <w:highlight w:val="none"/>
            </w:rPr>
            <w:fldChar w:fldCharType="separate"/>
          </w:r>
          <w:r>
            <w:rPr>
              <w:rFonts w:hint="eastAsia" w:ascii="仿宋" w:hAnsi="仿宋" w:eastAsia="仿宋" w:cs="仿宋"/>
              <w:color w:val="auto"/>
              <w:highlight w:val="none"/>
              <w:lang w:eastAsia="zh-CN"/>
            </w:rPr>
            <w:t>格式1</w:t>
          </w:r>
          <w:r>
            <w:rPr>
              <w:color w:val="auto"/>
              <w:highlight w:val="none"/>
            </w:rPr>
            <w:tab/>
          </w:r>
          <w:r>
            <w:rPr>
              <w:color w:val="auto"/>
              <w:highlight w:val="none"/>
            </w:rPr>
            <w:fldChar w:fldCharType="begin"/>
          </w:r>
          <w:r>
            <w:rPr>
              <w:color w:val="auto"/>
              <w:highlight w:val="none"/>
            </w:rPr>
            <w:instrText xml:space="preserve"> PAGEREF _Toc28791 \h </w:instrText>
          </w:r>
          <w:r>
            <w:rPr>
              <w:color w:val="auto"/>
              <w:highlight w:val="none"/>
            </w:rPr>
            <w:fldChar w:fldCharType="separate"/>
          </w:r>
          <w:r>
            <w:rPr>
              <w:color w:val="auto"/>
              <w:highlight w:val="none"/>
            </w:rPr>
            <w:t>235</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"_Toc8053" </w:instrText>
          </w:r>
          <w:r>
            <w:rPr>
              <w:color w:val="auto"/>
              <w:highlight w:val="none"/>
            </w:rPr>
            <w:fldChar w:fldCharType="separate"/>
          </w:r>
          <w:r>
            <w:rPr>
              <w:rFonts w:hint="eastAsia" w:ascii="仿宋" w:hAnsi="仿宋" w:eastAsia="仿宋"/>
              <w:color w:val="auto"/>
              <w:szCs w:val="24"/>
              <w:highlight w:val="none"/>
            </w:rPr>
            <w:t>格式</w:t>
          </w:r>
          <w:r>
            <w:rPr>
              <w:rFonts w:hint="eastAsia" w:ascii="仿宋" w:hAnsi="仿宋" w:eastAsia="仿宋"/>
              <w:color w:val="auto"/>
              <w:szCs w:val="24"/>
              <w:highlight w:val="none"/>
              <w:lang w:eastAsia="zh-CN"/>
            </w:rPr>
            <w:t>2</w:t>
          </w:r>
          <w:r>
            <w:rPr>
              <w:color w:val="auto"/>
              <w:highlight w:val="none"/>
            </w:rPr>
            <w:tab/>
          </w:r>
          <w:r>
            <w:rPr>
              <w:color w:val="auto"/>
              <w:highlight w:val="none"/>
            </w:rPr>
            <w:fldChar w:fldCharType="begin"/>
          </w:r>
          <w:r>
            <w:rPr>
              <w:color w:val="auto"/>
              <w:highlight w:val="none"/>
            </w:rPr>
            <w:instrText xml:space="preserve"> PAGEREF _Toc8053 \h </w:instrText>
          </w:r>
          <w:r>
            <w:rPr>
              <w:color w:val="auto"/>
              <w:highlight w:val="none"/>
            </w:rPr>
            <w:fldChar w:fldCharType="separate"/>
          </w:r>
          <w:r>
            <w:rPr>
              <w:color w:val="auto"/>
              <w:highlight w:val="none"/>
            </w:rPr>
            <w:t>237</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"_Toc25960" </w:instrText>
          </w:r>
          <w:r>
            <w:rPr>
              <w:color w:val="auto"/>
              <w:highlight w:val="none"/>
            </w:rPr>
            <w:fldChar w:fldCharType="separate"/>
          </w:r>
          <w:r>
            <w:rPr>
              <w:rFonts w:hint="eastAsia" w:ascii="仿宋" w:hAnsi="仿宋" w:eastAsia="仿宋" w:cs="仿宋"/>
              <w:color w:val="auto"/>
              <w:highlight w:val="none"/>
              <w:lang w:eastAsia="zh-CN"/>
            </w:rPr>
            <w:t>格式3</w:t>
          </w:r>
          <w:r>
            <w:rPr>
              <w:color w:val="auto"/>
              <w:highlight w:val="none"/>
            </w:rPr>
            <w:tab/>
          </w:r>
          <w:r>
            <w:rPr>
              <w:color w:val="auto"/>
              <w:highlight w:val="none"/>
            </w:rPr>
            <w:fldChar w:fldCharType="begin"/>
          </w:r>
          <w:r>
            <w:rPr>
              <w:color w:val="auto"/>
              <w:highlight w:val="none"/>
            </w:rPr>
            <w:instrText xml:space="preserve"> PAGEREF _Toc25960 \h </w:instrText>
          </w:r>
          <w:r>
            <w:rPr>
              <w:color w:val="auto"/>
              <w:highlight w:val="none"/>
            </w:rPr>
            <w:fldChar w:fldCharType="separate"/>
          </w:r>
          <w:r>
            <w:rPr>
              <w:color w:val="auto"/>
              <w:highlight w:val="none"/>
            </w:rPr>
            <w:t>238</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"_Toc26548" </w:instrText>
          </w:r>
          <w:r>
            <w:rPr>
              <w:color w:val="auto"/>
              <w:highlight w:val="none"/>
            </w:rPr>
            <w:fldChar w:fldCharType="separate"/>
          </w:r>
          <w:r>
            <w:rPr>
              <w:rFonts w:hint="eastAsia" w:ascii="仿宋" w:hAnsi="仿宋" w:eastAsia="仿宋"/>
              <w:color w:val="auto"/>
              <w:szCs w:val="24"/>
              <w:highlight w:val="none"/>
            </w:rPr>
            <w:t>格式</w:t>
          </w:r>
          <w:r>
            <w:rPr>
              <w:rFonts w:hint="eastAsia" w:ascii="仿宋" w:hAnsi="仿宋" w:eastAsia="仿宋"/>
              <w:color w:val="auto"/>
              <w:szCs w:val="24"/>
              <w:highlight w:val="none"/>
              <w:lang w:eastAsia="zh-CN"/>
            </w:rPr>
            <w:t>4</w:t>
          </w:r>
          <w:r>
            <w:rPr>
              <w:color w:val="auto"/>
              <w:highlight w:val="none"/>
            </w:rPr>
            <w:tab/>
          </w:r>
          <w:r>
            <w:rPr>
              <w:color w:val="auto"/>
              <w:highlight w:val="none"/>
            </w:rPr>
            <w:fldChar w:fldCharType="begin"/>
          </w:r>
          <w:r>
            <w:rPr>
              <w:color w:val="auto"/>
              <w:highlight w:val="none"/>
            </w:rPr>
            <w:instrText xml:space="preserve"> PAGEREF _Toc26548 \h </w:instrText>
          </w:r>
          <w:r>
            <w:rPr>
              <w:color w:val="auto"/>
              <w:highlight w:val="none"/>
            </w:rPr>
            <w:fldChar w:fldCharType="separate"/>
          </w:r>
          <w:r>
            <w:rPr>
              <w:color w:val="auto"/>
              <w:highlight w:val="none"/>
            </w:rPr>
            <w:t>239</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"_Toc15762" </w:instrText>
          </w:r>
          <w:r>
            <w:rPr>
              <w:color w:val="auto"/>
              <w:highlight w:val="none"/>
            </w:rPr>
            <w:fldChar w:fldCharType="separate"/>
          </w:r>
          <w:r>
            <w:rPr>
              <w:rFonts w:hint="eastAsia" w:ascii="仿宋" w:hAnsi="仿宋" w:eastAsia="仿宋"/>
              <w:color w:val="auto"/>
              <w:szCs w:val="24"/>
              <w:highlight w:val="none"/>
            </w:rPr>
            <w:t>格式</w:t>
          </w:r>
          <w:r>
            <w:rPr>
              <w:rFonts w:hint="eastAsia" w:ascii="仿宋" w:hAnsi="仿宋" w:eastAsia="仿宋"/>
              <w:color w:val="auto"/>
              <w:szCs w:val="24"/>
              <w:highlight w:val="none"/>
              <w:lang w:eastAsia="zh-CN"/>
            </w:rPr>
            <w:t>5</w:t>
          </w:r>
          <w:r>
            <w:rPr>
              <w:color w:val="auto"/>
              <w:highlight w:val="none"/>
            </w:rPr>
            <w:tab/>
          </w:r>
          <w:r>
            <w:rPr>
              <w:color w:val="auto"/>
              <w:highlight w:val="none"/>
            </w:rPr>
            <w:fldChar w:fldCharType="begin"/>
          </w:r>
          <w:r>
            <w:rPr>
              <w:color w:val="auto"/>
              <w:highlight w:val="none"/>
            </w:rPr>
            <w:instrText xml:space="preserve"> PAGEREF _Toc15762 \h </w:instrText>
          </w:r>
          <w:r>
            <w:rPr>
              <w:color w:val="auto"/>
              <w:highlight w:val="none"/>
            </w:rPr>
            <w:fldChar w:fldCharType="separate"/>
          </w:r>
          <w:r>
            <w:rPr>
              <w:color w:val="auto"/>
              <w:highlight w:val="none"/>
            </w:rPr>
            <w:t>240</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"_Toc23074" </w:instrText>
          </w:r>
          <w:r>
            <w:rPr>
              <w:color w:val="auto"/>
              <w:highlight w:val="none"/>
            </w:rPr>
            <w:fldChar w:fldCharType="separate"/>
          </w:r>
          <w:r>
            <w:rPr>
              <w:rFonts w:hint="eastAsia" w:ascii="仿宋" w:hAnsi="仿宋" w:eastAsia="仿宋"/>
              <w:color w:val="auto"/>
              <w:szCs w:val="24"/>
              <w:highlight w:val="none"/>
            </w:rPr>
            <w:t>格式</w:t>
          </w:r>
          <w:r>
            <w:rPr>
              <w:rFonts w:hint="eastAsia" w:ascii="仿宋" w:hAnsi="仿宋" w:eastAsia="仿宋"/>
              <w:color w:val="auto"/>
              <w:szCs w:val="24"/>
              <w:highlight w:val="none"/>
              <w:lang w:eastAsia="zh-CN"/>
            </w:rPr>
            <w:t>6</w:t>
          </w:r>
          <w:r>
            <w:rPr>
              <w:color w:val="auto"/>
              <w:highlight w:val="none"/>
            </w:rPr>
            <w:tab/>
          </w:r>
          <w:r>
            <w:rPr>
              <w:color w:val="auto"/>
              <w:highlight w:val="none"/>
            </w:rPr>
            <w:fldChar w:fldCharType="begin"/>
          </w:r>
          <w:r>
            <w:rPr>
              <w:color w:val="auto"/>
              <w:highlight w:val="none"/>
            </w:rPr>
            <w:instrText xml:space="preserve"> PAGEREF _Toc23074 \h </w:instrText>
          </w:r>
          <w:r>
            <w:rPr>
              <w:color w:val="auto"/>
              <w:highlight w:val="none"/>
            </w:rPr>
            <w:fldChar w:fldCharType="separate"/>
          </w:r>
          <w:r>
            <w:rPr>
              <w:color w:val="auto"/>
              <w:highlight w:val="none"/>
            </w:rPr>
            <w:t>241</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"_Toc19624" </w:instrText>
          </w:r>
          <w:r>
            <w:rPr>
              <w:color w:val="auto"/>
              <w:highlight w:val="none"/>
            </w:rPr>
            <w:fldChar w:fldCharType="separate"/>
          </w:r>
          <w:r>
            <w:rPr>
              <w:rFonts w:hint="eastAsia" w:ascii="仿宋" w:hAnsi="仿宋" w:eastAsia="仿宋"/>
              <w:color w:val="auto"/>
              <w:szCs w:val="24"/>
              <w:highlight w:val="none"/>
            </w:rPr>
            <w:t>格式</w:t>
          </w:r>
          <w:r>
            <w:rPr>
              <w:rFonts w:hint="eastAsia" w:ascii="仿宋" w:hAnsi="仿宋" w:eastAsia="仿宋"/>
              <w:color w:val="auto"/>
              <w:szCs w:val="24"/>
              <w:highlight w:val="none"/>
              <w:lang w:eastAsia="zh-CN"/>
            </w:rPr>
            <w:t>7</w:t>
          </w:r>
          <w:r>
            <w:rPr>
              <w:color w:val="auto"/>
              <w:highlight w:val="none"/>
            </w:rPr>
            <w:tab/>
          </w:r>
          <w:r>
            <w:rPr>
              <w:color w:val="auto"/>
              <w:highlight w:val="none"/>
            </w:rPr>
            <w:fldChar w:fldCharType="begin"/>
          </w:r>
          <w:r>
            <w:rPr>
              <w:color w:val="auto"/>
              <w:highlight w:val="none"/>
            </w:rPr>
            <w:instrText xml:space="preserve"> PAGEREF _Toc19624 \h </w:instrText>
          </w:r>
          <w:r>
            <w:rPr>
              <w:color w:val="auto"/>
              <w:highlight w:val="none"/>
            </w:rPr>
            <w:fldChar w:fldCharType="separate"/>
          </w:r>
          <w:r>
            <w:rPr>
              <w:color w:val="auto"/>
              <w:highlight w:val="none"/>
            </w:rPr>
            <w:t>242</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"_Toc29798" </w:instrText>
          </w:r>
          <w:r>
            <w:rPr>
              <w:color w:val="auto"/>
              <w:highlight w:val="none"/>
            </w:rPr>
            <w:fldChar w:fldCharType="separate"/>
          </w:r>
          <w:r>
            <w:rPr>
              <w:rFonts w:hint="eastAsia" w:ascii="仿宋" w:hAnsi="仿宋" w:eastAsia="仿宋"/>
              <w:color w:val="auto"/>
              <w:szCs w:val="24"/>
              <w:highlight w:val="none"/>
            </w:rPr>
            <w:t>格式</w:t>
          </w:r>
          <w:r>
            <w:rPr>
              <w:rFonts w:hint="eastAsia" w:ascii="仿宋" w:hAnsi="仿宋" w:eastAsia="仿宋"/>
              <w:color w:val="auto"/>
              <w:szCs w:val="24"/>
              <w:highlight w:val="none"/>
              <w:lang w:eastAsia="zh-CN"/>
            </w:rPr>
            <w:t>8</w:t>
          </w:r>
          <w:r>
            <w:rPr>
              <w:color w:val="auto"/>
              <w:highlight w:val="none"/>
            </w:rPr>
            <w:tab/>
          </w:r>
          <w:r>
            <w:rPr>
              <w:color w:val="auto"/>
              <w:highlight w:val="none"/>
            </w:rPr>
            <w:fldChar w:fldCharType="begin"/>
          </w:r>
          <w:r>
            <w:rPr>
              <w:color w:val="auto"/>
              <w:highlight w:val="none"/>
            </w:rPr>
            <w:instrText xml:space="preserve"> PAGEREF _Toc29798 \h </w:instrText>
          </w:r>
          <w:r>
            <w:rPr>
              <w:color w:val="auto"/>
              <w:highlight w:val="none"/>
            </w:rPr>
            <w:fldChar w:fldCharType="separate"/>
          </w:r>
          <w:r>
            <w:rPr>
              <w:color w:val="auto"/>
              <w:highlight w:val="none"/>
            </w:rPr>
            <w:t>243</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"_Toc14187" </w:instrText>
          </w:r>
          <w:r>
            <w:rPr>
              <w:color w:val="auto"/>
              <w:highlight w:val="none"/>
            </w:rPr>
            <w:fldChar w:fldCharType="separate"/>
          </w:r>
          <w:r>
            <w:rPr>
              <w:rFonts w:hint="eastAsia" w:ascii="仿宋" w:hAnsi="仿宋" w:eastAsia="仿宋" w:cs="仿宋"/>
              <w:bCs w:val="0"/>
              <w:color w:val="auto"/>
              <w:highlight w:val="none"/>
            </w:rPr>
            <w:t>格式</w:t>
          </w:r>
          <w:r>
            <w:rPr>
              <w:rFonts w:hint="eastAsia" w:ascii="仿宋" w:hAnsi="仿宋" w:eastAsia="仿宋" w:cs="仿宋"/>
              <w:bCs w:val="0"/>
              <w:color w:val="auto"/>
              <w:highlight w:val="none"/>
              <w:lang w:eastAsia="zh-CN"/>
            </w:rPr>
            <w:t>9</w:t>
          </w:r>
          <w:r>
            <w:rPr>
              <w:color w:val="auto"/>
              <w:highlight w:val="none"/>
            </w:rPr>
            <w:tab/>
          </w:r>
          <w:r>
            <w:rPr>
              <w:color w:val="auto"/>
              <w:highlight w:val="none"/>
            </w:rPr>
            <w:fldChar w:fldCharType="begin"/>
          </w:r>
          <w:r>
            <w:rPr>
              <w:color w:val="auto"/>
              <w:highlight w:val="none"/>
            </w:rPr>
            <w:instrText xml:space="preserve"> PAGEREF _Toc14187 \h </w:instrText>
          </w:r>
          <w:r>
            <w:rPr>
              <w:color w:val="auto"/>
              <w:highlight w:val="none"/>
            </w:rPr>
            <w:fldChar w:fldCharType="separate"/>
          </w:r>
          <w:r>
            <w:rPr>
              <w:color w:val="auto"/>
              <w:highlight w:val="none"/>
            </w:rPr>
            <w:t>244</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"_Toc22286" </w:instrText>
          </w:r>
          <w:r>
            <w:rPr>
              <w:color w:val="auto"/>
              <w:highlight w:val="none"/>
            </w:rPr>
            <w:fldChar w:fldCharType="separate"/>
          </w:r>
          <w:r>
            <w:rPr>
              <w:rFonts w:hint="eastAsia" w:ascii="仿宋" w:hAnsi="仿宋" w:eastAsia="仿宋" w:cs="仿宋"/>
              <w:bCs w:val="0"/>
              <w:color w:val="auto"/>
              <w:highlight w:val="none"/>
            </w:rPr>
            <w:t>格式1</w:t>
          </w:r>
          <w:r>
            <w:rPr>
              <w:rFonts w:hint="eastAsia" w:ascii="仿宋" w:hAnsi="仿宋" w:eastAsia="仿宋" w:cs="仿宋"/>
              <w:bCs w:val="0"/>
              <w:color w:val="auto"/>
              <w:highlight w:val="none"/>
              <w:lang w:eastAsia="zh-CN"/>
            </w:rPr>
            <w:t>0</w:t>
          </w:r>
          <w:r>
            <w:rPr>
              <w:color w:val="auto"/>
              <w:highlight w:val="none"/>
            </w:rPr>
            <w:tab/>
          </w:r>
          <w:r>
            <w:rPr>
              <w:color w:val="auto"/>
              <w:highlight w:val="none"/>
            </w:rPr>
            <w:fldChar w:fldCharType="begin"/>
          </w:r>
          <w:r>
            <w:rPr>
              <w:color w:val="auto"/>
              <w:highlight w:val="none"/>
            </w:rPr>
            <w:instrText xml:space="preserve"> PAGEREF _Toc22286 \h </w:instrText>
          </w:r>
          <w:r>
            <w:rPr>
              <w:color w:val="auto"/>
              <w:highlight w:val="none"/>
            </w:rPr>
            <w:fldChar w:fldCharType="separate"/>
          </w:r>
          <w:r>
            <w:rPr>
              <w:color w:val="auto"/>
              <w:highlight w:val="none"/>
            </w:rPr>
            <w:t>245</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"_Toc14270" </w:instrText>
          </w:r>
          <w:r>
            <w:rPr>
              <w:color w:val="auto"/>
              <w:highlight w:val="none"/>
            </w:rPr>
            <w:fldChar w:fldCharType="separate"/>
          </w:r>
          <w:r>
            <w:rPr>
              <w:rFonts w:hint="eastAsia" w:ascii="仿宋" w:hAnsi="仿宋" w:eastAsia="仿宋" w:cs="仿宋"/>
              <w:color w:val="auto"/>
              <w:highlight w:val="none"/>
              <w:lang w:eastAsia="zh-CN"/>
            </w:rPr>
            <w:t>格式11</w:t>
          </w:r>
          <w:r>
            <w:rPr>
              <w:color w:val="auto"/>
              <w:highlight w:val="none"/>
            </w:rPr>
            <w:tab/>
          </w:r>
          <w:r>
            <w:rPr>
              <w:color w:val="auto"/>
              <w:highlight w:val="none"/>
            </w:rPr>
            <w:fldChar w:fldCharType="begin"/>
          </w:r>
          <w:r>
            <w:rPr>
              <w:color w:val="auto"/>
              <w:highlight w:val="none"/>
            </w:rPr>
            <w:instrText xml:space="preserve"> PAGEREF _Toc14270 \h </w:instrText>
          </w:r>
          <w:r>
            <w:rPr>
              <w:color w:val="auto"/>
              <w:highlight w:val="none"/>
            </w:rPr>
            <w:fldChar w:fldCharType="separate"/>
          </w:r>
          <w:r>
            <w:rPr>
              <w:color w:val="auto"/>
              <w:highlight w:val="none"/>
            </w:rPr>
            <w:t>246</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"_Toc10710" </w:instrText>
          </w:r>
          <w:r>
            <w:rPr>
              <w:color w:val="auto"/>
              <w:highlight w:val="none"/>
            </w:rPr>
            <w:fldChar w:fldCharType="separate"/>
          </w:r>
          <w:r>
            <w:rPr>
              <w:rFonts w:hint="eastAsia" w:ascii="仿宋" w:hAnsi="仿宋" w:eastAsia="仿宋" w:cs="仿宋"/>
              <w:color w:val="auto"/>
              <w:highlight w:val="none"/>
              <w:lang w:eastAsia="zh-CN"/>
            </w:rPr>
            <w:t>格式12</w:t>
          </w:r>
          <w:r>
            <w:rPr>
              <w:color w:val="auto"/>
              <w:highlight w:val="none"/>
            </w:rPr>
            <w:tab/>
          </w:r>
          <w:r>
            <w:rPr>
              <w:color w:val="auto"/>
              <w:highlight w:val="none"/>
            </w:rPr>
            <w:fldChar w:fldCharType="begin"/>
          </w:r>
          <w:r>
            <w:rPr>
              <w:color w:val="auto"/>
              <w:highlight w:val="none"/>
            </w:rPr>
            <w:instrText xml:space="preserve"> PAGEREF _Toc10710 \h </w:instrText>
          </w:r>
          <w:r>
            <w:rPr>
              <w:color w:val="auto"/>
              <w:highlight w:val="none"/>
            </w:rPr>
            <w:fldChar w:fldCharType="separate"/>
          </w:r>
          <w:r>
            <w:rPr>
              <w:color w:val="auto"/>
              <w:highlight w:val="none"/>
            </w:rPr>
            <w:t>247</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"_Toc24133" </w:instrText>
          </w:r>
          <w:r>
            <w:rPr>
              <w:color w:val="auto"/>
              <w:highlight w:val="none"/>
            </w:rPr>
            <w:fldChar w:fldCharType="separate"/>
          </w:r>
          <w:r>
            <w:rPr>
              <w:rFonts w:hint="eastAsia" w:ascii="仿宋" w:hAnsi="仿宋" w:eastAsia="仿宋" w:cs="仿宋"/>
              <w:color w:val="auto"/>
              <w:highlight w:val="none"/>
              <w:lang w:eastAsia="zh-CN"/>
            </w:rPr>
            <w:t>格式13</w:t>
          </w:r>
          <w:r>
            <w:rPr>
              <w:color w:val="auto"/>
              <w:highlight w:val="none"/>
            </w:rPr>
            <w:tab/>
          </w:r>
          <w:r>
            <w:rPr>
              <w:color w:val="auto"/>
              <w:highlight w:val="none"/>
            </w:rPr>
            <w:fldChar w:fldCharType="begin"/>
          </w:r>
          <w:r>
            <w:rPr>
              <w:color w:val="auto"/>
              <w:highlight w:val="none"/>
            </w:rPr>
            <w:instrText xml:space="preserve"> PAGEREF _Toc24133 \h </w:instrText>
          </w:r>
          <w:r>
            <w:rPr>
              <w:color w:val="auto"/>
              <w:highlight w:val="none"/>
            </w:rPr>
            <w:fldChar w:fldCharType="separate"/>
          </w:r>
          <w:r>
            <w:rPr>
              <w:color w:val="auto"/>
              <w:highlight w:val="none"/>
            </w:rPr>
            <w:t>248</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"_Toc9767" </w:instrText>
          </w:r>
          <w:r>
            <w:rPr>
              <w:color w:val="auto"/>
              <w:highlight w:val="none"/>
            </w:rPr>
            <w:fldChar w:fldCharType="separate"/>
          </w:r>
          <w:r>
            <w:rPr>
              <w:rFonts w:hint="eastAsia" w:ascii="仿宋" w:hAnsi="仿宋" w:eastAsia="仿宋" w:cs="仿宋"/>
              <w:color w:val="auto"/>
              <w:highlight w:val="none"/>
              <w:lang w:eastAsia="zh-CN"/>
            </w:rPr>
            <w:t>格式14</w:t>
          </w:r>
          <w:r>
            <w:rPr>
              <w:color w:val="auto"/>
              <w:highlight w:val="none"/>
            </w:rPr>
            <w:tab/>
          </w:r>
          <w:r>
            <w:rPr>
              <w:color w:val="auto"/>
              <w:highlight w:val="none"/>
            </w:rPr>
            <w:fldChar w:fldCharType="begin"/>
          </w:r>
          <w:r>
            <w:rPr>
              <w:color w:val="auto"/>
              <w:highlight w:val="none"/>
            </w:rPr>
            <w:instrText xml:space="preserve"> PAGEREF _Toc9767 \h </w:instrText>
          </w:r>
          <w:r>
            <w:rPr>
              <w:color w:val="auto"/>
              <w:highlight w:val="none"/>
            </w:rPr>
            <w:fldChar w:fldCharType="separate"/>
          </w:r>
          <w:r>
            <w:rPr>
              <w:color w:val="auto"/>
              <w:highlight w:val="none"/>
            </w:rPr>
            <w:t>249</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"_Toc11742" </w:instrText>
          </w:r>
          <w:r>
            <w:rPr>
              <w:color w:val="auto"/>
              <w:highlight w:val="none"/>
            </w:rPr>
            <w:fldChar w:fldCharType="separate"/>
          </w:r>
          <w:r>
            <w:rPr>
              <w:rFonts w:hint="eastAsia" w:ascii="仿宋" w:hAnsi="仿宋" w:eastAsia="仿宋" w:cs="仿宋"/>
              <w:color w:val="auto"/>
              <w:highlight w:val="none"/>
              <w:lang w:eastAsia="zh-CN"/>
            </w:rPr>
            <w:t>格式15</w:t>
          </w:r>
          <w:r>
            <w:rPr>
              <w:color w:val="auto"/>
              <w:highlight w:val="none"/>
            </w:rPr>
            <w:tab/>
          </w:r>
          <w:r>
            <w:rPr>
              <w:color w:val="auto"/>
              <w:highlight w:val="none"/>
            </w:rPr>
            <w:fldChar w:fldCharType="begin"/>
          </w:r>
          <w:r>
            <w:rPr>
              <w:color w:val="auto"/>
              <w:highlight w:val="none"/>
            </w:rPr>
            <w:instrText xml:space="preserve"> PAGEREF _Toc11742 \h </w:instrText>
          </w:r>
          <w:r>
            <w:rPr>
              <w:color w:val="auto"/>
              <w:highlight w:val="none"/>
            </w:rPr>
            <w:fldChar w:fldCharType="separate"/>
          </w:r>
          <w:r>
            <w:rPr>
              <w:color w:val="auto"/>
              <w:highlight w:val="none"/>
            </w:rPr>
            <w:t>250</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"_Toc5028" </w:instrText>
          </w:r>
          <w:r>
            <w:rPr>
              <w:color w:val="auto"/>
              <w:highlight w:val="none"/>
            </w:rPr>
            <w:fldChar w:fldCharType="separate"/>
          </w:r>
          <w:r>
            <w:rPr>
              <w:rFonts w:hint="eastAsia" w:ascii="仿宋" w:hAnsi="仿宋" w:eastAsia="仿宋" w:cs="仿宋"/>
              <w:color w:val="auto"/>
              <w:highlight w:val="none"/>
              <w:lang w:eastAsia="zh-CN"/>
            </w:rPr>
            <w:t>格式16</w:t>
          </w:r>
          <w:r>
            <w:rPr>
              <w:color w:val="auto"/>
              <w:highlight w:val="none"/>
            </w:rPr>
            <w:tab/>
          </w:r>
          <w:r>
            <w:rPr>
              <w:color w:val="auto"/>
              <w:highlight w:val="none"/>
            </w:rPr>
            <w:fldChar w:fldCharType="begin"/>
          </w:r>
          <w:r>
            <w:rPr>
              <w:color w:val="auto"/>
              <w:highlight w:val="none"/>
            </w:rPr>
            <w:instrText xml:space="preserve"> PAGEREF _Toc5028 \h </w:instrText>
          </w:r>
          <w:r>
            <w:rPr>
              <w:color w:val="auto"/>
              <w:highlight w:val="none"/>
            </w:rPr>
            <w:fldChar w:fldCharType="separate"/>
          </w:r>
          <w:r>
            <w:rPr>
              <w:color w:val="auto"/>
              <w:highlight w:val="none"/>
            </w:rPr>
            <w:t>251</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"_Toc6398" </w:instrText>
          </w:r>
          <w:r>
            <w:rPr>
              <w:color w:val="auto"/>
              <w:highlight w:val="none"/>
            </w:rPr>
            <w:fldChar w:fldCharType="separate"/>
          </w:r>
          <w:r>
            <w:rPr>
              <w:rFonts w:hint="eastAsia" w:ascii="仿宋" w:hAnsi="仿宋" w:eastAsia="仿宋" w:cs="仿宋"/>
              <w:color w:val="auto"/>
              <w:highlight w:val="none"/>
              <w:lang w:eastAsia="zh-CN"/>
            </w:rPr>
            <w:t>格式17</w:t>
          </w:r>
          <w:r>
            <w:rPr>
              <w:color w:val="auto"/>
              <w:highlight w:val="none"/>
            </w:rPr>
            <w:tab/>
          </w:r>
          <w:r>
            <w:rPr>
              <w:color w:val="auto"/>
              <w:highlight w:val="none"/>
            </w:rPr>
            <w:fldChar w:fldCharType="begin"/>
          </w:r>
          <w:r>
            <w:rPr>
              <w:color w:val="auto"/>
              <w:highlight w:val="none"/>
            </w:rPr>
            <w:instrText xml:space="preserve"> PAGEREF _Toc6398 \h </w:instrText>
          </w:r>
          <w:r>
            <w:rPr>
              <w:color w:val="auto"/>
              <w:highlight w:val="none"/>
            </w:rPr>
            <w:fldChar w:fldCharType="separate"/>
          </w:r>
          <w:r>
            <w:rPr>
              <w:color w:val="auto"/>
              <w:highlight w:val="none"/>
            </w:rPr>
            <w:t>252</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"_Toc7330" </w:instrText>
          </w:r>
          <w:r>
            <w:rPr>
              <w:color w:val="auto"/>
              <w:highlight w:val="none"/>
            </w:rPr>
            <w:fldChar w:fldCharType="separate"/>
          </w:r>
          <w:r>
            <w:rPr>
              <w:rFonts w:hint="eastAsia" w:ascii="仿宋" w:hAnsi="仿宋" w:eastAsia="仿宋" w:cs="仿宋"/>
              <w:bCs w:val="0"/>
              <w:color w:val="auto"/>
              <w:highlight w:val="none"/>
            </w:rPr>
            <w:t>格式</w:t>
          </w:r>
          <w:r>
            <w:rPr>
              <w:rFonts w:hint="eastAsia" w:ascii="仿宋" w:hAnsi="仿宋" w:eastAsia="仿宋" w:cs="仿宋"/>
              <w:bCs w:val="0"/>
              <w:color w:val="auto"/>
              <w:highlight w:val="none"/>
              <w:lang w:eastAsia="zh-CN"/>
            </w:rPr>
            <w:t>18</w:t>
          </w:r>
          <w:r>
            <w:rPr>
              <w:color w:val="auto"/>
              <w:highlight w:val="none"/>
            </w:rPr>
            <w:tab/>
          </w:r>
          <w:r>
            <w:rPr>
              <w:color w:val="auto"/>
              <w:highlight w:val="none"/>
            </w:rPr>
            <w:fldChar w:fldCharType="begin"/>
          </w:r>
          <w:r>
            <w:rPr>
              <w:color w:val="auto"/>
              <w:highlight w:val="none"/>
            </w:rPr>
            <w:instrText xml:space="preserve"> PAGEREF _Toc7330 \h </w:instrText>
          </w:r>
          <w:r>
            <w:rPr>
              <w:color w:val="auto"/>
              <w:highlight w:val="none"/>
            </w:rPr>
            <w:fldChar w:fldCharType="separate"/>
          </w:r>
          <w:r>
            <w:rPr>
              <w:color w:val="auto"/>
              <w:highlight w:val="none"/>
            </w:rPr>
            <w:t>253</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"_Toc28562" </w:instrText>
          </w:r>
          <w:r>
            <w:rPr>
              <w:color w:val="auto"/>
              <w:highlight w:val="none"/>
            </w:rPr>
            <w:fldChar w:fldCharType="separate"/>
          </w:r>
          <w:r>
            <w:rPr>
              <w:rFonts w:hint="eastAsia" w:ascii="仿宋" w:hAnsi="仿宋" w:eastAsia="仿宋" w:cs="仿宋"/>
              <w:color w:val="auto"/>
              <w:highlight w:val="none"/>
              <w:lang w:eastAsia="zh-CN"/>
            </w:rPr>
            <w:t>格式19</w:t>
          </w:r>
          <w:r>
            <w:rPr>
              <w:color w:val="auto"/>
              <w:highlight w:val="none"/>
            </w:rPr>
            <w:tab/>
          </w:r>
          <w:r>
            <w:rPr>
              <w:color w:val="auto"/>
              <w:highlight w:val="none"/>
            </w:rPr>
            <w:fldChar w:fldCharType="begin"/>
          </w:r>
          <w:r>
            <w:rPr>
              <w:color w:val="auto"/>
              <w:highlight w:val="none"/>
            </w:rPr>
            <w:instrText xml:space="preserve"> PAGEREF _Toc28562 \h </w:instrText>
          </w:r>
          <w:r>
            <w:rPr>
              <w:color w:val="auto"/>
              <w:highlight w:val="none"/>
            </w:rPr>
            <w:fldChar w:fldCharType="separate"/>
          </w:r>
          <w:r>
            <w:rPr>
              <w:color w:val="auto"/>
              <w:highlight w:val="none"/>
            </w:rPr>
            <w:t>254</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"_Toc21087" </w:instrText>
          </w:r>
          <w:r>
            <w:rPr>
              <w:color w:val="auto"/>
              <w:highlight w:val="none"/>
            </w:rPr>
            <w:fldChar w:fldCharType="separate"/>
          </w:r>
          <w:r>
            <w:rPr>
              <w:rFonts w:hint="eastAsia" w:ascii="仿宋" w:hAnsi="仿宋" w:eastAsia="仿宋" w:cs="仿宋"/>
              <w:color w:val="auto"/>
              <w:highlight w:val="none"/>
              <w:lang w:eastAsia="zh-CN"/>
            </w:rPr>
            <w:t>格式20</w:t>
          </w:r>
          <w:r>
            <w:rPr>
              <w:color w:val="auto"/>
              <w:highlight w:val="none"/>
            </w:rPr>
            <w:tab/>
          </w:r>
          <w:r>
            <w:rPr>
              <w:color w:val="auto"/>
              <w:highlight w:val="none"/>
            </w:rPr>
            <w:fldChar w:fldCharType="begin"/>
          </w:r>
          <w:r>
            <w:rPr>
              <w:color w:val="auto"/>
              <w:highlight w:val="none"/>
            </w:rPr>
            <w:instrText xml:space="preserve"> PAGEREF _Toc21087 \h </w:instrText>
          </w:r>
          <w:r>
            <w:rPr>
              <w:color w:val="auto"/>
              <w:highlight w:val="none"/>
            </w:rPr>
            <w:fldChar w:fldCharType="separate"/>
          </w:r>
          <w:r>
            <w:rPr>
              <w:color w:val="auto"/>
              <w:highlight w:val="none"/>
            </w:rPr>
            <w:t>255</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"_Toc30608" </w:instrText>
          </w:r>
          <w:r>
            <w:rPr>
              <w:color w:val="auto"/>
              <w:highlight w:val="none"/>
            </w:rPr>
            <w:fldChar w:fldCharType="separate"/>
          </w:r>
          <w:r>
            <w:rPr>
              <w:rFonts w:hint="eastAsia" w:ascii="仿宋" w:hAnsi="仿宋" w:eastAsia="仿宋" w:cs="仿宋"/>
              <w:color w:val="auto"/>
              <w:highlight w:val="none"/>
              <w:lang w:eastAsia="zh-CN"/>
            </w:rPr>
            <w:t>格式21</w:t>
          </w:r>
          <w:r>
            <w:rPr>
              <w:color w:val="auto"/>
              <w:highlight w:val="none"/>
            </w:rPr>
            <w:tab/>
          </w:r>
          <w:r>
            <w:rPr>
              <w:color w:val="auto"/>
              <w:highlight w:val="none"/>
            </w:rPr>
            <w:fldChar w:fldCharType="begin"/>
          </w:r>
          <w:r>
            <w:rPr>
              <w:color w:val="auto"/>
              <w:highlight w:val="none"/>
            </w:rPr>
            <w:instrText xml:space="preserve"> PAGEREF _Toc30608 \h </w:instrText>
          </w:r>
          <w:r>
            <w:rPr>
              <w:color w:val="auto"/>
              <w:highlight w:val="none"/>
            </w:rPr>
            <w:fldChar w:fldCharType="separate"/>
          </w:r>
          <w:r>
            <w:rPr>
              <w:color w:val="auto"/>
              <w:highlight w:val="none"/>
            </w:rPr>
            <w:t>256</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"_Toc15844" </w:instrText>
          </w:r>
          <w:r>
            <w:rPr>
              <w:color w:val="auto"/>
              <w:highlight w:val="none"/>
            </w:rPr>
            <w:fldChar w:fldCharType="separate"/>
          </w:r>
          <w:r>
            <w:rPr>
              <w:rFonts w:hint="eastAsia" w:ascii="仿宋" w:hAnsi="仿宋" w:eastAsia="仿宋" w:cs="仿宋"/>
              <w:color w:val="auto"/>
              <w:highlight w:val="none"/>
              <w:lang w:eastAsia="zh-CN"/>
            </w:rPr>
            <w:t>格式22</w:t>
          </w:r>
          <w:r>
            <w:rPr>
              <w:color w:val="auto"/>
              <w:highlight w:val="none"/>
            </w:rPr>
            <w:tab/>
          </w:r>
          <w:r>
            <w:rPr>
              <w:color w:val="auto"/>
              <w:highlight w:val="none"/>
            </w:rPr>
            <w:fldChar w:fldCharType="begin"/>
          </w:r>
          <w:r>
            <w:rPr>
              <w:color w:val="auto"/>
              <w:highlight w:val="none"/>
            </w:rPr>
            <w:instrText xml:space="preserve"> PAGEREF _Toc15844 \h </w:instrText>
          </w:r>
          <w:r>
            <w:rPr>
              <w:color w:val="auto"/>
              <w:highlight w:val="none"/>
            </w:rPr>
            <w:fldChar w:fldCharType="separate"/>
          </w:r>
          <w:r>
            <w:rPr>
              <w:color w:val="auto"/>
              <w:highlight w:val="none"/>
            </w:rPr>
            <w:t>257</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"_Toc11552" </w:instrText>
          </w:r>
          <w:r>
            <w:rPr>
              <w:color w:val="auto"/>
              <w:highlight w:val="none"/>
            </w:rPr>
            <w:fldChar w:fldCharType="separate"/>
          </w:r>
          <w:r>
            <w:rPr>
              <w:rFonts w:hint="eastAsia" w:ascii="仿宋" w:hAnsi="仿宋" w:eastAsia="仿宋" w:cs="仿宋"/>
              <w:color w:val="auto"/>
              <w:highlight w:val="none"/>
              <w:lang w:eastAsia="zh-CN"/>
            </w:rPr>
            <w:t>格式23</w:t>
          </w:r>
          <w:r>
            <w:rPr>
              <w:color w:val="auto"/>
              <w:highlight w:val="none"/>
            </w:rPr>
            <w:tab/>
          </w:r>
          <w:r>
            <w:rPr>
              <w:color w:val="auto"/>
              <w:highlight w:val="none"/>
            </w:rPr>
            <w:fldChar w:fldCharType="begin"/>
          </w:r>
          <w:r>
            <w:rPr>
              <w:color w:val="auto"/>
              <w:highlight w:val="none"/>
            </w:rPr>
            <w:instrText xml:space="preserve"> PAGEREF _Toc11552 \h </w:instrText>
          </w:r>
          <w:r>
            <w:rPr>
              <w:color w:val="auto"/>
              <w:highlight w:val="none"/>
            </w:rPr>
            <w:fldChar w:fldCharType="separate"/>
          </w:r>
          <w:r>
            <w:rPr>
              <w:color w:val="auto"/>
              <w:highlight w:val="none"/>
            </w:rPr>
            <w:t>258</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"_Toc11509" </w:instrText>
          </w:r>
          <w:r>
            <w:rPr>
              <w:color w:val="auto"/>
              <w:highlight w:val="none"/>
            </w:rPr>
            <w:fldChar w:fldCharType="separate"/>
          </w:r>
          <w:r>
            <w:rPr>
              <w:rFonts w:hint="eastAsia" w:ascii="仿宋" w:hAnsi="仿宋" w:eastAsia="仿宋" w:cs="仿宋"/>
              <w:color w:val="auto"/>
              <w:highlight w:val="none"/>
              <w:lang w:eastAsia="zh-CN"/>
            </w:rPr>
            <w:t>格式24</w:t>
          </w:r>
          <w:r>
            <w:rPr>
              <w:color w:val="auto"/>
              <w:highlight w:val="none"/>
            </w:rPr>
            <w:tab/>
          </w:r>
          <w:r>
            <w:rPr>
              <w:color w:val="auto"/>
              <w:highlight w:val="none"/>
            </w:rPr>
            <w:fldChar w:fldCharType="begin"/>
          </w:r>
          <w:r>
            <w:rPr>
              <w:color w:val="auto"/>
              <w:highlight w:val="none"/>
            </w:rPr>
            <w:instrText xml:space="preserve"> PAGEREF _Toc11509 \h </w:instrText>
          </w:r>
          <w:r>
            <w:rPr>
              <w:color w:val="auto"/>
              <w:highlight w:val="none"/>
            </w:rPr>
            <w:fldChar w:fldCharType="separate"/>
          </w:r>
          <w:r>
            <w:rPr>
              <w:color w:val="auto"/>
              <w:highlight w:val="none"/>
            </w:rPr>
            <w:t>259</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"_Toc18503" </w:instrText>
          </w:r>
          <w:r>
            <w:rPr>
              <w:color w:val="auto"/>
              <w:highlight w:val="none"/>
            </w:rPr>
            <w:fldChar w:fldCharType="separate"/>
          </w:r>
          <w:r>
            <w:rPr>
              <w:rFonts w:hint="eastAsia" w:ascii="仿宋" w:hAnsi="仿宋" w:eastAsia="仿宋" w:cs="仿宋"/>
              <w:color w:val="auto"/>
              <w:highlight w:val="none"/>
              <w:lang w:eastAsia="zh-CN"/>
            </w:rPr>
            <w:t>格式25</w:t>
          </w:r>
          <w:r>
            <w:rPr>
              <w:color w:val="auto"/>
              <w:highlight w:val="none"/>
            </w:rPr>
            <w:tab/>
          </w:r>
          <w:r>
            <w:rPr>
              <w:color w:val="auto"/>
              <w:highlight w:val="none"/>
            </w:rPr>
            <w:fldChar w:fldCharType="begin"/>
          </w:r>
          <w:r>
            <w:rPr>
              <w:color w:val="auto"/>
              <w:highlight w:val="none"/>
            </w:rPr>
            <w:instrText xml:space="preserve"> PAGEREF _Toc18503 \h </w:instrText>
          </w:r>
          <w:r>
            <w:rPr>
              <w:color w:val="auto"/>
              <w:highlight w:val="none"/>
            </w:rPr>
            <w:fldChar w:fldCharType="separate"/>
          </w:r>
          <w:r>
            <w:rPr>
              <w:color w:val="auto"/>
              <w:highlight w:val="none"/>
            </w:rPr>
            <w:t>260</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"_Toc23437" </w:instrText>
          </w:r>
          <w:r>
            <w:rPr>
              <w:color w:val="auto"/>
              <w:highlight w:val="none"/>
            </w:rPr>
            <w:fldChar w:fldCharType="separate"/>
          </w:r>
          <w:r>
            <w:rPr>
              <w:rFonts w:hint="eastAsia" w:ascii="仿宋" w:hAnsi="仿宋" w:eastAsia="仿宋" w:cs="仿宋"/>
              <w:color w:val="auto"/>
              <w:highlight w:val="none"/>
              <w:lang w:eastAsia="zh-CN"/>
            </w:rPr>
            <w:t>格式26</w:t>
          </w:r>
          <w:r>
            <w:rPr>
              <w:color w:val="auto"/>
              <w:highlight w:val="none"/>
            </w:rPr>
            <w:tab/>
          </w:r>
          <w:r>
            <w:rPr>
              <w:color w:val="auto"/>
              <w:highlight w:val="none"/>
            </w:rPr>
            <w:fldChar w:fldCharType="begin"/>
          </w:r>
          <w:r>
            <w:rPr>
              <w:color w:val="auto"/>
              <w:highlight w:val="none"/>
            </w:rPr>
            <w:instrText xml:space="preserve"> PAGEREF _Toc23437 \h </w:instrText>
          </w:r>
          <w:r>
            <w:rPr>
              <w:color w:val="auto"/>
              <w:highlight w:val="none"/>
            </w:rPr>
            <w:fldChar w:fldCharType="separate"/>
          </w:r>
          <w:r>
            <w:rPr>
              <w:color w:val="auto"/>
              <w:highlight w:val="none"/>
            </w:rPr>
            <w:t>261</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"_Toc4347" </w:instrText>
          </w:r>
          <w:r>
            <w:rPr>
              <w:color w:val="auto"/>
              <w:highlight w:val="none"/>
            </w:rPr>
            <w:fldChar w:fldCharType="separate"/>
          </w:r>
          <w:r>
            <w:rPr>
              <w:rFonts w:hint="eastAsia" w:ascii="仿宋" w:hAnsi="仿宋" w:eastAsia="仿宋" w:cs="仿宋"/>
              <w:color w:val="auto"/>
              <w:highlight w:val="none"/>
              <w:lang w:eastAsia="zh-CN"/>
            </w:rPr>
            <w:t>格式27</w:t>
          </w:r>
          <w:r>
            <w:rPr>
              <w:color w:val="auto"/>
              <w:highlight w:val="none"/>
            </w:rPr>
            <w:tab/>
          </w:r>
          <w:r>
            <w:rPr>
              <w:color w:val="auto"/>
              <w:highlight w:val="none"/>
            </w:rPr>
            <w:fldChar w:fldCharType="begin"/>
          </w:r>
          <w:r>
            <w:rPr>
              <w:color w:val="auto"/>
              <w:highlight w:val="none"/>
            </w:rPr>
            <w:instrText xml:space="preserve"> PAGEREF _Toc4347 \h </w:instrText>
          </w:r>
          <w:r>
            <w:rPr>
              <w:color w:val="auto"/>
              <w:highlight w:val="none"/>
            </w:rPr>
            <w:fldChar w:fldCharType="separate"/>
          </w:r>
          <w:r>
            <w:rPr>
              <w:color w:val="auto"/>
              <w:highlight w:val="none"/>
            </w:rPr>
            <w:t>262</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"_Toc1572" </w:instrText>
          </w:r>
          <w:r>
            <w:rPr>
              <w:color w:val="auto"/>
              <w:highlight w:val="none"/>
            </w:rPr>
            <w:fldChar w:fldCharType="separate"/>
          </w:r>
          <w:r>
            <w:rPr>
              <w:rFonts w:hint="eastAsia" w:ascii="仿宋" w:hAnsi="仿宋" w:eastAsia="仿宋" w:cs="仿宋"/>
              <w:color w:val="auto"/>
              <w:highlight w:val="none"/>
              <w:lang w:eastAsia="zh-CN"/>
            </w:rPr>
            <w:t>格式28</w:t>
          </w:r>
          <w:r>
            <w:rPr>
              <w:color w:val="auto"/>
              <w:highlight w:val="none"/>
            </w:rPr>
            <w:tab/>
          </w:r>
          <w:r>
            <w:rPr>
              <w:color w:val="auto"/>
              <w:highlight w:val="none"/>
            </w:rPr>
            <w:fldChar w:fldCharType="begin"/>
          </w:r>
          <w:r>
            <w:rPr>
              <w:color w:val="auto"/>
              <w:highlight w:val="none"/>
            </w:rPr>
            <w:instrText xml:space="preserve"> PAGEREF _Toc1572 \h </w:instrText>
          </w:r>
          <w:r>
            <w:rPr>
              <w:color w:val="auto"/>
              <w:highlight w:val="none"/>
            </w:rPr>
            <w:fldChar w:fldCharType="separate"/>
          </w:r>
          <w:r>
            <w:rPr>
              <w:color w:val="auto"/>
              <w:highlight w:val="none"/>
            </w:rPr>
            <w:t>263</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"_Toc31934" </w:instrText>
          </w:r>
          <w:r>
            <w:rPr>
              <w:color w:val="auto"/>
              <w:highlight w:val="none"/>
            </w:rPr>
            <w:fldChar w:fldCharType="separate"/>
          </w:r>
          <w:r>
            <w:rPr>
              <w:rFonts w:hint="eastAsia" w:ascii="仿宋" w:hAnsi="仿宋" w:eastAsia="仿宋" w:cs="仿宋"/>
              <w:color w:val="auto"/>
              <w:highlight w:val="none"/>
              <w:lang w:eastAsia="zh-CN"/>
            </w:rPr>
            <w:t>格式29</w:t>
          </w:r>
          <w:r>
            <w:rPr>
              <w:color w:val="auto"/>
              <w:highlight w:val="none"/>
            </w:rPr>
            <w:tab/>
          </w:r>
          <w:r>
            <w:rPr>
              <w:color w:val="auto"/>
              <w:highlight w:val="none"/>
            </w:rPr>
            <w:fldChar w:fldCharType="begin"/>
          </w:r>
          <w:r>
            <w:rPr>
              <w:color w:val="auto"/>
              <w:highlight w:val="none"/>
            </w:rPr>
            <w:instrText xml:space="preserve"> PAGEREF _Toc31934 \h </w:instrText>
          </w:r>
          <w:r>
            <w:rPr>
              <w:color w:val="auto"/>
              <w:highlight w:val="none"/>
            </w:rPr>
            <w:fldChar w:fldCharType="separate"/>
          </w:r>
          <w:r>
            <w:rPr>
              <w:color w:val="auto"/>
              <w:highlight w:val="none"/>
            </w:rPr>
            <w:t>264</w:t>
          </w:r>
          <w:r>
            <w:rPr>
              <w:color w:val="auto"/>
              <w:highlight w:val="none"/>
            </w:rPr>
            <w:fldChar w:fldCharType="end"/>
          </w:r>
          <w:r>
            <w:rPr>
              <w:color w:val="auto"/>
              <w:highlight w:val="none"/>
            </w:rPr>
            <w:fldChar w:fldCharType="end"/>
          </w:r>
        </w:p>
        <w:p>
          <w:pPr>
            <w:pStyle w:val="29"/>
            <w:tabs>
              <w:tab w:val="right" w:leader="dot" w:pos="9178"/>
            </w:tabs>
            <w:rPr>
              <w:color w:val="auto"/>
              <w:highlight w:val="none"/>
            </w:rPr>
          </w:pPr>
          <w:r>
            <w:rPr>
              <w:color w:val="auto"/>
              <w:highlight w:val="none"/>
            </w:rPr>
            <w:fldChar w:fldCharType="begin"/>
          </w:r>
          <w:r>
            <w:rPr>
              <w:color w:val="auto"/>
              <w:highlight w:val="none"/>
            </w:rPr>
            <w:instrText xml:space="preserve"> HYPERLINK \l "_Toc4955" </w:instrText>
          </w:r>
          <w:r>
            <w:rPr>
              <w:color w:val="auto"/>
              <w:highlight w:val="none"/>
            </w:rPr>
            <w:fldChar w:fldCharType="separate"/>
          </w:r>
          <w:r>
            <w:rPr>
              <w:rFonts w:hint="eastAsia" w:ascii="仿宋" w:hAnsi="仿宋" w:eastAsia="仿宋" w:cs="仿宋"/>
              <w:color w:val="auto"/>
              <w:highlight w:val="none"/>
              <w:lang w:eastAsia="zh-CN"/>
            </w:rPr>
            <w:t>格式30</w:t>
          </w:r>
          <w:r>
            <w:rPr>
              <w:color w:val="auto"/>
              <w:highlight w:val="none"/>
            </w:rPr>
            <w:tab/>
          </w:r>
          <w:r>
            <w:rPr>
              <w:color w:val="auto"/>
              <w:highlight w:val="none"/>
            </w:rPr>
            <w:fldChar w:fldCharType="begin"/>
          </w:r>
          <w:r>
            <w:rPr>
              <w:color w:val="auto"/>
              <w:highlight w:val="none"/>
            </w:rPr>
            <w:instrText xml:space="preserve"> PAGEREF _Toc4955 \h </w:instrText>
          </w:r>
          <w:r>
            <w:rPr>
              <w:color w:val="auto"/>
              <w:highlight w:val="none"/>
            </w:rPr>
            <w:fldChar w:fldCharType="separate"/>
          </w:r>
          <w:r>
            <w:rPr>
              <w:color w:val="auto"/>
              <w:highlight w:val="none"/>
            </w:rPr>
            <w:t>265</w:t>
          </w:r>
          <w:r>
            <w:rPr>
              <w:color w:val="auto"/>
              <w:highlight w:val="none"/>
            </w:rPr>
            <w:fldChar w:fldCharType="end"/>
          </w:r>
          <w:r>
            <w:rPr>
              <w:color w:val="auto"/>
              <w:highlight w:val="none"/>
            </w:rPr>
            <w:fldChar w:fldCharType="end"/>
          </w:r>
        </w:p>
        <w:p>
          <w:pPr>
            <w:rPr>
              <w:color w:val="auto"/>
              <w:highlight w:val="none"/>
            </w:rPr>
          </w:pPr>
          <w:r>
            <w:rPr>
              <w:rFonts w:hint="eastAsia" w:ascii="仿宋" w:hAnsi="仿宋" w:eastAsia="仿宋" w:cs="仿宋"/>
              <w:color w:val="auto"/>
              <w:highlight w:val="none"/>
            </w:rPr>
            <w:fldChar w:fldCharType="end"/>
          </w:r>
        </w:p>
      </w:sdtContent>
    </w:sdt>
    <w:p>
      <w:pPr>
        <w:rPr>
          <w:rFonts w:ascii="宋体" w:hAnsi="宋体" w:cs="宋体"/>
          <w:b/>
          <w:bCs/>
          <w:color w:val="auto"/>
          <w:sz w:val="36"/>
          <w:szCs w:val="36"/>
          <w:highlight w:val="none"/>
          <w:lang w:eastAsia="zh-CN"/>
        </w:rPr>
      </w:pPr>
      <w:r>
        <w:rPr>
          <w:rFonts w:hint="eastAsia" w:ascii="宋体" w:hAnsi="宋体" w:cs="宋体"/>
          <w:b/>
          <w:bCs/>
          <w:color w:val="auto"/>
          <w:sz w:val="36"/>
          <w:szCs w:val="36"/>
          <w:highlight w:val="none"/>
          <w:lang w:eastAsia="zh-CN"/>
        </w:rPr>
        <w:br w:type="page"/>
      </w:r>
    </w:p>
    <w:p>
      <w:pPr>
        <w:pStyle w:val="166"/>
        <w:spacing w:before="0" w:after="260"/>
        <w:rPr>
          <w:color w:val="auto"/>
          <w:highlight w:val="none"/>
        </w:rPr>
      </w:pPr>
      <w:r>
        <w:rPr>
          <w:color w:val="auto"/>
          <w:highlight w:val="none"/>
        </w:rPr>
        <w:t>总说明</w:t>
      </w:r>
    </w:p>
    <w:p>
      <w:pPr>
        <w:pStyle w:val="167"/>
        <w:spacing w:after="0" w:line="498" w:lineRule="exact"/>
        <w:ind w:firstLine="480"/>
        <w:jc w:val="both"/>
        <w:rPr>
          <w:color w:val="auto"/>
          <w:highlight w:val="none"/>
        </w:rPr>
      </w:pPr>
      <w:r>
        <w:rPr>
          <w:color w:val="auto"/>
          <w:highlight w:val="none"/>
        </w:rPr>
        <w:t>为了指导广州市建设工程总承包项目（又称</w:t>
      </w:r>
      <w:r>
        <w:rPr>
          <w:color w:val="auto"/>
          <w:sz w:val="24"/>
          <w:szCs w:val="24"/>
          <w:highlight w:val="none"/>
          <w:lang w:val="en-US" w:bidi="en-US"/>
        </w:rPr>
        <w:t>EPC</w:t>
      </w:r>
      <w:r>
        <w:rPr>
          <w:color w:val="auto"/>
          <w:highlight w:val="none"/>
        </w:rPr>
        <w:t>项目</w:t>
      </w:r>
      <w:r>
        <w:rPr>
          <w:color w:val="auto"/>
          <w:sz w:val="24"/>
          <w:szCs w:val="24"/>
          <w:highlight w:val="none"/>
        </w:rPr>
        <w:t>）</w:t>
      </w:r>
      <w:r>
        <w:rPr>
          <w:color w:val="auto"/>
          <w:highlight w:val="none"/>
        </w:rPr>
        <w:t>当事人的签约行为，维护合同当事人的合法权益，依据《中华人民共和国民法典》、《中华人民共和国建筑法》、《中华人民共和国招标投标法》、《房屋建筑和市政基础设施项目工程总承包管理办法》（建市规[</w:t>
      </w:r>
      <w:r>
        <w:rPr>
          <w:color w:val="auto"/>
          <w:sz w:val="24"/>
          <w:szCs w:val="24"/>
          <w:highlight w:val="none"/>
        </w:rPr>
        <w:t>2019]12</w:t>
      </w:r>
      <w:r>
        <w:rPr>
          <w:color w:val="auto"/>
          <w:highlight w:val="none"/>
        </w:rPr>
        <w:t>号）以及相关法律法规，参照《建设项目工程总承包合同（示范文本）》</w:t>
      </w:r>
      <w:r>
        <w:rPr>
          <w:color w:val="auto"/>
          <w:sz w:val="24"/>
          <w:szCs w:val="24"/>
          <w:highlight w:val="none"/>
          <w:lang w:val="en-US" w:bidi="en-US"/>
        </w:rPr>
        <w:t>（GF-2020-0216）</w:t>
      </w:r>
      <w:r>
        <w:rPr>
          <w:color w:val="auto"/>
          <w:highlight w:val="none"/>
        </w:rPr>
        <w:t>、《建设项目工程总承包合同示范文本（试行）》</w:t>
      </w:r>
      <w:r>
        <w:rPr>
          <w:color w:val="auto"/>
          <w:sz w:val="24"/>
          <w:szCs w:val="24"/>
          <w:highlight w:val="none"/>
          <w:lang w:val="en-US" w:bidi="en-US"/>
        </w:rPr>
        <w:t>（GF-2011-0216）</w:t>
      </w:r>
      <w:r>
        <w:rPr>
          <w:color w:val="auto"/>
          <w:highlight w:val="none"/>
        </w:rPr>
        <w:t>、《建设工程施工合同（示范文本）》</w:t>
      </w:r>
      <w:r>
        <w:rPr>
          <w:color w:val="auto"/>
          <w:sz w:val="24"/>
          <w:szCs w:val="24"/>
          <w:highlight w:val="none"/>
          <w:lang w:val="en-US" w:bidi="en-US"/>
        </w:rPr>
        <w:t>（GF—2017—0201）</w:t>
      </w:r>
      <w:r>
        <w:rPr>
          <w:color w:val="auto"/>
          <w:highlight w:val="none"/>
          <w:lang w:val="en-US" w:bidi="en-US"/>
        </w:rPr>
        <w:t>、</w:t>
      </w:r>
      <w:r>
        <w:rPr>
          <w:color w:val="auto"/>
          <w:highlight w:val="none"/>
        </w:rPr>
        <w:t>《广东省建设工程标准施工合同</w:t>
      </w:r>
      <w:r>
        <w:rPr>
          <w:color w:val="auto"/>
          <w:sz w:val="24"/>
          <w:szCs w:val="24"/>
          <w:highlight w:val="none"/>
        </w:rPr>
        <w:t>（2009</w:t>
      </w:r>
      <w:r>
        <w:rPr>
          <w:color w:val="auto"/>
          <w:highlight w:val="none"/>
        </w:rPr>
        <w:t>年版）》、《建设工程设计合同示范文本（房屋建筑工程）》</w:t>
      </w:r>
      <w:r>
        <w:rPr>
          <w:color w:val="auto"/>
          <w:sz w:val="24"/>
          <w:szCs w:val="24"/>
          <w:highlight w:val="none"/>
          <w:lang w:val="en-US" w:bidi="en-US"/>
        </w:rPr>
        <w:t>（GF-2015-0209）</w:t>
      </w:r>
      <w:r>
        <w:rPr>
          <w:color w:val="auto"/>
          <w:highlight w:val="none"/>
          <w:lang w:val="en-US" w:bidi="en-US"/>
        </w:rPr>
        <w:t>、</w:t>
      </w:r>
      <w:r>
        <w:rPr>
          <w:color w:val="auto"/>
          <w:highlight w:val="none"/>
        </w:rPr>
        <w:t>《建设工程勘察合同示范文本》</w:t>
      </w:r>
      <w:r>
        <w:rPr>
          <w:color w:val="auto"/>
          <w:sz w:val="24"/>
          <w:szCs w:val="24"/>
          <w:highlight w:val="none"/>
          <w:lang w:val="en-US" w:bidi="en-US"/>
        </w:rPr>
        <w:t>（GF-2016-0203）</w:t>
      </w:r>
      <w:r>
        <w:rPr>
          <w:color w:val="auto"/>
          <w:highlight w:val="none"/>
        </w:rPr>
        <w:t>等合同范本，结合近年来广州市建设工程</w:t>
      </w:r>
      <w:r>
        <w:rPr>
          <w:color w:val="auto"/>
          <w:sz w:val="24"/>
          <w:szCs w:val="24"/>
          <w:highlight w:val="none"/>
          <w:lang w:val="en-US" w:bidi="en-US"/>
        </w:rPr>
        <w:t>EPC</w:t>
      </w:r>
      <w:r>
        <w:rPr>
          <w:color w:val="auto"/>
          <w:highlight w:val="none"/>
        </w:rPr>
        <w:t>项目的实施情况，特编制本合同示范文本《广州市建设工程总承包合同》</w:t>
      </w:r>
      <w:r>
        <w:rPr>
          <w:color w:val="auto"/>
          <w:sz w:val="24"/>
          <w:szCs w:val="24"/>
          <w:highlight w:val="none"/>
          <w:lang w:val="en-US" w:bidi="en-US"/>
        </w:rPr>
        <w:t>（SF-2022-0210）</w:t>
      </w:r>
      <w:r>
        <w:rPr>
          <w:color w:val="auto"/>
          <w:highlight w:val="none"/>
          <w:lang w:val="en-US" w:bidi="en-US"/>
        </w:rPr>
        <w:t>。</w:t>
      </w:r>
      <w:r>
        <w:rPr>
          <w:color w:val="auto"/>
          <w:highlight w:val="none"/>
        </w:rPr>
        <w:t>为了便于合同当事人使用《广州市建设工程总承包合同》</w:t>
      </w:r>
      <w:r>
        <w:rPr>
          <w:color w:val="auto"/>
          <w:sz w:val="24"/>
          <w:szCs w:val="24"/>
          <w:highlight w:val="none"/>
          <w:lang w:val="en-US" w:bidi="en-US"/>
        </w:rPr>
        <w:t>（SF-2022-0210）</w:t>
      </w:r>
      <w:r>
        <w:rPr>
          <w:color w:val="auto"/>
          <w:highlight w:val="none"/>
        </w:rPr>
        <w:t>示范文本，现就有关问题说明如下：</w:t>
      </w:r>
    </w:p>
    <w:p>
      <w:pPr>
        <w:pStyle w:val="167"/>
        <w:spacing w:after="0" w:line="498" w:lineRule="exact"/>
        <w:ind w:firstLine="480"/>
        <w:jc w:val="both"/>
        <w:rPr>
          <w:color w:val="auto"/>
          <w:highlight w:val="none"/>
        </w:rPr>
      </w:pPr>
      <w:r>
        <w:rPr>
          <w:color w:val="auto"/>
          <w:highlight w:val="none"/>
        </w:rPr>
        <w:t>一、工程总承包与施工总承包、建设工程设计、建设工程勘察合同的区别与联系</w:t>
      </w:r>
    </w:p>
    <w:p>
      <w:pPr>
        <w:pStyle w:val="167"/>
        <w:spacing w:after="0" w:line="498" w:lineRule="exact"/>
        <w:ind w:firstLine="480"/>
        <w:jc w:val="both"/>
        <w:rPr>
          <w:color w:val="auto"/>
          <w:highlight w:val="none"/>
        </w:rPr>
      </w:pPr>
      <w:r>
        <w:rPr>
          <w:color w:val="auto"/>
          <w:highlight w:val="none"/>
        </w:rPr>
        <w:t>工程总承包</w:t>
      </w:r>
      <w:r>
        <w:rPr>
          <w:color w:val="auto"/>
          <w:sz w:val="24"/>
          <w:szCs w:val="24"/>
          <w:highlight w:val="none"/>
          <w:lang w:val="en-US" w:bidi="en-US"/>
        </w:rPr>
        <w:t>（EPC）</w:t>
      </w:r>
      <w:r>
        <w:rPr>
          <w:color w:val="auto"/>
          <w:highlight w:val="none"/>
        </w:rPr>
        <w:t>与施</w:t>
      </w:r>
      <w:bookmarkStart w:id="1056" w:name="_GoBack"/>
      <w:bookmarkEnd w:id="1056"/>
      <w:r>
        <w:rPr>
          <w:color w:val="auto"/>
          <w:highlight w:val="none"/>
        </w:rPr>
        <w:t>工总承包两种模式的联系与区别，两者都理清总承包范围内合同当事人的权利和义务，但工程总承包明确了参建各方在勘察、设计、施工等各阶段工作的角色定位和责任划分，以及合同价款确定和造价控制模式。</w:t>
      </w:r>
    </w:p>
    <w:p>
      <w:pPr>
        <w:pStyle w:val="167"/>
        <w:spacing w:after="0" w:line="498" w:lineRule="exact"/>
        <w:ind w:firstLine="480"/>
        <w:jc w:val="both"/>
        <w:rPr>
          <w:color w:val="auto"/>
          <w:highlight w:val="none"/>
        </w:rPr>
      </w:pPr>
      <w:r>
        <w:rPr>
          <w:color w:val="auto"/>
          <w:highlight w:val="none"/>
        </w:rPr>
        <w:t>工程总承包合同与勘察或设计合同的联系与区别：本工程总承包合同示范文本的编写，结合工程总承包合同的承包人为同时具备勘察、设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其合同约定与工程地质勘察有关的范围内容、质量、进度和价格等权利、义务和责任；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pPr>
        <w:pStyle w:val="167"/>
        <w:spacing w:after="0" w:line="498" w:lineRule="exact"/>
        <w:ind w:firstLine="480"/>
        <w:jc w:val="both"/>
        <w:rPr>
          <w:color w:val="auto"/>
          <w:highlight w:val="none"/>
        </w:rPr>
      </w:pPr>
      <w:r>
        <w:rPr>
          <w:color w:val="auto"/>
          <w:highlight w:val="none"/>
        </w:rPr>
        <w:t>本工程总承包合同还根据与住建部《建设项目工程总承包合同（示范文本）》</w:t>
      </w:r>
      <w:r>
        <w:rPr>
          <w:color w:val="auto"/>
          <w:sz w:val="24"/>
          <w:szCs w:val="24"/>
          <w:highlight w:val="none"/>
        </w:rPr>
        <w:t>（</w:t>
      </w:r>
      <w:r>
        <w:rPr>
          <w:color w:val="auto"/>
          <w:sz w:val="24"/>
          <w:szCs w:val="24"/>
          <w:highlight w:val="none"/>
          <w:lang w:val="en-US" w:bidi="en-US"/>
        </w:rPr>
        <w:t>GF-2020-021</w:t>
      </w:r>
      <w:r>
        <w:rPr>
          <w:color w:val="auto"/>
          <w:sz w:val="24"/>
          <w:szCs w:val="24"/>
          <w:highlight w:val="none"/>
        </w:rPr>
        <w:t>6），</w:t>
      </w:r>
      <w:r>
        <w:rPr>
          <w:color w:val="auto"/>
          <w:highlight w:val="none"/>
        </w:rPr>
        <w:t>在合同词语定义、合同主要内容方面的差异性进行更新，但继续保持广州地区工程总承包的特点、实际施工需求等方面的特色。</w:t>
      </w:r>
    </w:p>
    <w:p>
      <w:pPr>
        <w:pStyle w:val="167"/>
        <w:spacing w:after="0" w:line="498" w:lineRule="exact"/>
        <w:ind w:firstLine="480"/>
        <w:jc w:val="both"/>
        <w:rPr>
          <w:color w:val="auto"/>
          <w:highlight w:val="none"/>
        </w:rPr>
      </w:pPr>
      <w:r>
        <w:rPr>
          <w:color w:val="auto"/>
          <w:highlight w:val="none"/>
        </w:rPr>
        <w:t>二、《广州市建设工程总承包合同》</w:t>
      </w:r>
      <w:r>
        <w:rPr>
          <w:color w:val="auto"/>
          <w:sz w:val="24"/>
          <w:szCs w:val="24"/>
          <w:highlight w:val="none"/>
          <w:lang w:val="en-US" w:bidi="en-US"/>
        </w:rPr>
        <w:t>（SF-2022-0210）</w:t>
      </w:r>
      <w:r>
        <w:rPr>
          <w:color w:val="auto"/>
          <w:highlight w:val="none"/>
        </w:rPr>
        <w:t>的适用范围</w:t>
      </w:r>
    </w:p>
    <w:p>
      <w:pPr>
        <w:pStyle w:val="167"/>
        <w:spacing w:after="0" w:line="497" w:lineRule="exact"/>
        <w:ind w:firstLine="480"/>
        <w:rPr>
          <w:color w:val="auto"/>
          <w:highlight w:val="none"/>
        </w:rPr>
      </w:pPr>
      <w:r>
        <w:rPr>
          <w:color w:val="auto"/>
          <w:highlight w:val="none"/>
        </w:rPr>
        <w:t>《广州市建设工程总承包合同》</w:t>
      </w:r>
      <w:r>
        <w:rPr>
          <w:color w:val="auto"/>
          <w:sz w:val="24"/>
          <w:szCs w:val="24"/>
          <w:highlight w:val="none"/>
          <w:lang w:val="en-US" w:bidi="en-US"/>
        </w:rPr>
        <w:t>（SF-2022-0210）</w:t>
      </w:r>
      <w:r>
        <w:rPr>
          <w:color w:val="auto"/>
          <w:highlight w:val="none"/>
        </w:rPr>
        <w:t>适用于广州市行政区域内房屋建筑与市政基础设施项目，并应符合以下条件：</w:t>
      </w:r>
    </w:p>
    <w:p>
      <w:pPr>
        <w:pStyle w:val="167"/>
        <w:spacing w:after="0" w:line="497" w:lineRule="exact"/>
        <w:ind w:firstLine="480"/>
        <w:rPr>
          <w:color w:val="auto"/>
          <w:highlight w:val="none"/>
        </w:rPr>
      </w:pPr>
      <w:r>
        <w:rPr>
          <w:color w:val="auto"/>
          <w:highlight w:val="none"/>
        </w:rPr>
        <w:t>（一）新建、扩建、改建、装修、修缮等建设工程项目；</w:t>
      </w:r>
    </w:p>
    <w:p>
      <w:pPr>
        <w:pStyle w:val="167"/>
        <w:spacing w:after="0" w:line="497" w:lineRule="exact"/>
        <w:ind w:firstLine="480"/>
        <w:rPr>
          <w:color w:val="auto"/>
          <w:highlight w:val="none"/>
        </w:rPr>
      </w:pPr>
      <w:r>
        <w:rPr>
          <w:color w:val="auto"/>
          <w:highlight w:val="none"/>
        </w:rPr>
        <w:t>（二）建设标准和建设内容明确、设计方案成熟、技术要求明确；</w:t>
      </w:r>
    </w:p>
    <w:p>
      <w:pPr>
        <w:pStyle w:val="167"/>
        <w:spacing w:after="0" w:line="497" w:lineRule="exact"/>
        <w:ind w:firstLine="480"/>
        <w:rPr>
          <w:color w:val="auto"/>
          <w:highlight w:val="none"/>
        </w:rPr>
      </w:pPr>
      <w:r>
        <w:rPr>
          <w:color w:val="auto"/>
          <w:highlight w:val="none"/>
        </w:rPr>
        <w:t>（三）采用工程总承包模式的政府投资项目或国有资金投资项目，原则上已完成初步设计审批及概算核定；如采用工程总承包模式的社会投资项目已取得核准或备案；或为采用工程总承包模式的装配式建筑。</w:t>
      </w:r>
    </w:p>
    <w:p>
      <w:pPr>
        <w:pStyle w:val="167"/>
        <w:spacing w:after="0" w:line="497" w:lineRule="exact"/>
        <w:ind w:firstLine="480"/>
        <w:rPr>
          <w:color w:val="auto"/>
          <w:highlight w:val="none"/>
        </w:rPr>
      </w:pPr>
      <w:r>
        <w:rPr>
          <w:color w:val="auto"/>
          <w:highlight w:val="none"/>
        </w:rPr>
        <w:t>三、《广州市建设工程总承包合同》</w:t>
      </w:r>
      <w:r>
        <w:rPr>
          <w:color w:val="auto"/>
          <w:sz w:val="24"/>
          <w:szCs w:val="24"/>
          <w:highlight w:val="none"/>
          <w:lang w:val="en-US" w:bidi="en-US"/>
        </w:rPr>
        <w:t>（SF-2022-0210）</w:t>
      </w:r>
      <w:r>
        <w:rPr>
          <w:color w:val="auto"/>
          <w:highlight w:val="none"/>
        </w:rPr>
        <w:t>的组成</w:t>
      </w:r>
    </w:p>
    <w:p>
      <w:pPr>
        <w:pStyle w:val="167"/>
        <w:spacing w:after="0" w:line="497" w:lineRule="exact"/>
        <w:ind w:firstLine="480"/>
        <w:rPr>
          <w:color w:val="auto"/>
          <w:highlight w:val="none"/>
        </w:rPr>
      </w:pPr>
      <w:r>
        <w:rPr>
          <w:color w:val="auto"/>
          <w:highlight w:val="none"/>
        </w:rPr>
        <w:t>《广州市建设工程总承包合同》</w:t>
      </w:r>
      <w:r>
        <w:rPr>
          <w:color w:val="auto"/>
          <w:sz w:val="24"/>
          <w:szCs w:val="24"/>
          <w:highlight w:val="none"/>
          <w:lang w:val="en-US" w:bidi="en-US"/>
        </w:rPr>
        <w:t>（SF-2022-0210）</w:t>
      </w:r>
      <w:r>
        <w:rPr>
          <w:color w:val="auto"/>
          <w:highlight w:val="none"/>
        </w:rPr>
        <w:t>由协议书、通用条款和专用条款三部分组成。</w:t>
      </w:r>
    </w:p>
    <w:p>
      <w:pPr>
        <w:pStyle w:val="167"/>
        <w:spacing w:after="0" w:line="497" w:lineRule="exact"/>
        <w:ind w:firstLine="480"/>
        <w:rPr>
          <w:color w:val="auto"/>
          <w:highlight w:val="none"/>
        </w:rPr>
      </w:pPr>
      <w:r>
        <w:rPr>
          <w:color w:val="auto"/>
          <w:highlight w:val="none"/>
        </w:rPr>
        <w:t>四、其他重要事项</w:t>
      </w:r>
    </w:p>
    <w:p>
      <w:pPr>
        <w:pStyle w:val="167"/>
        <w:spacing w:after="0" w:line="497" w:lineRule="exact"/>
        <w:ind w:firstLine="480"/>
        <w:rPr>
          <w:color w:val="auto"/>
          <w:highlight w:val="none"/>
        </w:rPr>
      </w:pPr>
      <w:r>
        <w:rPr>
          <w:color w:val="auto"/>
          <w:highlight w:val="none"/>
        </w:rPr>
        <w:t>1、发包人（项目业主）首要责任制</w:t>
      </w:r>
    </w:p>
    <w:p>
      <w:pPr>
        <w:pStyle w:val="167"/>
        <w:spacing w:after="0" w:line="497" w:lineRule="exact"/>
        <w:ind w:firstLine="480"/>
        <w:rPr>
          <w:color w:val="auto"/>
          <w:highlight w:val="none"/>
        </w:rPr>
      </w:pPr>
      <w:r>
        <w:rPr>
          <w:color w:val="auto"/>
          <w:highlight w:val="none"/>
        </w:rPr>
        <w:t>发包人（项目业主）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pPr>
        <w:pStyle w:val="167"/>
        <w:spacing w:after="0" w:line="497" w:lineRule="exact"/>
        <w:ind w:firstLine="480"/>
        <w:rPr>
          <w:color w:val="auto"/>
          <w:highlight w:val="none"/>
        </w:rPr>
      </w:pPr>
      <w:r>
        <w:rPr>
          <w:color w:val="auto"/>
          <w:highlight w:val="none"/>
        </w:rPr>
        <w:t>2、工程总承包</w:t>
      </w:r>
      <w:r>
        <w:rPr>
          <w:color w:val="auto"/>
          <w:highlight w:val="none"/>
          <w:lang w:val="en-US"/>
        </w:rPr>
        <w:t>（EPC）</w:t>
      </w:r>
      <w:r>
        <w:rPr>
          <w:color w:val="auto"/>
          <w:highlight w:val="none"/>
        </w:rPr>
        <w:t>的定义</w:t>
      </w:r>
    </w:p>
    <w:p>
      <w:pPr>
        <w:pStyle w:val="167"/>
        <w:spacing w:after="0" w:line="497" w:lineRule="exact"/>
        <w:ind w:firstLine="480"/>
        <w:rPr>
          <w:color w:val="auto"/>
          <w:highlight w:val="none"/>
        </w:rPr>
      </w:pPr>
      <w:r>
        <w:rPr>
          <w:color w:val="auto"/>
          <w:highlight w:val="none"/>
        </w:rPr>
        <w:t>工程总承包</w:t>
      </w:r>
      <w:r>
        <w:rPr>
          <w:color w:val="auto"/>
          <w:sz w:val="24"/>
          <w:szCs w:val="24"/>
          <w:highlight w:val="none"/>
          <w:lang w:val="en-US" w:bidi="en-US"/>
        </w:rPr>
        <w:t>（EPC）</w:t>
      </w:r>
      <w:r>
        <w:rPr>
          <w:color w:val="auto"/>
          <w:highlight w:val="none"/>
        </w:rPr>
        <w:t>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它合同。</w:t>
      </w:r>
    </w:p>
    <w:p>
      <w:pPr>
        <w:pStyle w:val="167"/>
        <w:spacing w:after="0" w:line="497" w:lineRule="exact"/>
        <w:ind w:firstLine="480"/>
        <w:rPr>
          <w:color w:val="auto"/>
          <w:highlight w:val="none"/>
        </w:rPr>
      </w:pPr>
      <w:r>
        <w:rPr>
          <w:color w:val="auto"/>
          <w:highlight w:val="none"/>
        </w:rPr>
        <w:t>3、新型建筑工业化</w:t>
      </w:r>
    </w:p>
    <w:p>
      <w:pPr>
        <w:pStyle w:val="167"/>
        <w:spacing w:after="0" w:line="497" w:lineRule="exact"/>
        <w:ind w:firstLine="480"/>
        <w:rPr>
          <w:color w:val="auto"/>
          <w:highlight w:val="none"/>
        </w:rPr>
      </w:pPr>
      <w:r>
        <w:rPr>
          <w:color w:val="auto"/>
          <w:highlight w:val="none"/>
        </w:rPr>
        <w:t>根据《住房和城乡建设部等部门关于加快新型建筑工业化发展的若干意见》（建标规〔</w:t>
      </w:r>
      <w:r>
        <w:rPr>
          <w:color w:val="auto"/>
          <w:sz w:val="24"/>
          <w:szCs w:val="24"/>
          <w:highlight w:val="none"/>
        </w:rPr>
        <w:t>2020</w:t>
      </w:r>
      <w:r>
        <w:rPr>
          <w:color w:val="auto"/>
          <w:highlight w:val="none"/>
        </w:rPr>
        <w:t>〕</w:t>
      </w:r>
      <w:r>
        <w:rPr>
          <w:color w:val="auto"/>
          <w:sz w:val="24"/>
          <w:szCs w:val="24"/>
          <w:highlight w:val="none"/>
        </w:rPr>
        <w:t>8</w:t>
      </w:r>
      <w:r>
        <w:rPr>
          <w:color w:val="auto"/>
          <w:highlight w:val="none"/>
        </w:rPr>
        <w:t>号）精神，范本将工程总承包管理模式与</w:t>
      </w:r>
      <w:r>
        <w:rPr>
          <w:color w:val="auto"/>
          <w:sz w:val="24"/>
          <w:szCs w:val="24"/>
          <w:highlight w:val="none"/>
          <w:lang w:val="en-US" w:bidi="en-US"/>
        </w:rPr>
        <w:t>BIM</w:t>
      </w:r>
      <w:r>
        <w:rPr>
          <w:color w:val="auto"/>
          <w:highlight w:val="none"/>
        </w:rPr>
        <w:t>技术应用、装配式建筑应用高度融合，在合同各章节融入了</w:t>
      </w:r>
      <w:r>
        <w:rPr>
          <w:color w:val="auto"/>
          <w:sz w:val="24"/>
          <w:szCs w:val="24"/>
          <w:highlight w:val="none"/>
          <w:lang w:val="en-US" w:bidi="en-US"/>
        </w:rPr>
        <w:t>BIM</w:t>
      </w:r>
      <w:r>
        <w:rPr>
          <w:color w:val="auto"/>
          <w:highlight w:val="none"/>
        </w:rPr>
        <w:t>技术应用、装配式建筑应用等方面的管理要求，制定了</w:t>
      </w:r>
      <w:r>
        <w:rPr>
          <w:color w:val="auto"/>
          <w:sz w:val="24"/>
          <w:szCs w:val="24"/>
          <w:highlight w:val="none"/>
          <w:lang w:val="en-US" w:bidi="en-US"/>
        </w:rPr>
        <w:t>BIM</w:t>
      </w:r>
      <w:r>
        <w:rPr>
          <w:color w:val="auto"/>
          <w:highlight w:val="none"/>
        </w:rPr>
        <w:t>技术应用、装配式建筑等方面的相关条款。发包人（项目业主）应遵照建标规〔</w:t>
      </w:r>
      <w:r>
        <w:rPr>
          <w:color w:val="auto"/>
          <w:sz w:val="24"/>
          <w:szCs w:val="24"/>
          <w:highlight w:val="none"/>
        </w:rPr>
        <w:t>2020</w:t>
      </w:r>
      <w:r>
        <w:rPr>
          <w:color w:val="auto"/>
          <w:highlight w:val="none"/>
        </w:rPr>
        <w:t>〕</w:t>
      </w:r>
      <w:r>
        <w:rPr>
          <w:color w:val="auto"/>
          <w:sz w:val="24"/>
          <w:szCs w:val="24"/>
          <w:highlight w:val="none"/>
        </w:rPr>
        <w:t>8</w:t>
      </w:r>
      <w:r>
        <w:rPr>
          <w:color w:val="auto"/>
          <w:highlight w:val="none"/>
        </w:rPr>
        <w:t>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pPr>
        <w:pStyle w:val="167"/>
        <w:spacing w:after="0" w:line="497" w:lineRule="exact"/>
        <w:ind w:firstLine="480"/>
        <w:rPr>
          <w:color w:val="auto"/>
          <w:highlight w:val="none"/>
        </w:rPr>
      </w:pPr>
      <w:r>
        <w:rPr>
          <w:color w:val="auto"/>
          <w:highlight w:val="none"/>
        </w:rPr>
        <w:t>4、全过程咨询、第三方咨询人</w:t>
      </w:r>
    </w:p>
    <w:p>
      <w:pPr>
        <w:pStyle w:val="167"/>
        <w:spacing w:after="0" w:line="500" w:lineRule="exact"/>
        <w:ind w:firstLine="480"/>
        <w:jc w:val="both"/>
        <w:rPr>
          <w:color w:val="auto"/>
          <w:highlight w:val="none"/>
        </w:rPr>
      </w:pPr>
      <w:r>
        <w:rPr>
          <w:color w:val="auto"/>
          <w:highlight w:val="none"/>
        </w:rPr>
        <w:t>为推行全过程咨询服务，保证工程质量、安全和工期，有效控制项目投资，范本分别制定了设计顾问人、监理人、造价咨询人等第三方咨询人参与</w:t>
      </w:r>
      <w:r>
        <w:rPr>
          <w:color w:val="auto"/>
          <w:sz w:val="24"/>
          <w:szCs w:val="24"/>
          <w:highlight w:val="none"/>
          <w:lang w:val="en-US" w:bidi="en-US"/>
        </w:rPr>
        <w:t>EPC</w:t>
      </w:r>
      <w:r>
        <w:rPr>
          <w:color w:val="auto"/>
          <w:highlight w:val="none"/>
        </w:rPr>
        <w:t>合同管理的相关条款。若发包人（项目业主）根据项目实际情况，委托</w:t>
      </w:r>
      <w:r>
        <w:rPr>
          <w:color w:val="auto"/>
          <w:sz w:val="24"/>
          <w:szCs w:val="24"/>
          <w:highlight w:val="none"/>
        </w:rPr>
        <w:t>1</w:t>
      </w:r>
      <w:r>
        <w:rPr>
          <w:color w:val="auto"/>
          <w:highlight w:val="none"/>
        </w:rPr>
        <w:t>家符合要求的咨询单位或多家咨询单位组成的联合体负责全过程咨询服务，合同当事人应在专用条款中约定将设计顾问人、监理人和（或）造价咨询人等第三方咨询人参与</w:t>
      </w:r>
      <w:r>
        <w:rPr>
          <w:color w:val="auto"/>
          <w:sz w:val="24"/>
          <w:szCs w:val="24"/>
          <w:highlight w:val="none"/>
          <w:lang w:val="en-US" w:bidi="en-US"/>
        </w:rPr>
        <w:t>EPC</w:t>
      </w:r>
      <w:r>
        <w:rPr>
          <w:color w:val="auto"/>
          <w:highlight w:val="none"/>
        </w:rPr>
        <w:t>合同管理的权利、责任和义务由</w:t>
      </w:r>
      <w:r>
        <w:rPr>
          <w:color w:val="auto"/>
          <w:sz w:val="24"/>
          <w:szCs w:val="24"/>
          <w:highlight w:val="none"/>
        </w:rPr>
        <w:t>1</w:t>
      </w:r>
      <w:r>
        <w:rPr>
          <w:color w:val="auto"/>
          <w:highlight w:val="none"/>
        </w:rPr>
        <w:t>家全过程咨询单位（包括联合体）承担，但通用条款的相关内容不做修改。</w:t>
      </w:r>
    </w:p>
    <w:p>
      <w:pPr>
        <w:pStyle w:val="167"/>
        <w:spacing w:after="0" w:line="497" w:lineRule="exact"/>
        <w:ind w:firstLine="480"/>
        <w:rPr>
          <w:color w:val="auto"/>
          <w:highlight w:val="none"/>
        </w:rPr>
      </w:pPr>
      <w:r>
        <w:rPr>
          <w:color w:val="auto"/>
          <w:highlight w:val="none"/>
        </w:rPr>
        <w:t>5、专用条款注意事项</w:t>
      </w:r>
    </w:p>
    <w:p>
      <w:pPr>
        <w:pStyle w:val="167"/>
        <w:spacing w:after="0" w:line="500" w:lineRule="exact"/>
        <w:ind w:firstLine="480"/>
        <w:jc w:val="both"/>
        <w:rPr>
          <w:color w:val="auto"/>
          <w:highlight w:val="none"/>
        </w:rPr>
      </w:pPr>
      <w:r>
        <w:rPr>
          <w:color w:val="auto"/>
          <w:highlight w:val="none"/>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pPr>
        <w:pStyle w:val="167"/>
        <w:spacing w:after="0" w:line="500" w:lineRule="exact"/>
        <w:ind w:firstLine="480"/>
        <w:jc w:val="both"/>
        <w:rPr>
          <w:color w:val="auto"/>
          <w:highlight w:val="none"/>
        </w:rPr>
      </w:pPr>
      <w:r>
        <w:rPr>
          <w:color w:val="auto"/>
          <w:highlight w:val="none"/>
        </w:rPr>
        <w:t>（1）专用条款的编号应与相应的通用条款的编号一致；</w:t>
      </w:r>
    </w:p>
    <w:p>
      <w:pPr>
        <w:pStyle w:val="167"/>
        <w:spacing w:after="0" w:line="500" w:lineRule="exact"/>
        <w:ind w:firstLine="480"/>
        <w:jc w:val="both"/>
        <w:rPr>
          <w:color w:val="auto"/>
          <w:highlight w:val="none"/>
        </w:rPr>
      </w:pPr>
      <w:r>
        <w:rPr>
          <w:color w:val="auto"/>
          <w:highlight w:val="none"/>
        </w:rPr>
        <w:t>（2）合同当事人可以通过对专用条款的补充、完善，满足具体工程的特殊要求，不得直接修改通用条款；</w:t>
      </w:r>
    </w:p>
    <w:p>
      <w:pPr>
        <w:pStyle w:val="167"/>
        <w:spacing w:after="0" w:line="500" w:lineRule="exact"/>
        <w:ind w:firstLine="480"/>
        <w:jc w:val="both"/>
        <w:rPr>
          <w:color w:val="auto"/>
          <w:highlight w:val="none"/>
        </w:rPr>
      </w:pPr>
      <w:r>
        <w:rPr>
          <w:color w:val="auto"/>
          <w:highlight w:val="none"/>
        </w:rPr>
        <w:t>（3）在专用条款中有横道线的地方，合同当事人可针对相应的通用条款进行细化、完善、补充或另行约定；如无细化、完善、补充或另行约定，则填写“无”或划“/”。</w:t>
      </w:r>
    </w:p>
    <w:p>
      <w:pPr>
        <w:pStyle w:val="167"/>
        <w:spacing w:after="0" w:line="497" w:lineRule="exact"/>
        <w:ind w:firstLine="480"/>
        <w:rPr>
          <w:color w:val="auto"/>
          <w:highlight w:val="none"/>
        </w:rPr>
      </w:pPr>
      <w:r>
        <w:rPr>
          <w:rFonts w:hint="eastAsia"/>
          <w:color w:val="auto"/>
          <w:highlight w:val="none"/>
          <w:lang w:val="en-US"/>
        </w:rPr>
        <w:t>6</w:t>
      </w:r>
      <w:r>
        <w:rPr>
          <w:rFonts w:hint="eastAsia"/>
          <w:color w:val="auto"/>
          <w:highlight w:val="none"/>
        </w:rPr>
        <w:t>、</w:t>
      </w:r>
      <w:r>
        <w:rPr>
          <w:color w:val="auto"/>
          <w:highlight w:val="none"/>
        </w:rPr>
        <w:t>示范文本非强制性使用</w:t>
      </w:r>
    </w:p>
    <w:p>
      <w:pPr>
        <w:pStyle w:val="167"/>
        <w:spacing w:after="0" w:line="494" w:lineRule="exact"/>
        <w:ind w:firstLine="480"/>
        <w:jc w:val="both"/>
        <w:rPr>
          <w:color w:val="auto"/>
          <w:highlight w:val="none"/>
        </w:rPr>
      </w:pPr>
      <w:r>
        <w:rPr>
          <w:color w:val="auto"/>
          <w:highlight w:val="none"/>
        </w:rPr>
        <w:t>《广州市建设工程总承包合同》</w:t>
      </w:r>
      <w:r>
        <w:rPr>
          <w:color w:val="auto"/>
          <w:sz w:val="24"/>
          <w:szCs w:val="24"/>
          <w:highlight w:val="none"/>
          <w:lang w:val="en-US" w:bidi="en-US"/>
        </w:rPr>
        <w:t>（SF-2022-0210）</w:t>
      </w:r>
      <w:r>
        <w:rPr>
          <w:color w:val="auto"/>
          <w:highlight w:val="none"/>
        </w:rPr>
        <w:t>为非强制性使用文本。发包人与承包人应结合建设工程具体情况，参考本示范文本订立合同，履行合同约定的合同权利义务，并承担相应的法律责任。</w:t>
      </w:r>
    </w:p>
    <w:p>
      <w:pPr>
        <w:pStyle w:val="167"/>
        <w:spacing w:after="0" w:line="497" w:lineRule="exact"/>
        <w:ind w:firstLine="480"/>
        <w:rPr>
          <w:color w:val="auto"/>
          <w:highlight w:val="none"/>
          <w:lang w:val="en-US"/>
        </w:rPr>
      </w:pPr>
      <w:r>
        <w:rPr>
          <w:rFonts w:hint="eastAsia"/>
          <w:color w:val="auto"/>
          <w:highlight w:val="none"/>
          <w:lang w:val="en-US"/>
        </w:rPr>
        <w:t>7、带★号的条文的要求</w:t>
      </w:r>
    </w:p>
    <w:p>
      <w:pPr>
        <w:pStyle w:val="167"/>
        <w:spacing w:after="0" w:line="494" w:lineRule="exact"/>
        <w:ind w:firstLine="480"/>
        <w:jc w:val="both"/>
        <w:rPr>
          <w:color w:val="auto"/>
          <w:highlight w:val="none"/>
        </w:rPr>
      </w:pPr>
      <w:r>
        <w:rPr>
          <w:color w:val="auto"/>
          <w:highlight w:val="none"/>
        </w:rPr>
        <w:t>通用条款中带</w:t>
      </w:r>
      <w:r>
        <w:rPr>
          <w:b/>
          <w:bCs/>
          <w:color w:val="auto"/>
          <w:highlight w:val="none"/>
        </w:rPr>
        <w:t>★</w:t>
      </w:r>
      <w:r>
        <w:rPr>
          <w:color w:val="auto"/>
          <w:highlight w:val="none"/>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color w:val="auto"/>
          <w:sz w:val="24"/>
          <w:szCs w:val="24"/>
          <w:highlight w:val="none"/>
          <w:lang w:val="en-US" w:bidi="en-US"/>
        </w:rPr>
        <w:t>（SF-2022-0210）</w:t>
      </w:r>
      <w:r>
        <w:rPr>
          <w:color w:val="auto"/>
          <w:highlight w:val="none"/>
        </w:rPr>
        <w:t>的内容，约定双方具体的权利义务。</w:t>
      </w:r>
    </w:p>
    <w:p>
      <w:pPr>
        <w:pStyle w:val="167"/>
        <w:spacing w:after="0" w:line="497" w:lineRule="exact"/>
        <w:ind w:firstLine="480"/>
        <w:rPr>
          <w:color w:val="auto"/>
          <w:highlight w:val="none"/>
          <w:lang w:val="en-US"/>
        </w:rPr>
      </w:pPr>
      <w:r>
        <w:rPr>
          <w:rFonts w:hint="eastAsia"/>
          <w:color w:val="auto"/>
          <w:highlight w:val="none"/>
          <w:lang w:val="en-US"/>
        </w:rPr>
        <w:t>8、“预付款”、“进度款”、“竣工结算”条款的要求</w:t>
      </w:r>
    </w:p>
    <w:p>
      <w:pPr>
        <w:pStyle w:val="167"/>
        <w:spacing w:after="0" w:line="494" w:lineRule="exact"/>
        <w:ind w:firstLine="480"/>
        <w:jc w:val="both"/>
        <w:rPr>
          <w:color w:val="auto"/>
          <w:highlight w:val="none"/>
        </w:rPr>
        <w:sectPr>
          <w:footerReference r:id="rId5" w:type="default"/>
          <w:footerReference r:id="rId6" w:type="even"/>
          <w:pgSz w:w="11900" w:h="16840"/>
          <w:pgMar w:top="1191" w:right="1361" w:bottom="1191" w:left="1361" w:header="680" w:footer="850" w:gutter="0"/>
          <w:pgNumType w:start="1"/>
          <w:cols w:space="0" w:num="1"/>
          <w:docGrid w:linePitch="360" w:charSpace="0"/>
        </w:sectPr>
      </w:pPr>
      <w:r>
        <w:rPr>
          <w:color w:val="auto"/>
          <w:highlight w:val="none"/>
        </w:rPr>
        <w:t>《广州市建设工程总承包合同》</w:t>
      </w:r>
      <w:r>
        <w:rPr>
          <w:color w:val="auto"/>
          <w:sz w:val="24"/>
          <w:szCs w:val="24"/>
          <w:highlight w:val="none"/>
          <w:lang w:val="en-US" w:bidi="en-US"/>
        </w:rPr>
        <w:t>（SF-2022-0210）</w:t>
      </w:r>
      <w:r>
        <w:rPr>
          <w:color w:val="auto"/>
          <w:highlight w:val="none"/>
        </w:rPr>
        <w:t>专用条款中的“预付款”、“进度款”、“竣工结算”条款，在签订合同时优先选择本合同中已列的支付条件、支付方式，如选择“其它方式”或“另作约定”形式的，需以合同附件的形式予以说明原因。</w:t>
      </w:r>
    </w:p>
    <w:p>
      <w:pPr>
        <w:spacing w:line="360" w:lineRule="auto"/>
        <w:jc w:val="center"/>
        <w:outlineLvl w:val="0"/>
        <w:rPr>
          <w:rFonts w:ascii="宋体"/>
          <w:b/>
          <w:bCs/>
          <w:color w:val="auto"/>
          <w:sz w:val="36"/>
          <w:szCs w:val="36"/>
          <w:highlight w:val="none"/>
          <w:lang w:eastAsia="zh-CN"/>
        </w:rPr>
      </w:pPr>
      <w:bookmarkStart w:id="0" w:name="_Toc22401"/>
      <w:bookmarkStart w:id="1" w:name="_Toc7011"/>
      <w:r>
        <w:rPr>
          <w:rFonts w:hint="eastAsia" w:ascii="宋体" w:hAnsi="宋体" w:cs="宋体"/>
          <w:b/>
          <w:bCs/>
          <w:color w:val="auto"/>
          <w:sz w:val="36"/>
          <w:szCs w:val="36"/>
          <w:highlight w:val="none"/>
          <w:lang w:eastAsia="zh-CN"/>
        </w:rPr>
        <w:t>第一部分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协</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议</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书</w:t>
      </w:r>
      <w:bookmarkEnd w:id="0"/>
      <w:bookmarkEnd w:id="1"/>
    </w:p>
    <w:p>
      <w:pPr>
        <w:spacing w:line="360" w:lineRule="auto"/>
        <w:jc w:val="center"/>
        <w:rPr>
          <w:rFonts w:ascii="宋体"/>
          <w:color w:val="auto"/>
          <w:sz w:val="36"/>
          <w:szCs w:val="36"/>
          <w:highlight w:val="none"/>
          <w:lang w:eastAsia="zh-CN"/>
        </w:rPr>
      </w:pPr>
    </w:p>
    <w:p>
      <w:pPr>
        <w:spacing w:line="360" w:lineRule="auto"/>
        <w:rPr>
          <w:rFonts w:ascii="仿宋" w:hAnsi="仿宋" w:eastAsia="仿宋"/>
          <w:b/>
          <w:color w:val="auto"/>
          <w:highlight w:val="none"/>
          <w:lang w:eastAsia="zh-CN"/>
        </w:rPr>
      </w:pPr>
      <w:r>
        <w:rPr>
          <w:rFonts w:hint="eastAsia" w:ascii="仿宋" w:hAnsi="仿宋" w:eastAsia="仿宋" w:cs="仿宋"/>
          <w:b/>
          <w:color w:val="auto"/>
          <w:highlight w:val="none"/>
          <w:lang w:eastAsia="zh-CN"/>
        </w:rPr>
        <w:t>发包人</w:t>
      </w:r>
      <w:r>
        <w:rPr>
          <w:rFonts w:ascii="仿宋" w:hAnsi="仿宋" w:eastAsia="仿宋" w:cs="仿宋"/>
          <w:b/>
          <w:color w:val="auto"/>
          <w:highlight w:val="none"/>
          <w:lang w:eastAsia="zh-CN"/>
        </w:rPr>
        <w:t>:</w:t>
      </w:r>
      <w:r>
        <w:rPr>
          <w:rFonts w:hint="eastAsia" w:ascii="仿宋" w:hAnsi="仿宋" w:eastAsia="仿宋" w:cs="仿宋"/>
          <w:b/>
          <w:color w:val="auto"/>
          <w:highlight w:val="none"/>
          <w:lang w:eastAsia="zh-CN"/>
        </w:rPr>
        <w:t>（全称）</w:t>
      </w:r>
      <w:r>
        <w:rPr>
          <w:rFonts w:hint="eastAsia" w:ascii="仿宋" w:hAnsi="仿宋" w:eastAsia="仿宋" w:cs="仿宋"/>
          <w:b/>
          <w:color w:val="auto"/>
          <w:highlight w:val="none"/>
          <w:u w:val="single"/>
          <w:lang w:eastAsia="zh-CN"/>
        </w:rPr>
        <w:t>中山大学附属第一医院</w:t>
      </w:r>
    </w:p>
    <w:p>
      <w:pPr>
        <w:spacing w:line="360" w:lineRule="auto"/>
        <w:rPr>
          <w:rFonts w:ascii="仿宋" w:hAnsi="仿宋" w:eastAsia="仿宋" w:cs="仿宋"/>
          <w:b/>
          <w:color w:val="auto"/>
          <w:highlight w:val="none"/>
          <w:u w:val="single"/>
          <w:lang w:eastAsia="zh-CN"/>
        </w:rPr>
      </w:pPr>
      <w:r>
        <w:rPr>
          <w:rFonts w:hint="eastAsia" w:ascii="仿宋" w:hAnsi="仿宋" w:eastAsia="仿宋" w:cs="仿宋"/>
          <w:b/>
          <w:color w:val="auto"/>
          <w:highlight w:val="none"/>
          <w:lang w:eastAsia="zh-CN"/>
        </w:rPr>
        <w:t>承包人：（全称）</w:t>
      </w:r>
      <w:r>
        <w:rPr>
          <w:rFonts w:hint="eastAsia" w:ascii="仿宋" w:hAnsi="仿宋" w:eastAsia="仿宋" w:cs="仿宋"/>
          <w:b/>
          <w:color w:val="auto"/>
          <w:highlight w:val="none"/>
          <w:u w:val="single"/>
          <w:lang w:eastAsia="zh-CN"/>
        </w:rPr>
        <w:tab/>
      </w:r>
      <w:r>
        <w:rPr>
          <w:rFonts w:hint="eastAsia" w:ascii="仿宋" w:hAnsi="仿宋" w:eastAsia="仿宋" w:cs="仿宋"/>
          <w:b/>
          <w:color w:val="auto"/>
          <w:highlight w:val="none"/>
          <w:u w:val="single"/>
          <w:lang w:eastAsia="zh-CN"/>
        </w:rPr>
        <w:t xml:space="preserve">                         </w:t>
      </w:r>
    </w:p>
    <w:p>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承包人（承包人为联合体时）：</w:t>
      </w:r>
    </w:p>
    <w:p>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（牵头单位全称）</w:t>
      </w:r>
      <w:r>
        <w:rPr>
          <w:rFonts w:hint="eastAsia" w:ascii="仿宋" w:hAnsi="仿宋" w:eastAsia="仿宋" w:cs="仿宋"/>
          <w:b/>
          <w:color w:val="auto"/>
          <w:highlight w:val="none"/>
          <w:u w:val="single"/>
          <w:lang w:eastAsia="zh-CN"/>
        </w:rPr>
        <w:tab/>
      </w:r>
      <w:r>
        <w:rPr>
          <w:rFonts w:hint="eastAsia" w:ascii="仿宋" w:hAnsi="仿宋" w:eastAsia="仿宋" w:cs="仿宋"/>
          <w:b/>
          <w:color w:val="auto"/>
          <w:highlight w:val="none"/>
          <w:u w:val="single"/>
          <w:lang w:eastAsia="zh-CN"/>
        </w:rPr>
        <w:t xml:space="preserve">                            </w:t>
      </w:r>
    </w:p>
    <w:p>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（成员单位全称）</w:t>
      </w:r>
      <w:r>
        <w:rPr>
          <w:rFonts w:hint="eastAsia" w:ascii="仿宋" w:hAnsi="仿宋" w:eastAsia="仿宋" w:cs="仿宋"/>
          <w:b/>
          <w:color w:val="auto"/>
          <w:highlight w:val="none"/>
          <w:u w:val="single"/>
          <w:lang w:eastAsia="zh-CN"/>
        </w:rPr>
        <w:tab/>
      </w:r>
      <w:r>
        <w:rPr>
          <w:rFonts w:hint="eastAsia" w:ascii="仿宋" w:hAnsi="仿宋" w:eastAsia="仿宋" w:cs="仿宋"/>
          <w:b/>
          <w:color w:val="auto"/>
          <w:highlight w:val="none"/>
          <w:u w:val="single"/>
          <w:lang w:eastAsia="zh-CN"/>
        </w:rPr>
        <w:t xml:space="preserve">                            </w:t>
      </w:r>
    </w:p>
    <w:p>
      <w:pPr>
        <w:spacing w:line="360" w:lineRule="auto"/>
        <w:rPr>
          <w:rFonts w:ascii="仿宋" w:hAnsi="仿宋" w:eastAsia="仿宋" w:cs="仿宋"/>
          <w:b/>
          <w:color w:val="auto"/>
          <w:highlight w:val="none"/>
          <w:lang w:eastAsia="zh-CN"/>
        </w:rPr>
      </w:pP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pPr>
        <w:spacing w:line="360" w:lineRule="auto"/>
        <w:rPr>
          <w:rFonts w:ascii="仿宋" w:hAnsi="仿宋" w:eastAsia="仿宋" w:cs="仿宋"/>
          <w:b/>
          <w:bCs/>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2" w:name="_Toc11487"/>
      <w:bookmarkStart w:id="3" w:name="_Toc26526"/>
      <w:bookmarkStart w:id="4" w:name="_Toc16065"/>
      <w:bookmarkStart w:id="5" w:name="_Toc47694255"/>
      <w:r>
        <w:rPr>
          <w:rFonts w:hint="eastAsia" w:ascii="仿宋" w:hAnsi="仿宋" w:eastAsia="仿宋" w:cs="仿宋"/>
          <w:b/>
          <w:bCs/>
          <w:color w:val="auto"/>
          <w:highlight w:val="none"/>
          <w:lang w:eastAsia="zh-CN"/>
        </w:rPr>
        <w:t>一、工程概况</w:t>
      </w:r>
      <w:bookmarkEnd w:id="2"/>
      <w:bookmarkEnd w:id="3"/>
      <w:bookmarkEnd w:id="4"/>
      <w:bookmarkEnd w:id="5"/>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立项批文编号或广东省企业基本建设投资项目备案证备案项目编号：</w:t>
      </w:r>
      <w:r>
        <w:rPr>
          <w:rFonts w:hint="eastAsia" w:ascii="仿宋" w:hAnsi="仿宋" w:eastAsia="仿宋" w:cs="仿宋"/>
          <w:color w:val="auto"/>
          <w:highlight w:val="none"/>
          <w:u w:val="single"/>
          <w:lang w:eastAsia="zh-CN"/>
        </w:rPr>
        <w:t>国卫规划函[</w:t>
      </w:r>
      <w:r>
        <w:rPr>
          <w:rFonts w:ascii="仿宋" w:hAnsi="仿宋" w:eastAsia="仿宋" w:cs="仿宋"/>
          <w:color w:val="auto"/>
          <w:highlight w:val="none"/>
          <w:u w:val="single"/>
          <w:lang w:eastAsia="zh-CN"/>
        </w:rPr>
        <w:t>20</w:t>
      </w:r>
      <w:r>
        <w:rPr>
          <w:rFonts w:hint="eastAsia" w:ascii="仿宋" w:hAnsi="仿宋" w:eastAsia="仿宋" w:cs="仿宋"/>
          <w:color w:val="auto"/>
          <w:highlight w:val="none"/>
          <w:u w:val="single"/>
          <w:lang w:eastAsia="zh-CN"/>
        </w:rPr>
        <w:t>23</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36号</w:t>
      </w:r>
      <w:r>
        <w:rPr>
          <w:rFonts w:ascii="仿宋" w:hAnsi="仿宋" w:eastAsia="仿宋" w:cs="仿宋"/>
          <w:color w:val="auto"/>
          <w:highlight w:val="none"/>
          <w:u w:val="single"/>
          <w:lang w:eastAsia="zh-CN"/>
        </w:rPr>
        <w:t xml:space="preserve"> </w:t>
      </w:r>
    </w:p>
    <w:p>
      <w:pPr>
        <w:spacing w:line="360" w:lineRule="auto"/>
        <w:ind w:firstLine="46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项目名称：</w:t>
      </w:r>
      <w:r>
        <w:rPr>
          <w:rFonts w:hint="eastAsia" w:ascii="仿宋" w:hAnsi="仿宋" w:eastAsia="仿宋" w:cs="仿宋"/>
          <w:color w:val="auto"/>
          <w:highlight w:val="none"/>
          <w:u w:val="single"/>
          <w:lang w:eastAsia="zh-CN"/>
        </w:rPr>
        <w:t>中山大学附属第一医院东院区改扩建工程</w:t>
      </w:r>
    </w:p>
    <w:p>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建设地点：</w:t>
      </w:r>
      <w:r>
        <w:rPr>
          <w:rFonts w:hint="eastAsia" w:ascii="仿宋" w:hAnsi="仿宋" w:eastAsia="仿宋" w:cs="仿宋"/>
          <w:color w:val="auto"/>
          <w:highlight w:val="none"/>
          <w:u w:val="single"/>
          <w:lang w:eastAsia="zh-CN"/>
        </w:rPr>
        <w:t>黄埔区黄埔东路183号</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合同类型：□设计、采购、施工合同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☑勘察、设计、施工合同</w:t>
      </w:r>
    </w:p>
    <w:p>
      <w:pPr>
        <w:spacing w:line="360" w:lineRule="auto"/>
        <w:ind w:firstLine="1699" w:firstLineChars="708"/>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合同签订阶段：☑可行性研究批准立项或者备案后   □初步设计批准后</w:t>
      </w:r>
    </w:p>
    <w:p>
      <w:pPr>
        <w:spacing w:line="360" w:lineRule="auto"/>
        <w:ind w:firstLine="2210" w:firstLineChars="921"/>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p>
    <w:p>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工程规模：</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新建一栋综合住院大楼及发热门诊，配套室外液氧站。建设内容包括七项设施用房、大型医疗设备用房、培训用房、文化活动用房、便民服务用房、室外工程及配套公用工程。项目新建建筑面积为172000㎡，其中地上建筑面积为116520㎡，地下建筑面积55480㎡。最大跨度约16米，最大单体（综合住院大楼，不含地下室）建筑面积为115035㎡，高度99.9米。</w:t>
      </w:r>
    </w:p>
    <w:p>
      <w:pPr>
        <w:pStyle w:val="40"/>
        <w:rPr>
          <w:color w:val="auto"/>
          <w:highlight w:val="none"/>
          <w:lang w:val="en-US"/>
        </w:rPr>
      </w:pPr>
      <w:r>
        <w:rPr>
          <w:rFonts w:hint="eastAsia" w:ascii="仿宋" w:hAnsi="仿宋" w:eastAsia="仿宋" w:cs="仿宋"/>
          <w:color w:val="auto"/>
          <w:highlight w:val="none"/>
        </w:rPr>
        <w:t>工程估算总投资为220407万元。</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r>
        <w:rPr>
          <w:rFonts w:hint="eastAsia" w:ascii="仿宋" w:hAnsi="仿宋" w:eastAsia="仿宋" w:cs="仿宋"/>
          <w:color w:val="auto"/>
          <w:highlight w:val="none"/>
          <w:u w:val="single"/>
          <w:lang w:eastAsia="zh-CN"/>
        </w:rPr>
        <w:t xml:space="preserve">钢筋混凝土框架-核心筒结构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BIM技术应用：□本项目不采用BIM技术应用</w:t>
      </w:r>
    </w:p>
    <w:p>
      <w:pPr>
        <w:spacing w:line="360" w:lineRule="auto"/>
        <w:ind w:left="2170" w:leftChars="904"/>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☑本项目采用BIM技术应用：</w:t>
      </w:r>
    </w:p>
    <w:p>
      <w:pPr>
        <w:spacing w:line="360" w:lineRule="auto"/>
        <w:ind w:left="2424" w:leftChars="910" w:hanging="240" w:hangingChars="100"/>
        <w:rPr>
          <w:rFonts w:ascii="仿宋" w:hAnsi="仿宋" w:eastAsia="仿宋" w:cs="仿宋"/>
          <w:color w:val="auto"/>
          <w:highlight w:val="none"/>
        </w:rPr>
      </w:pPr>
      <w:r>
        <w:rPr>
          <w:rFonts w:hint="eastAsia" w:ascii="仿宋" w:hAnsi="仿宋" w:eastAsia="仿宋" w:cs="仿宋"/>
          <w:color w:val="auto"/>
          <w:highlight w:val="none"/>
        </w:rPr>
        <w:t>1、选用平台：</w:t>
      </w:r>
      <w:r>
        <w:rPr>
          <w:rFonts w:hint="eastAsia" w:ascii="仿宋" w:hAnsi="仿宋" w:eastAsia="仿宋" w:cs="仿宋"/>
          <w:color w:val="auto"/>
          <w:highlight w:val="none"/>
          <w:lang w:eastAsia="zh-CN"/>
        </w:rPr>
        <w:t>☑</w:t>
      </w:r>
      <w:r>
        <w:rPr>
          <w:rFonts w:hint="eastAsia" w:ascii="宋体" w:hAnsi="宋体"/>
          <w:color w:val="auto"/>
          <w:highlight w:val="none"/>
        </w:rPr>
        <w:t>Revit</w:t>
      </w:r>
      <w:r>
        <w:rPr>
          <w:rFonts w:hint="eastAsia" w:ascii="宋体" w:hAnsi="宋体"/>
          <w:color w:val="auto"/>
          <w:highlight w:val="none"/>
          <w:lang w:eastAsia="zh-CN"/>
        </w:rPr>
        <w:t>2016</w:t>
      </w:r>
      <w:r>
        <w:rPr>
          <w:rFonts w:hint="eastAsia" w:ascii="宋体" w:hAnsi="宋体"/>
          <w:color w:val="auto"/>
          <w:highlight w:val="none"/>
        </w:rPr>
        <w:t xml:space="preserve">  </w:t>
      </w:r>
      <w:r>
        <w:rPr>
          <w:rFonts w:hint="eastAsia" w:ascii="仿宋" w:hAnsi="仿宋" w:eastAsia="仿宋" w:cs="仿宋"/>
          <w:color w:val="auto"/>
          <w:highlight w:val="none"/>
          <w:lang w:eastAsia="zh-CN"/>
        </w:rPr>
        <w:t>☑</w:t>
      </w:r>
      <w:r>
        <w:rPr>
          <w:rFonts w:ascii="宋体" w:hAnsi="宋体"/>
          <w:color w:val="auto"/>
          <w:highlight w:val="none"/>
        </w:rPr>
        <w:t>Navisworks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Bentley Navigator</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Tekla Structures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ArchiCAD</w:t>
      </w:r>
      <w:r>
        <w:rPr>
          <w:rFonts w:hint="eastAsia" w:ascii="宋体" w:hAnsi="宋体"/>
          <w:color w:val="auto"/>
          <w:highlight w:val="none"/>
        </w:rPr>
        <w:t xml:space="preserve">  </w:t>
      </w:r>
      <w:r>
        <w:rPr>
          <w:rFonts w:hint="eastAsia" w:ascii="宋体" w:hAnsi="宋体" w:cs="仿宋"/>
          <w:color w:val="auto"/>
          <w:highlight w:val="none"/>
        </w:rPr>
        <w:t>□</w:t>
      </w:r>
      <w:r>
        <w:rPr>
          <w:rFonts w:hint="eastAsia" w:ascii="宋体" w:hAnsi="宋体"/>
          <w:color w:val="auto"/>
          <w:highlight w:val="none"/>
        </w:rPr>
        <w:t xml:space="preserve">OpenPlant  </w:t>
      </w:r>
      <w:r>
        <w:rPr>
          <w:rFonts w:hint="eastAsia" w:ascii="宋体" w:hAnsi="宋体" w:cs="仿宋"/>
          <w:color w:val="auto"/>
          <w:highlight w:val="none"/>
        </w:rPr>
        <w:t>□</w:t>
      </w:r>
      <w:r>
        <w:rPr>
          <w:rFonts w:hint="eastAsia" w:ascii="仿宋" w:hAnsi="仿宋" w:eastAsia="仿宋" w:cs="仿宋"/>
          <w:color w:val="auto"/>
          <w:highlight w:val="none"/>
        </w:rPr>
        <w:t>Rebro  □其他：</w:t>
      </w:r>
      <w:r>
        <w:rPr>
          <w:rFonts w:hint="eastAsia" w:ascii="仿宋" w:hAnsi="仿宋" w:eastAsia="仿宋" w:cs="仿宋"/>
          <w:color w:val="auto"/>
          <w:highlight w:val="none"/>
          <w:u w:val="single"/>
        </w:rPr>
        <w:t xml:space="preserve">           </w:t>
      </w:r>
    </w:p>
    <w:p>
      <w:pPr>
        <w:spacing w:line="360" w:lineRule="auto"/>
        <w:ind w:left="2424" w:leftChars="910" w:hanging="240" w:hanging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2、应用阶段：□设计施工运营三阶段应用  </w:t>
      </w:r>
      <w:r>
        <w:rPr>
          <w:rFonts w:hint="eastAsia" w:ascii="宋体" w:hAnsi="宋体"/>
          <w:color w:val="auto"/>
          <w:highlight w:val="none"/>
        </w:rPr>
        <w:t xml:space="preserve"> </w:t>
      </w:r>
      <w:r>
        <w:rPr>
          <w:rFonts w:hint="eastAsia" w:ascii="仿宋" w:hAnsi="仿宋" w:eastAsia="仿宋" w:cs="仿宋"/>
          <w:color w:val="auto"/>
          <w:highlight w:val="none"/>
          <w:lang w:eastAsia="zh-CN"/>
        </w:rPr>
        <w:t>☑设计与施工联合应用  □施工与运维联合应用  □其它</w:t>
      </w:r>
      <w:r>
        <w:rPr>
          <w:rFonts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资金来源：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中央财政、地方财政（广东省、广州市、黄埔区）和医院自筹</w:t>
      </w:r>
      <w:r>
        <w:rPr>
          <w:rFonts w:ascii="仿宋" w:hAnsi="仿宋" w:eastAsia="仿宋" w:cs="仿宋"/>
          <w:color w:val="auto"/>
          <w:highlight w:val="none"/>
          <w:u w:val="single"/>
          <w:lang w:eastAsia="zh-CN"/>
        </w:rPr>
        <w:t xml:space="preserve"> </w:t>
      </w:r>
    </w:p>
    <w:p>
      <w:pPr>
        <w:spacing w:line="360" w:lineRule="auto"/>
        <w:ind w:firstLine="480"/>
        <w:rPr>
          <w:rFonts w:ascii="仿宋" w:hAnsi="仿宋" w:eastAsia="仿宋"/>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6" w:name="_Toc47694256"/>
      <w:bookmarkStart w:id="7" w:name="_Toc9745"/>
      <w:bookmarkStart w:id="8" w:name="_Toc10817"/>
      <w:bookmarkStart w:id="9" w:name="_Toc20231"/>
      <w:r>
        <w:rPr>
          <w:rFonts w:hint="eastAsia" w:ascii="仿宋" w:hAnsi="仿宋" w:eastAsia="仿宋" w:cs="仿宋"/>
          <w:b/>
          <w:bCs/>
          <w:color w:val="auto"/>
          <w:highlight w:val="none"/>
          <w:lang w:eastAsia="zh-CN"/>
        </w:rPr>
        <w:t>二、总承包范围与工程内容</w:t>
      </w:r>
      <w:bookmarkEnd w:id="6"/>
      <w:bookmarkEnd w:id="7"/>
      <w:bookmarkEnd w:id="8"/>
      <w:bookmarkEnd w:id="9"/>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1.总承包范围</w:t>
      </w:r>
      <w:r>
        <w:rPr>
          <w:rFonts w:ascii="仿宋" w:hAnsi="仿宋" w:eastAsia="仿宋" w:cs="仿宋"/>
          <w:color w:val="auto"/>
          <w:highlight w:val="none"/>
          <w:lang w:eastAsia="zh-CN"/>
        </w:rPr>
        <w:t>:</w:t>
      </w:r>
    </w:p>
    <w:p>
      <w:pPr>
        <w:spacing w:line="360" w:lineRule="auto"/>
        <w:ind w:firstLine="480" w:firstLineChars="200"/>
        <w:rPr>
          <w:rFonts w:ascii="宋体" w:hAnsi="宋体" w:cs="宋体"/>
          <w:color w:val="auto"/>
          <w:highlight w:val="none"/>
          <w:lang w:eastAsia="zh-CN"/>
        </w:rPr>
      </w:pPr>
      <w:r>
        <w:rPr>
          <w:rFonts w:hint="eastAsia" w:ascii="仿宋" w:hAnsi="仿宋" w:eastAsia="仿宋" w:cs="仿宋"/>
          <w:color w:val="auto"/>
          <w:highlight w:val="none"/>
          <w:lang w:eastAsia="zh-CN"/>
        </w:rPr>
        <w:t>☑勘察</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（按本项目招标公告）。</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（按本项目招标公告）。</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□采购</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承包范围：（按本项目招标公告）。</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bCs/>
          <w:color w:val="auto"/>
          <w:highlight w:val="none"/>
          <w:lang w:eastAsia="zh-CN"/>
        </w:rPr>
        <w:t>BIM技术应用</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本项目BIM技术应用由设计单位负责组织实施。范围包括：按本项目招标公告）</w:t>
      </w:r>
      <w:r>
        <w:rPr>
          <w:rFonts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2.工程内容</w:t>
      </w:r>
      <w:r>
        <w:rPr>
          <w:rFonts w:ascii="仿宋" w:hAnsi="仿宋" w:eastAsia="仿宋" w:cs="仿宋"/>
          <w:color w:val="auto"/>
          <w:highlight w:val="none"/>
          <w:lang w:eastAsia="zh-CN"/>
        </w:rPr>
        <w:t>:</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2.1.1工程前期阶段</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（1）现状摸查及编制摸查报告,场地岩土工程勘察，包括但不限于初步勘察、详细勘察、超前钻、物探、地下管线探测、土壤氡浓度检测、抽水试验等工作。</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（2）本项目全过程设计，包括：负责配合项目的修规调整，负责方案设计、报建图设计和报建通编制、初步设计（含初步设计概算）、施工图设计及报审。范围主要包括：</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设计内容（本项目可研批复范围内，包括但不限于）：建筑、结构、室内装修、人防、给排水、强电（含高压、照明）、暖通、消防（到末端）、弱电、交通流线、室外红线范围内的道路、广场、室外绿化、景观；室外其他专业工程，包括室外电气、路灯（含光纤电缆）、室外给排水、消防、外水、外电等。</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2）项目场地软基处理设计（含第三方监测方案）；涉及项目的其他专业设计（如市政高压进线工程、高低压配电工程、钢结构，钢网架、幕墙等）。</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其他工作内容（本项目可研批复范围内，包括但不限于）：场地岩土工程勘察、配合修建性详细规划设计、方案优化、方案报建、初步设计、施工图设计、编制工程概算、通过施工图审查以及政府要求的其他审查工作。参加图纸会审、技术交底、施工现场指导和配合服务、施工阶段至竣工验收全过程的各项服务（含设计驻场）工作。</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BIM技术运用：本项目要求充分运用BIM技术，要求在设计阶段利用BIM模块进行参数化设计、日照能耗分析、交通线规划、管线优化、结构分析、风向分析、环境分析、造价分析等等；并利用BIM建模来优化设计、保证有效衔接施工管理工作。</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2.1.2工程施工阶段</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本工程项目设计（含可研）范围内所有工程内容的施工（包工、包料、包税、包工期、包质量、包安全生产、包文明施工、包劳保、包验收、包保修。包承包范围内工程验收通过、包移交、包结算、包资料整理、包施工承包管理和现场整体组织、包专业协调及配合、包保修等），施工范围包括但不限于：地下室工程（包括：土方工程、基坑支护、桩基工程、土建工程、装饰工程、安装工程、电气工程、给排水工程、消防工程（含消防弱电工程）、通风防排烟工程、弱电工程、人防工程）、地上工程（包括：土建工程、装饰工程、安装工程（含：电气工程、给排水工程、消防工程（含消防弱电工程）、通风空调工程、弱电工程、电梯工程））、室外与配套公用工程（包括：道路广场、给排水及消防、供配电工程、弱电及智能化工程、路灯及室外泛光工程、绿化工程、标识系统）、绿色建筑等。</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负责办理工程开工及验收所需的各项报监、报建、报验手续，包括但不限于办理施工许可证(或临时施工许可)、报监手续、余泥排放证、排污手续、排水接驳、水质检测、排水许可证、临水临电、水电气等专业报建报装、分项分部工程验收、环保验收、消防验收、人防验收、卫生验收、永久排水许可证、节能验收、质量验收、规划验收、永久用电用水验收等工作，并支付办理上述工作中应由承包人承担的费用。</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BIM技术运用：本项目要求充分运用BIM，利用BIM模块进行施工模拟、方案优化、施工安全、进度控制、造价分析、实时反馈、工程自动化、供应链管理、场地布局规划、建筑垃圾处理等等。承包人应当按发包人要求提交成果文件，包括但不限于：符合招标文件要求的BIM模型；根据监理单位及发包人要求完成的碰撞检测报告和阶段成果报告；根据监理单位及发包人要求提交相应的模型渲染图，可视化效果真实的漫游动画以及施工组织模拟动画和施工进度模拟动画，渲染图和动画的材质贴图与设计要求一致，灯光效果与现场实际相符。项目结束时承包人应向发包人提交真实准确的竣工BIM文件，包括BIM模型、BIM应用资料和相关数据文本等。项目中的BIM模型成果及过程中产生的数据（含BIM模型软硬件）都归本项目业主单位所有。</w:t>
      </w:r>
    </w:p>
    <w:p>
      <w:pPr>
        <w:widowControl w:val="0"/>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（3）完成按有关规定应由承包人负责的检验监测工作，及配合发包人委托的第三方检测工作，由此发生的附属工程及工作费用承包人在投标报价时综合考虑，发包人不再另行支付。</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负责施工期间至移交前的场地管理、保安、保洁、防噪音、防扬尘及绿化养护等管理工作；负责设置卫生垃圾池和建筑垃圾外运工作；负责设置施工污水收集过滤系统，保证污水排放不得影响周边环境；配合发包人做好各项迎检工作，对场地进行清扫和布置。</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（5）项目红线范围内的场地围蔽施工及至本合同项下全部工程移交前的保修维护工作（该部分费用包含在承包人合同价款中）。</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6）组织本项目的整体竣工验收及备案和整体工程资料汇总及整理归档工作，包括结算资料整理汇总、施工图预算编制、竣工图编制及签审、规划验收电子报批文件、设计变更（含造价分析）；在本工程范围内工程资料正式移交给发包人及相关建设主管部门之前所产生的费用均包括在承包人合同价款中。</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2.1.3工程建设其他服务：包括但不限于：城市基础设施配套、场地准备及临时设施、工程保险、水土保持方案编制、绿色建筑工程咨询、地质灾害危险性评估、地震安全性评价、消防性能化设计评估、高可靠性供电、消防设施检测、测量测绘、劳动安全卫生评价、专项评价及验收、旧房拆除、雷电灾害风险评估等。</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2.1.4如承包人不具备项目中各专业部分的相应资质，承包人应在征得发包人同意后专业分包给具备相关资质的单位并签订分包合同。</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2.1.5根据发包人、设计任务书、技术需求书等要求进行限额设计及施工。</w:t>
      </w:r>
    </w:p>
    <w:p>
      <w:pPr>
        <w:spacing w:line="360" w:lineRule="auto"/>
        <w:ind w:firstLine="523" w:firstLineChars="21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2.1.6本次合同范围不含：由招标人实施的对本工程的建设管理、项目前期咨询、工程招标、工程建设监理、检验监测、全过程造价咨询服务、结算审核；本建设项目的其他工程建设内容均纳入本次合同范围。</w:t>
      </w:r>
    </w:p>
    <w:p>
      <w:pPr>
        <w:pStyle w:val="40"/>
        <w:rPr>
          <w:color w:val="auto"/>
          <w:highlight w:val="none"/>
          <w:lang w:bidi="en-US"/>
        </w:rPr>
      </w:pPr>
    </w:p>
    <w:p>
      <w:pPr>
        <w:spacing w:line="360" w:lineRule="auto"/>
        <w:outlineLvl w:val="1"/>
        <w:rPr>
          <w:rFonts w:ascii="仿宋" w:hAnsi="仿宋" w:eastAsia="仿宋" w:cs="仿宋"/>
          <w:b/>
          <w:bCs/>
          <w:color w:val="auto"/>
          <w:highlight w:val="none"/>
          <w:lang w:eastAsia="zh-CN"/>
        </w:rPr>
      </w:pPr>
      <w:bookmarkStart w:id="10" w:name="_Toc47694257"/>
      <w:bookmarkStart w:id="11" w:name="_Toc26421"/>
      <w:bookmarkStart w:id="12" w:name="_Toc28858"/>
      <w:bookmarkStart w:id="13" w:name="_Toc1556"/>
      <w:r>
        <w:rPr>
          <w:rFonts w:hint="eastAsia" w:ascii="仿宋" w:hAnsi="仿宋" w:eastAsia="仿宋" w:cs="仿宋"/>
          <w:b/>
          <w:bCs/>
          <w:color w:val="auto"/>
          <w:highlight w:val="none"/>
          <w:lang w:eastAsia="zh-CN"/>
        </w:rPr>
        <w:t>★三、质量标准和要求</w:t>
      </w:r>
      <w:bookmarkEnd w:id="10"/>
      <w:bookmarkEnd w:id="11"/>
      <w:bookmarkEnd w:id="12"/>
      <w:bookmarkEnd w:id="13"/>
    </w:p>
    <w:p>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勘察标准和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（勘察</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及勘察目标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符合建设工程勘察设计的相关标准、规范及本工程勘察设计任务书的要求。</w:t>
      </w:r>
      <w:r>
        <w:rPr>
          <w:rFonts w:ascii="仿宋" w:hAnsi="仿宋" w:eastAsia="仿宋"/>
          <w:color w:val="auto"/>
          <w:highlight w:val="none"/>
          <w:u w:val="single"/>
          <w:lang w:eastAsia="zh-CN"/>
        </w:rPr>
        <w:t xml:space="preserve"> </w:t>
      </w:r>
    </w:p>
    <w:p>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设计标准和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（设计</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w:t>
      </w:r>
      <w:r>
        <w:rPr>
          <w:rFonts w:ascii="仿宋" w:hAnsi="仿宋" w:eastAsia="仿宋"/>
          <w:color w:val="auto"/>
          <w:highlight w:val="none"/>
          <w:lang w:eastAsia="zh-CN"/>
        </w:rPr>
        <w:t>限额设计</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符合《建设工程质量管理条例》、《建设工程勘察设计管理条例》、《建筑工程设计文件编制深度规定（2016年版）》等国家及地方有关工程设计管理法规和规章，达到行业相关规范技术标准等要求。设计标识/运行标识认证达到绿色建筑二星认证。</w:t>
      </w:r>
    </w:p>
    <w:p>
      <w:pPr>
        <w:kinsoku w:val="0"/>
        <w:wordWrap w:val="0"/>
        <w:spacing w:line="360" w:lineRule="auto"/>
        <w:ind w:left="480" w:leftChars="200"/>
        <w:rPr>
          <w:rFonts w:ascii="仿宋" w:hAnsi="仿宋"/>
          <w:color w:val="auto"/>
          <w:highlight w:val="none"/>
          <w:u w:val="single"/>
          <w:lang w:eastAsia="zh-CN"/>
        </w:rPr>
      </w:pPr>
      <w:r>
        <w:rPr>
          <w:rFonts w:hint="eastAsia" w:ascii="仿宋" w:hAnsi="仿宋" w:eastAsia="仿宋" w:cs="仿宋"/>
          <w:color w:val="auto"/>
          <w:highlight w:val="none"/>
          <w:lang w:eastAsia="zh-CN"/>
        </w:rPr>
        <w:t>☑BIM技术应用</w:t>
      </w:r>
      <w:r>
        <w:rPr>
          <w:rFonts w:ascii="仿宋" w:hAnsi="仿宋" w:eastAsia="仿宋"/>
          <w:color w:val="auto"/>
          <w:highlight w:val="none"/>
          <w:lang w:eastAsia="zh-CN"/>
        </w:rPr>
        <w:t>要求</w:t>
      </w:r>
      <w:r>
        <w:rPr>
          <w:rFonts w:hint="eastAsia" w:ascii="仿宋" w:hAnsi="仿宋" w:eastAsia="仿宋"/>
          <w:color w:val="auto"/>
          <w:highlight w:val="none"/>
          <w:lang w:eastAsia="zh-CN"/>
        </w:rPr>
        <w:t>（建筑信息模型（BIM）、应用及协调管理目标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符合行业现行标准。</w:t>
      </w:r>
    </w:p>
    <w:p>
      <w:pPr>
        <w:kinsoku w:val="0"/>
        <w:wordWrap w:val="0"/>
        <w:spacing w:line="360" w:lineRule="auto"/>
        <w:ind w:left="480" w:leftChars="200"/>
        <w:rPr>
          <w:rFonts w:ascii="仿宋" w:hAnsi="仿宋" w:eastAsia="仿宋"/>
          <w:strike/>
          <w:color w:val="auto"/>
          <w:highlight w:val="none"/>
          <w:lang w:eastAsia="zh-CN"/>
        </w:rPr>
      </w:pPr>
      <w:r>
        <w:rPr>
          <w:rFonts w:hint="eastAsia" w:ascii="仿宋" w:hAnsi="仿宋" w:eastAsia="仿宋" w:cs="仿宋"/>
          <w:color w:val="auto"/>
          <w:highlight w:val="none"/>
          <w:lang w:eastAsia="zh-CN"/>
        </w:rPr>
        <w:t>□设备及工器具购置</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strike/>
          <w:color w:val="auto"/>
          <w:highlight w:val="none"/>
          <w:lang w:eastAsia="zh-CN"/>
        </w:rPr>
        <w:t xml:space="preserve">             </w:t>
      </w:r>
    </w:p>
    <w:p>
      <w:pPr>
        <w:kinsoku w:val="0"/>
        <w:wordWrap w:val="0"/>
        <w:spacing w:line="360" w:lineRule="auto"/>
        <w:ind w:left="480" w:leftChars="200"/>
        <w:rPr>
          <w:color w:val="auto"/>
          <w:highlight w:val="none"/>
          <w:lang w:eastAsia="zh-CN"/>
        </w:rPr>
      </w:pPr>
      <w:r>
        <w:rPr>
          <w:rFonts w:hint="eastAsia" w:ascii="仿宋" w:hAnsi="仿宋" w:eastAsia="仿宋" w:cs="仿宋"/>
          <w:color w:val="auto"/>
          <w:highlight w:val="none"/>
          <w:lang w:eastAsia="zh-CN"/>
        </w:rPr>
        <w:t>□装配式构件采购标准和要求（性能、参数、品质、产能等管理目标）：</w:t>
      </w:r>
      <w:r>
        <w:rPr>
          <w:rFonts w:hint="eastAsia" w:ascii="仿宋" w:hAnsi="仿宋" w:eastAsia="仿宋"/>
          <w:strike/>
          <w:color w:val="auto"/>
          <w:highlight w:val="none"/>
          <w:lang w:eastAsia="zh-CN"/>
        </w:rPr>
        <w:t xml:space="preserve">             </w:t>
      </w:r>
    </w:p>
    <w:p>
      <w:pPr>
        <w:kinsoku w:val="0"/>
        <w:wordWrap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☑工程质量标准和要求（施工质量及项目成效目标）：</w:t>
      </w:r>
      <w:r>
        <w:rPr>
          <w:rFonts w:hint="eastAsia" w:ascii="仿宋" w:hAnsi="仿宋" w:eastAsia="仿宋" w:cs="仿宋"/>
          <w:color w:val="auto"/>
          <w:highlight w:val="none"/>
          <w:u w:val="single"/>
          <w:lang w:eastAsia="zh-CN"/>
        </w:rPr>
        <w:t>合格，符合设计图纸要求和国家、省、市相关法律法规规定要求及行业颁发的工程质量验收标准。按照国家最新颁布《建筑工程施工质量验收统一标准》（GB 50300-2013）及相应配套的各专业验收规范，一次验收合格</w:t>
      </w:r>
      <w:r>
        <w:rPr>
          <w:rFonts w:hint="eastAsia" w:ascii="仿宋" w:hAnsi="仿宋" w:eastAsia="仿宋" w:cs="仿宋"/>
          <w:color w:val="auto"/>
          <w:highlight w:val="none"/>
          <w:lang w:eastAsia="zh-CN"/>
        </w:rPr>
        <w:t>。</w:t>
      </w:r>
    </w:p>
    <w:p>
      <w:pPr>
        <w:kinsoku w:val="0"/>
        <w:wordWrap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☑绿色建筑建设目标：□一星 ☑二星  □三星</w:t>
      </w:r>
    </w:p>
    <w:p>
      <w:pPr>
        <w:kinsoku w:val="0"/>
        <w:wordWrap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评价标准：☑《绿色建筑评价标准》(GB/T 50378-2019） □《广东省绿色建筑评价标准》（DBJ/T 15-83-2017）  □其它：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                         </w:t>
      </w:r>
    </w:p>
    <w:p>
      <w:pPr>
        <w:kinsoku w:val="0"/>
        <w:wordWrap w:val="0"/>
        <w:spacing w:line="360" w:lineRule="auto"/>
        <w:ind w:left="480" w:leftChars="200" w:firstLine="275" w:firstLineChars="114"/>
        <w:rPr>
          <w:rFonts w:ascii="仿宋" w:hAnsi="仿宋" w:eastAsia="仿宋" w:cs="仿宋"/>
          <w:b/>
          <w:bCs/>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14" w:name="_Toc28788"/>
      <w:bookmarkStart w:id="15" w:name="_Toc25327"/>
      <w:bookmarkStart w:id="16" w:name="_Toc15233"/>
      <w:bookmarkStart w:id="17" w:name="_Toc47694258"/>
      <w:r>
        <w:rPr>
          <w:rFonts w:hint="eastAsia" w:ascii="仿宋" w:hAnsi="仿宋" w:eastAsia="仿宋" w:cs="仿宋"/>
          <w:b/>
          <w:bCs/>
          <w:color w:val="auto"/>
          <w:highlight w:val="none"/>
          <w:lang w:eastAsia="zh-CN"/>
        </w:rPr>
        <w:t>四、创优目标</w:t>
      </w:r>
      <w:bookmarkEnd w:id="14"/>
      <w:bookmarkEnd w:id="15"/>
      <w:bookmarkEnd w:id="16"/>
      <w:bookmarkEnd w:id="17"/>
    </w:p>
    <w:p>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省级工程优质奖；</w:t>
      </w:r>
    </w:p>
    <w:p>
      <w:pPr>
        <w:pStyle w:val="16"/>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highlight w:val="none"/>
        </w:rPr>
        <w:t>国家级工程优质奖；</w:t>
      </w:r>
    </w:p>
    <w:p>
      <w:pPr>
        <w:pStyle w:val="16"/>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highlight w:val="none"/>
        </w:rPr>
        <w:t>精品工程；</w:t>
      </w:r>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2项省级或以上的课题研究、争创省级工程优质奖、争创省级或以上科学技术进步奖 </w:t>
      </w:r>
    </w:p>
    <w:p>
      <w:pPr>
        <w:spacing w:line="360" w:lineRule="auto"/>
        <w:ind w:firstLine="480" w:firstLineChars="200"/>
        <w:rPr>
          <w:rFonts w:ascii="仿宋" w:hAnsi="仿宋" w:eastAsia="仿宋"/>
          <w:color w:val="auto"/>
          <w:highlight w:val="none"/>
          <w:u w:val="single"/>
          <w:lang w:eastAsia="zh-CN"/>
        </w:rPr>
      </w:pPr>
    </w:p>
    <w:p>
      <w:pPr>
        <w:spacing w:line="360" w:lineRule="auto"/>
        <w:outlineLvl w:val="1"/>
        <w:rPr>
          <w:rFonts w:ascii="仿宋" w:hAnsi="仿宋" w:eastAsia="仿宋" w:cs="仿宋"/>
          <w:b/>
          <w:bCs/>
          <w:color w:val="auto"/>
          <w:highlight w:val="none"/>
          <w:lang w:eastAsia="zh-CN"/>
        </w:rPr>
      </w:pPr>
      <w:bookmarkStart w:id="18" w:name="_Toc21620"/>
      <w:bookmarkStart w:id="19" w:name="_Toc5360"/>
      <w:bookmarkStart w:id="20" w:name="_Toc47694259"/>
      <w:bookmarkStart w:id="21" w:name="_Toc2773"/>
      <w:r>
        <w:rPr>
          <w:rFonts w:hint="eastAsia" w:ascii="仿宋" w:hAnsi="仿宋" w:eastAsia="仿宋" w:cs="仿宋"/>
          <w:b/>
          <w:bCs/>
          <w:color w:val="auto"/>
          <w:highlight w:val="none"/>
          <w:lang w:eastAsia="zh-CN"/>
        </w:rPr>
        <w:t>五、创文明工地目标</w:t>
      </w:r>
      <w:bookmarkEnd w:id="18"/>
      <w:bookmarkEnd w:id="19"/>
      <w:bookmarkEnd w:id="20"/>
      <w:bookmarkEnd w:id="21"/>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市级安全文明绿色施工样板工地；</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争创省级安全文明示范工地 </w:t>
      </w:r>
    </w:p>
    <w:p>
      <w:pPr>
        <w:spacing w:line="360" w:lineRule="auto"/>
        <w:ind w:firstLine="482"/>
        <w:rPr>
          <w:rFonts w:ascii="仿宋" w:hAnsi="仿宋" w:eastAsia="仿宋" w:cs="仿宋"/>
          <w:b/>
          <w:bCs/>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22" w:name="_Toc16179"/>
      <w:bookmarkStart w:id="23" w:name="_Toc7291"/>
      <w:bookmarkStart w:id="24" w:name="_Toc47694260"/>
      <w:bookmarkStart w:id="25" w:name="_Toc1275"/>
      <w:r>
        <w:rPr>
          <w:rFonts w:hint="eastAsia" w:ascii="仿宋" w:hAnsi="仿宋" w:eastAsia="仿宋" w:cs="仿宋"/>
          <w:b/>
          <w:bCs/>
          <w:color w:val="auto"/>
          <w:highlight w:val="none"/>
          <w:lang w:eastAsia="zh-CN"/>
        </w:rPr>
        <w:t>六、职业健康安全管理目标和环境管理目标</w:t>
      </w:r>
      <w:bookmarkEnd w:id="22"/>
      <w:bookmarkEnd w:id="23"/>
      <w:bookmarkEnd w:id="24"/>
      <w:bookmarkEnd w:id="25"/>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1.职业健康安全管理目标：</w:t>
      </w:r>
      <w:r>
        <w:rPr>
          <w:rFonts w:hint="eastAsia" w:ascii="仿宋" w:hAnsi="仿宋" w:eastAsia="仿宋"/>
          <w:color w:val="auto"/>
          <w:highlight w:val="none"/>
          <w:u w:val="single"/>
          <w:lang w:eastAsia="zh-CN"/>
        </w:rPr>
        <w:t>符合国家、省市相关规定。</w:t>
      </w:r>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2.环境管理目标：</w:t>
      </w:r>
      <w:r>
        <w:rPr>
          <w:rFonts w:hint="eastAsia" w:ascii="仿宋" w:hAnsi="仿宋" w:eastAsia="仿宋"/>
          <w:color w:val="auto"/>
          <w:highlight w:val="none"/>
          <w:u w:val="single"/>
          <w:lang w:eastAsia="zh-CN"/>
        </w:rPr>
        <w:t>符合国家、省市相关规定。</w:t>
      </w:r>
    </w:p>
    <w:p>
      <w:pPr>
        <w:spacing w:line="360" w:lineRule="auto"/>
        <w:ind w:firstLine="482" w:firstLineChars="200"/>
        <w:rPr>
          <w:rFonts w:ascii="仿宋" w:hAnsi="仿宋" w:eastAsia="仿宋" w:cs="仿宋"/>
          <w:b/>
          <w:bCs/>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26" w:name="_Toc20112"/>
      <w:bookmarkStart w:id="27" w:name="_Toc47694261"/>
      <w:bookmarkStart w:id="28" w:name="_Toc29096"/>
      <w:bookmarkStart w:id="29" w:name="_Toc14556"/>
      <w:r>
        <w:rPr>
          <w:rFonts w:hint="eastAsia" w:ascii="仿宋" w:hAnsi="仿宋" w:eastAsia="仿宋" w:cs="仿宋"/>
          <w:b/>
          <w:bCs/>
          <w:color w:val="auto"/>
          <w:highlight w:val="none"/>
          <w:lang w:eastAsia="zh-CN"/>
        </w:rPr>
        <w:t>七、合同工期</w:t>
      </w:r>
      <w:bookmarkEnd w:id="26"/>
      <w:bookmarkEnd w:id="27"/>
      <w:bookmarkEnd w:id="28"/>
      <w:bookmarkEnd w:id="29"/>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w:t>
      </w:r>
      <w:r>
        <w:rPr>
          <w:rFonts w:ascii="仿宋" w:hAnsi="仿宋" w:eastAsia="仿宋" w:cs="仿宋"/>
          <w:color w:val="auto"/>
          <w:highlight w:val="none"/>
          <w:lang w:eastAsia="zh-CN"/>
        </w:rPr>
        <w:t>工期</w:t>
      </w:r>
      <w:r>
        <w:rPr>
          <w:rFonts w:hint="eastAsia" w:ascii="仿宋" w:hAnsi="仿宋" w:eastAsia="仿宋" w:cs="仿宋"/>
          <w:color w:val="auto"/>
          <w:highlight w:val="none"/>
          <w:lang w:eastAsia="zh-CN"/>
        </w:rPr>
        <w:t>总日历天数</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天，其中施工工期日历天数：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天。暂定从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日开始，至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日竣工完成，具体以发包人书面通知为准。合同工期总日历天数与勘察、设计、采购、施工等各分项计划开竣工日期计算的工期天数不一致的，以合同工期总日历天数为准。</w:t>
      </w:r>
    </w:p>
    <w:p>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□勘察开始工作日期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如有，绝对日期或相对日期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□施工开工日期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宋体" w:hAnsi="宋体"/>
          <w:color w:val="auto"/>
          <w:highlight w:val="none"/>
          <w:u w:val="single"/>
          <w:lang w:eastAsia="zh-CN"/>
        </w:rPr>
        <w:t xml:space="preserve">  /  </w:t>
      </w:r>
      <w:r>
        <w:rPr>
          <w:rFonts w:hint="eastAsia" w:ascii="宋体" w:hAnsi="宋体"/>
          <w:color w:val="auto"/>
          <w:highlight w:val="none"/>
          <w:lang w:eastAsia="zh-CN"/>
        </w:rPr>
        <w:t>；</w:t>
      </w:r>
      <w:r>
        <w:rPr>
          <w:rFonts w:hint="eastAsia" w:ascii="仿宋" w:hAnsi="仿宋" w:eastAsia="仿宋" w:cs="仿宋"/>
          <w:color w:val="auto"/>
          <w:highlight w:val="none"/>
          <w:lang w:eastAsia="zh-CN"/>
        </w:rPr>
        <w:t>竣工日期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  </w:t>
      </w:r>
      <w:r>
        <w:rPr>
          <w:rFonts w:hint="eastAsia" w:ascii="仿宋" w:hAnsi="仿宋" w:eastAsia="仿宋" w:cs="仿宋"/>
          <w:color w:val="auto"/>
          <w:highlight w:val="none"/>
          <w:lang w:eastAsia="zh-CN"/>
        </w:rPr>
        <w:t>；</w:t>
      </w:r>
    </w:p>
    <w:p>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□其它工作开始工作日期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如有，绝对日期或相对日期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以上时间由承包人在开工前提交相应的进度计划，经发包人审核通过后确定。除合同约定调整的情形外，本合同工期不予调整。</w:t>
      </w:r>
    </w:p>
    <w:p>
      <w:pPr>
        <w:spacing w:line="360" w:lineRule="auto"/>
        <w:ind w:firstLine="480" w:firstLineChars="200"/>
        <w:rPr>
          <w:rFonts w:ascii="仿宋" w:hAnsi="仿宋" w:eastAsia="仿宋" w:cs="仿宋"/>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30" w:name="_Toc47694262"/>
      <w:bookmarkStart w:id="31" w:name="_Toc14850"/>
      <w:bookmarkStart w:id="32" w:name="_Toc31665"/>
      <w:bookmarkStart w:id="33" w:name="_Toc1982"/>
      <w:r>
        <w:rPr>
          <w:rFonts w:hint="eastAsia" w:ascii="仿宋" w:hAnsi="仿宋" w:eastAsia="仿宋" w:cs="仿宋"/>
          <w:b/>
          <w:bCs/>
          <w:color w:val="auto"/>
          <w:highlight w:val="none"/>
          <w:lang w:eastAsia="zh-CN"/>
        </w:rPr>
        <w:t>八、签约合同价</w:t>
      </w:r>
      <w:bookmarkEnd w:id="30"/>
      <w:bookmarkEnd w:id="31"/>
      <w:r>
        <w:rPr>
          <w:rFonts w:hint="eastAsia" w:ascii="仿宋" w:hAnsi="仿宋" w:eastAsia="仿宋" w:cs="仿宋"/>
          <w:b/>
          <w:bCs/>
          <w:color w:val="auto"/>
          <w:highlight w:val="none"/>
          <w:lang w:eastAsia="zh-CN"/>
        </w:rPr>
        <w:t>与合同价格形式</w:t>
      </w:r>
      <w:bookmarkEnd w:id="32"/>
      <w:bookmarkEnd w:id="33"/>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合同价格形式为：□总价合同；□总价合同+部分单价合同；☑其他价格形式：按本合同相关条款约定。</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宋体" w:hAnsi="宋体" w:cs="宋体"/>
          <w:b/>
          <w:color w:val="auto"/>
          <w:szCs w:val="21"/>
          <w:highlight w:val="none"/>
          <w:u w:val="single"/>
          <w:lang w:eastAsia="zh-CN"/>
        </w:rPr>
        <w:t xml:space="preserve">            </w:t>
      </w:r>
      <w:r>
        <w:rPr>
          <w:rFonts w:hint="eastAsia" w:ascii="仿宋" w:hAnsi="仿宋" w:eastAsia="仿宋" w:cs="仿宋"/>
          <w:color w:val="auto"/>
          <w:highlight w:val="none"/>
          <w:u w:val="single"/>
          <w:lang w:eastAsia="zh-CN"/>
        </w:rPr>
        <w:t>（</w:t>
      </w:r>
      <w:r>
        <w:rPr>
          <w:rFonts w:hint="eastAsia" w:ascii="宋体" w:hAnsi="宋体" w:cs="宋体"/>
          <w:color w:val="auto"/>
          <w:highlight w:val="none"/>
          <w:u w:val="single"/>
          <w:lang w:eastAsia="zh-CN"/>
        </w:rPr>
        <w:t>¥</w:t>
      </w:r>
      <w:r>
        <w:rPr>
          <w:rFonts w:hint="eastAsia" w:ascii="宋体" w:hAnsi="宋体" w:cs="宋体"/>
          <w:b/>
          <w:color w:val="auto"/>
          <w:szCs w:val="21"/>
          <w:highlight w:val="none"/>
          <w:u w:val="single"/>
          <w:lang w:eastAsia="zh-CN"/>
        </w:rPr>
        <w:t xml:space="preserve">          </w:t>
      </w:r>
      <w:r>
        <w:rPr>
          <w:rFonts w:hint="eastAsia" w:ascii="仿宋" w:hAnsi="仿宋" w:eastAsia="仿宋" w:cs="仿宋"/>
          <w:color w:val="auto"/>
          <w:highlight w:val="none"/>
          <w:u w:val="singl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其中：不含税金额：</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元，增值税金额：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☑工程勘察费（含税）：</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bCs/>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bCs/>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工程勘察费综合单价（含税）:</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bCs/>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bCs/>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☑工程设计费（含税）：</w:t>
      </w:r>
    </w:p>
    <w:p>
      <w:pPr>
        <w:spacing w:line="360" w:lineRule="auto"/>
        <w:ind w:firstLine="480" w:firstLineChars="200"/>
        <w:rPr>
          <w:rFonts w:ascii="仿宋" w:hAnsi="仿宋" w:eastAsia="仿宋" w:cs="仿宋"/>
          <w:b/>
          <w:color w:val="auto"/>
          <w:highlight w:val="none"/>
          <w:lang w:eastAsia="zh-CN"/>
        </w:rPr>
      </w:pPr>
      <w:r>
        <w:rPr>
          <w:rFonts w:hint="eastAsia" w:ascii="仿宋" w:hAnsi="仿宋" w:eastAsia="仿宋" w:cs="仿宋"/>
          <w:color w:val="auto"/>
          <w:highlight w:val="none"/>
          <w:lang w:eastAsia="zh-CN"/>
        </w:rPr>
        <w:t>人民币（大写）</w:t>
      </w:r>
      <w:r>
        <w:rPr>
          <w:rFonts w:hint="eastAsia"/>
          <w:bCs/>
          <w:color w:val="auto"/>
          <w:highlight w:val="none"/>
          <w:u w:val="single"/>
          <w:lang w:eastAsia="zh-CN"/>
        </w:rPr>
        <w:t xml:space="preserve">                                    </w:t>
      </w:r>
      <w:r>
        <w:rPr>
          <w:rFonts w:hint="eastAsia" w:ascii="仿宋" w:hAnsi="仿宋" w:eastAsia="仿宋" w:cs="仿宋"/>
          <w:bCs/>
          <w:color w:val="auto"/>
          <w:highlight w:val="none"/>
          <w:lang w:eastAsia="zh-CN"/>
        </w:rPr>
        <w:t>（</w:t>
      </w:r>
      <w:r>
        <w:rPr>
          <w:rFonts w:hint="eastAsia" w:ascii="宋体" w:hAnsi="宋体" w:cs="宋体"/>
          <w:bCs/>
          <w:color w:val="auto"/>
          <w:highlight w:val="none"/>
          <w:u w:val="single"/>
          <w:lang w:eastAsia="zh-CN"/>
        </w:rPr>
        <w:t>¥</w:t>
      </w:r>
      <w:r>
        <w:rPr>
          <w:rFonts w:hint="eastAsia"/>
          <w:bCs/>
          <w:color w:val="auto"/>
          <w:highlight w:val="none"/>
          <w:u w:val="single"/>
          <w:lang w:eastAsia="zh-CN"/>
        </w:rPr>
        <w:t xml:space="preserve">            </w:t>
      </w:r>
      <w:r>
        <w:rPr>
          <w:rFonts w:hint="eastAsia" w:ascii="仿宋" w:hAnsi="仿宋" w:eastAsia="仿宋" w:cs="仿宋"/>
          <w:bCs/>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☑BIM技术应用费（含税）：</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bCs/>
          <w:color w:val="auto"/>
          <w:highlight w:val="none"/>
          <w:u w:val="single"/>
          <w:lang w:eastAsia="zh-CN"/>
        </w:rPr>
        <w:t xml:space="preserve">                                    </w:t>
      </w:r>
      <w:r>
        <w:rPr>
          <w:rFonts w:hint="eastAsia" w:ascii="仿宋" w:hAnsi="仿宋" w:eastAsia="仿宋" w:cs="仿宋"/>
          <w:bCs/>
          <w:color w:val="auto"/>
          <w:highlight w:val="none"/>
          <w:lang w:eastAsia="zh-CN"/>
        </w:rPr>
        <w:t>（</w:t>
      </w:r>
      <w:r>
        <w:rPr>
          <w:rFonts w:hint="eastAsia" w:ascii="宋体" w:hAnsi="宋体" w:cs="宋体"/>
          <w:bCs/>
          <w:color w:val="auto"/>
          <w:highlight w:val="none"/>
          <w:u w:val="single"/>
          <w:lang w:eastAsia="zh-CN"/>
        </w:rPr>
        <w:t>¥</w:t>
      </w:r>
      <w:r>
        <w:rPr>
          <w:rFonts w:hint="eastAsia"/>
          <w:bCs/>
          <w:color w:val="auto"/>
          <w:highlight w:val="none"/>
          <w:u w:val="single"/>
          <w:lang w:eastAsia="zh-CN"/>
        </w:rPr>
        <w:t xml:space="preserve">            </w:t>
      </w:r>
      <w:r>
        <w:rPr>
          <w:rFonts w:hint="eastAsia" w:ascii="仿宋" w:hAnsi="仿宋" w:eastAsia="仿宋" w:cs="仿宋"/>
          <w:bCs/>
          <w:color w:val="auto"/>
          <w:highlight w:val="none"/>
          <w:lang w:eastAsia="zh-CN"/>
        </w:rPr>
        <w:t>元）；</w:t>
      </w:r>
    </w:p>
    <w:p>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pPr>
        <w:spacing w:line="360" w:lineRule="auto"/>
        <w:ind w:firstLine="480" w:firstLineChars="200"/>
        <w:rPr>
          <w:rFonts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☑建筑安装工程费（含税）：</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bCs/>
          <w:color w:val="auto"/>
          <w:highlight w:val="none"/>
          <w:u w:val="single"/>
          <w:lang w:eastAsia="zh-CN"/>
        </w:rPr>
        <w:t xml:space="preserve">                               </w:t>
      </w:r>
      <w:r>
        <w:rPr>
          <w:rFonts w:hint="eastAsia" w:ascii="仿宋" w:hAnsi="仿宋" w:eastAsia="仿宋" w:cs="仿宋"/>
          <w:bCs/>
          <w:color w:val="auto"/>
          <w:highlight w:val="none"/>
          <w:lang w:eastAsia="zh-CN"/>
        </w:rPr>
        <w:t>（</w:t>
      </w:r>
      <w:r>
        <w:rPr>
          <w:rFonts w:hint="eastAsia" w:ascii="宋体" w:hAnsi="宋体" w:cs="宋体"/>
          <w:bCs/>
          <w:color w:val="auto"/>
          <w:highlight w:val="none"/>
          <w:lang w:eastAsia="zh-CN"/>
        </w:rPr>
        <w:t>¥</w:t>
      </w:r>
      <w:r>
        <w:rPr>
          <w:rFonts w:hint="eastAsia"/>
          <w:bCs/>
          <w:color w:val="auto"/>
          <w:highlight w:val="none"/>
          <w:u w:val="single"/>
          <w:lang w:eastAsia="zh-CN"/>
        </w:rPr>
        <w:t xml:space="preserve">            </w:t>
      </w:r>
      <w:r>
        <w:rPr>
          <w:rFonts w:hint="eastAsia" w:ascii="仿宋" w:hAnsi="仿宋" w:eastAsia="仿宋" w:cs="仿宋"/>
          <w:bCs/>
          <w:color w:val="auto"/>
          <w:highlight w:val="none"/>
          <w:lang w:eastAsia="zh-CN"/>
        </w:rPr>
        <w:t>元）。</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□绿色施工安全防护措施费用（不含税）：</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余泥渣土（土方、石方、淤泥）场外运输与排放费用（不含税）：</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□专业工程暂估价（不含税）：</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□其他（不含税，按实填写费用名称</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□暂列金额（不含税）：</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pPr>
        <w:spacing w:line="360" w:lineRule="auto"/>
        <w:ind w:left="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□其他费用：</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（含税）：</w:t>
      </w:r>
    </w:p>
    <w:p>
      <w:pPr>
        <w:spacing w:line="360" w:lineRule="auto"/>
        <w:ind w:left="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□设计单位为联合体牵头人时项目管理费（含税）：</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□施工单位为联合体牵头人时项目管理费（含税）：</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pPr>
        <w:spacing w:line="360" w:lineRule="auto"/>
        <w:rPr>
          <w:rFonts w:ascii="仿宋" w:hAnsi="仿宋" w:eastAsia="仿宋"/>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34" w:name="_Toc21001"/>
      <w:bookmarkStart w:id="35" w:name="_Toc47694263"/>
      <w:bookmarkStart w:id="36" w:name="_Toc14734"/>
      <w:bookmarkStart w:id="37" w:name="_Toc1913"/>
      <w:r>
        <w:rPr>
          <w:rFonts w:hint="eastAsia" w:ascii="仿宋" w:hAnsi="仿宋" w:eastAsia="仿宋" w:cs="仿宋"/>
          <w:b/>
          <w:bCs/>
          <w:color w:val="auto"/>
          <w:highlight w:val="none"/>
          <w:lang w:eastAsia="zh-CN"/>
        </w:rPr>
        <w:t>★九、工人工资支付分账</w:t>
      </w:r>
      <w:bookmarkEnd w:id="34"/>
      <w:r>
        <w:rPr>
          <w:rFonts w:hint="eastAsia" w:ascii="仿宋" w:hAnsi="仿宋" w:eastAsia="仿宋" w:cs="仿宋"/>
          <w:b/>
          <w:bCs/>
          <w:color w:val="auto"/>
          <w:highlight w:val="none"/>
          <w:lang w:eastAsia="zh-CN"/>
        </w:rPr>
        <w:t>、建筑安装工程费支付专户</w:t>
      </w:r>
      <w:bookmarkEnd w:id="35"/>
      <w:bookmarkEnd w:id="36"/>
      <w:bookmarkEnd w:id="37"/>
    </w:p>
    <w:p>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一式四份），经审核后报发包人备案</w:t>
      </w:r>
      <w:r>
        <w:rPr>
          <w:rFonts w:hint="eastAsia" w:ascii="仿宋" w:hAnsi="仿宋" w:eastAsia="仿宋" w:cs="仿宋"/>
          <w:color w:val="auto"/>
          <w:highlight w:val="none"/>
          <w:lang w:eastAsia="zh-CN"/>
        </w:rPr>
        <w:t>。承包人须按照《广州市住房和城乡建设委员会 广州市人力资源和社会保障局 广州市交通委员会 广州市水务局 广州市林业和园林局 中国人民银行广州分行 关于印发广州市建设领域工人工资支付分账管理实施细则的通知》 (穗建规字[2020]37 号) 及《广东省房屋建筑和市政基础设施工程用工实名管理暂行办法》 (粤建规范[2018]1号)的有关规定执行，以最新的规定为准。否则，承包人须承担相应的违约责任以及对由此引起的纠纷负全责，造成发包人损失(包括但不限于发包人因此而支付的赔偿款、律师费、诉讼费、保全费、公证费、鉴定费等)的，承包人须承担全部责任。如发包人需要对承包人的工程账户进行监管、掌握账户内资金流出情况，承包人应允许及配合满足发包人要求。承包人依法分包或劳务分包的，承包人应对分包企业及劳务企业的相应账户进行监管，掌握资金流出情况，并对分包企业及劳务企业的资金使用向发包人承担连带责任。发包人或承包人发现问题的，应当及时向相关行政监督部门报备。</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工人工资款支付专用账户开户银行（如有）：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工人工资款支付专用账户（如有）：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工程款中的工人工资款比例：</w:t>
      </w:r>
      <w:r>
        <w:rPr>
          <w:rFonts w:hint="eastAsia" w:ascii="仿宋" w:hAnsi="仿宋" w:eastAsia="仿宋" w:cs="仿宋"/>
          <w:color w:val="auto"/>
          <w:highlight w:val="none"/>
          <w:u w:val="single"/>
          <w:lang w:eastAsia="zh-CN"/>
        </w:rPr>
        <w:t>按主合同约定计算的每一期工程进度款分两个账户支付，账户一是按审批后建筑安装工程进度款的15%向本专户        支付工资款;账户二是按审批后建筑安装工程进度款的85%向主合同指定账户         支付</w:t>
      </w:r>
      <w:r>
        <w:rPr>
          <w:rFonts w:hint="eastAsia"/>
          <w:color w:val="auto"/>
          <w:highlight w:val="none"/>
          <w:lang w:eastAsia="zh-CN"/>
        </w:rPr>
        <w:t>。</w:t>
      </w:r>
      <w:r>
        <w:rPr>
          <w:rFonts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其中：每一期工程进度款中的工人工资款比例：</w:t>
      </w:r>
      <w:r>
        <w:rPr>
          <w:rFonts w:hint="eastAsia" w:ascii="仿宋" w:hAnsi="仿宋" w:eastAsia="仿宋" w:cs="仿宋"/>
          <w:color w:val="auto"/>
          <w:highlight w:val="none"/>
          <w:u w:val="single"/>
          <w:lang w:eastAsia="zh-CN"/>
        </w:rPr>
        <w:t xml:space="preserve"> 按审批后建筑安装工程进度款的 15%向本专户       支付工资款:按审批后建筑安装工程进度款的85%向主合同指定账户         支付。 </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工人工资支付周期：</w:t>
      </w:r>
      <w:r>
        <w:rPr>
          <w:rFonts w:hint="eastAsia" w:ascii="仿宋" w:hAnsi="仿宋" w:eastAsia="仿宋" w:cs="仿宋"/>
          <w:color w:val="auto"/>
          <w:highlight w:val="none"/>
          <w:u w:val="single"/>
          <w:lang w:eastAsia="zh-CN"/>
        </w:rPr>
        <w:t>与工程款支付周期一致</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建筑安装工程费支付专用账户开设的约定内容：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建筑安装工程费支付专用账户开户银行（如有）：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建筑安装工程费支付专用账户（如有）：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建筑安装工程费中的工程材料、工程设备款比例：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其中：每一期建筑安装工程费的工程进度款中的工程材料、工程设备款比例：</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工程材料、工程设备款支付周期：</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承包人已确认上述约定建筑安装工程费中的工程材料、工程设备款款比例能满足本工程项目的工程材料、工程设备款支付。</w:t>
      </w:r>
    </w:p>
    <w:p>
      <w:pPr>
        <w:spacing w:line="360" w:lineRule="auto"/>
        <w:ind w:firstLine="465"/>
        <w:rPr>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38" w:name="_Toc7309"/>
      <w:bookmarkStart w:id="39" w:name="_Toc22586"/>
      <w:bookmarkStart w:id="40" w:name="_Toc4756"/>
      <w:bookmarkStart w:id="41" w:name="_Toc47694264"/>
      <w:r>
        <w:rPr>
          <w:rFonts w:hint="eastAsia" w:ascii="仿宋" w:hAnsi="仿宋" w:eastAsia="仿宋" w:cs="仿宋"/>
          <w:b/>
          <w:bCs/>
          <w:color w:val="auto"/>
          <w:highlight w:val="none"/>
          <w:lang w:eastAsia="zh-CN"/>
        </w:rPr>
        <w:t>十、组成合同的文件</w:t>
      </w:r>
      <w:bookmarkEnd w:id="38"/>
      <w:bookmarkEnd w:id="39"/>
      <w:bookmarkEnd w:id="40"/>
      <w:bookmarkEnd w:id="41"/>
    </w:p>
    <w:p>
      <w:pPr>
        <w:pStyle w:val="22"/>
        <w:tabs>
          <w:tab w:val="left" w:pos="1260"/>
        </w:tabs>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组成本合同的文件及其优先解释顺序与本合同第二部分《通用条款》第</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款赋予的规定一致。</w:t>
      </w:r>
    </w:p>
    <w:p>
      <w:pPr>
        <w:pStyle w:val="22"/>
        <w:tabs>
          <w:tab w:val="left" w:pos="1260"/>
        </w:tabs>
        <w:spacing w:line="360" w:lineRule="auto"/>
        <w:ind w:firstLine="520" w:firstLineChars="217"/>
        <w:rPr>
          <w:rFonts w:ascii="仿宋" w:hAnsi="仿宋" w:eastAsia="仿宋"/>
          <w:color w:val="auto"/>
          <w:sz w:val="24"/>
          <w:szCs w:val="24"/>
          <w:highlight w:val="none"/>
        </w:rPr>
      </w:pPr>
    </w:p>
    <w:p>
      <w:pPr>
        <w:spacing w:line="360" w:lineRule="auto"/>
        <w:outlineLvl w:val="1"/>
        <w:rPr>
          <w:rFonts w:ascii="仿宋" w:hAnsi="仿宋" w:eastAsia="仿宋" w:cs="仿宋"/>
          <w:b/>
          <w:bCs/>
          <w:color w:val="auto"/>
          <w:highlight w:val="none"/>
          <w:lang w:eastAsia="zh-CN"/>
        </w:rPr>
      </w:pPr>
      <w:bookmarkStart w:id="42" w:name="_Toc24613"/>
      <w:bookmarkStart w:id="43" w:name="_Toc7180"/>
      <w:bookmarkStart w:id="44" w:name="_Toc30427"/>
      <w:bookmarkStart w:id="45" w:name="_Toc47694265"/>
      <w:r>
        <w:rPr>
          <w:rFonts w:hint="eastAsia" w:ascii="仿宋" w:hAnsi="仿宋" w:eastAsia="仿宋" w:cs="仿宋"/>
          <w:b/>
          <w:bCs/>
          <w:color w:val="auto"/>
          <w:highlight w:val="none"/>
          <w:lang w:eastAsia="zh-CN"/>
        </w:rPr>
        <w:t>十一、词语含义</w:t>
      </w:r>
      <w:bookmarkEnd w:id="42"/>
      <w:bookmarkEnd w:id="43"/>
      <w:bookmarkEnd w:id="44"/>
      <w:bookmarkEnd w:id="45"/>
    </w:p>
    <w:p>
      <w:pPr>
        <w:pStyle w:val="18"/>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本协议书中有关词语含义与本合同第二部分《通用条款》第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条赋予它们的定义相同。</w:t>
      </w:r>
    </w:p>
    <w:p>
      <w:pPr>
        <w:pStyle w:val="18"/>
        <w:spacing w:line="360" w:lineRule="auto"/>
        <w:ind w:firstLine="480" w:firstLineChars="200"/>
        <w:rPr>
          <w:rFonts w:ascii="仿宋" w:hAnsi="仿宋" w:eastAsia="仿宋"/>
          <w:color w:val="auto"/>
          <w:sz w:val="24"/>
          <w:szCs w:val="24"/>
          <w:highlight w:val="none"/>
        </w:rPr>
      </w:pPr>
    </w:p>
    <w:p>
      <w:pPr>
        <w:spacing w:line="360" w:lineRule="auto"/>
        <w:outlineLvl w:val="1"/>
        <w:rPr>
          <w:rFonts w:ascii="仿宋" w:hAnsi="仿宋" w:eastAsia="仿宋" w:cs="仿宋"/>
          <w:b/>
          <w:bCs/>
          <w:color w:val="auto"/>
          <w:highlight w:val="none"/>
          <w:lang w:eastAsia="zh-CN"/>
        </w:rPr>
      </w:pPr>
      <w:bookmarkStart w:id="46" w:name="_Toc47694266"/>
      <w:bookmarkStart w:id="47" w:name="_Toc25142"/>
      <w:bookmarkStart w:id="48" w:name="_Toc24766"/>
      <w:bookmarkStart w:id="49" w:name="_Toc23335"/>
      <w:r>
        <w:rPr>
          <w:rFonts w:hint="eastAsia" w:ascii="仿宋" w:hAnsi="仿宋" w:eastAsia="仿宋" w:cs="仿宋"/>
          <w:b/>
          <w:bCs/>
          <w:color w:val="auto"/>
          <w:highlight w:val="none"/>
          <w:lang w:eastAsia="zh-CN"/>
        </w:rPr>
        <w:t>十二、承诺</w:t>
      </w:r>
      <w:bookmarkEnd w:id="46"/>
      <w:bookmarkEnd w:id="47"/>
      <w:bookmarkEnd w:id="48"/>
      <w:bookmarkEnd w:id="49"/>
    </w:p>
    <w:p>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履行方案评审、施工图审查等必要的审查审批手续，并对工程的质量、安全、工期和造价等全面负责，不进行转包及违法分包，并在缺陷责任期及保修期内承担相应的工程维修责任</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履行本合同所约定的全部义务。</w:t>
      </w:r>
    </w:p>
    <w:p>
      <w:pPr>
        <w:rPr>
          <w:rFonts w:ascii="仿宋" w:hAnsi="仿宋" w:eastAsia="仿宋" w:cs="仿宋"/>
          <w:b/>
          <w:bCs/>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50" w:name="_Toc19250"/>
      <w:bookmarkStart w:id="51" w:name="_Toc47694267"/>
      <w:bookmarkStart w:id="52" w:name="_Toc18294"/>
      <w:bookmarkStart w:id="53" w:name="_Toc10355"/>
      <w:r>
        <w:rPr>
          <w:rFonts w:hint="eastAsia" w:ascii="仿宋" w:hAnsi="仿宋" w:eastAsia="仿宋" w:cs="仿宋"/>
          <w:b/>
          <w:bCs/>
          <w:color w:val="auto"/>
          <w:highlight w:val="none"/>
          <w:lang w:eastAsia="zh-CN"/>
        </w:rPr>
        <w:t>十三、合同生效</w:t>
      </w:r>
      <w:bookmarkEnd w:id="50"/>
      <w:bookmarkEnd w:id="51"/>
      <w:bookmarkEnd w:id="52"/>
      <w:bookmarkEnd w:id="53"/>
    </w:p>
    <w:p>
      <w:pPr>
        <w:spacing w:line="360" w:lineRule="auto"/>
        <w:ind w:left="525"/>
        <w:rPr>
          <w:rFonts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hint="eastAsia" w:ascii="仿宋" w:hAnsi="仿宋" w:eastAsia="仿宋" w:cs="仿宋"/>
          <w:color w:val="auto"/>
          <w:highlight w:val="none"/>
          <w:u w:val="single"/>
          <w:lang w:eastAsia="zh-CN"/>
        </w:rPr>
        <w:t xml:space="preserve">            </w:t>
      </w:r>
    </w:p>
    <w:p>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pPr>
        <w:rPr>
          <w:rFonts w:ascii="仿宋" w:hAnsi="仿宋" w:eastAsia="仿宋" w:cs="仿宋"/>
          <w:b/>
          <w:bCs/>
          <w:color w:val="auto"/>
          <w:highlight w:val="none"/>
          <w:lang w:eastAsia="zh-CN"/>
        </w:rPr>
      </w:pPr>
      <w:bookmarkStart w:id="54" w:name="_Toc47694268"/>
      <w:bookmarkStart w:id="55" w:name="_Toc137"/>
    </w:p>
    <w:p>
      <w:pPr>
        <w:spacing w:line="360" w:lineRule="auto"/>
        <w:outlineLvl w:val="1"/>
        <w:rPr>
          <w:rFonts w:ascii="仿宋" w:hAnsi="仿宋" w:eastAsia="仿宋" w:cs="仿宋"/>
          <w:b/>
          <w:bCs/>
          <w:color w:val="auto"/>
          <w:highlight w:val="none"/>
          <w:lang w:eastAsia="zh-CN"/>
        </w:rPr>
      </w:pPr>
      <w:bookmarkStart w:id="56" w:name="_Toc32040"/>
      <w:bookmarkStart w:id="57" w:name="_Toc4656"/>
      <w:r>
        <w:rPr>
          <w:rFonts w:hint="eastAsia" w:ascii="仿宋" w:hAnsi="仿宋" w:eastAsia="仿宋" w:cs="仿宋"/>
          <w:b/>
          <w:bCs/>
          <w:color w:val="auto"/>
          <w:highlight w:val="none"/>
          <w:lang w:eastAsia="zh-CN"/>
        </w:rPr>
        <w:t>十四、合同份数</w:t>
      </w:r>
      <w:bookmarkEnd w:id="54"/>
      <w:bookmarkEnd w:id="55"/>
      <w:bookmarkEnd w:id="56"/>
      <w:bookmarkEnd w:id="57"/>
    </w:p>
    <w:p>
      <w:pPr>
        <w:spacing w:line="360" w:lineRule="auto"/>
        <w:ind w:firstLine="480" w:firstLineChars="200"/>
        <w:rPr>
          <w:rFonts w:ascii="仿宋_GB2312" w:eastAsia="仿宋_GB2312"/>
          <w:color w:val="auto"/>
          <w:sz w:val="32"/>
          <w:szCs w:val="32"/>
          <w:highlight w:val="none"/>
          <w:lang w:eastAsia="zh-CN"/>
        </w:rPr>
      </w:pPr>
      <w:r>
        <w:rPr>
          <w:rFonts w:hint="eastAsia" w:ascii="仿宋" w:hAnsi="仿宋" w:eastAsia="仿宋" w:cs="仿宋"/>
          <w:color w:val="auto"/>
          <w:highlight w:val="none"/>
          <w:lang w:eastAsia="zh-CN"/>
        </w:rPr>
        <w:t>本合同一式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壹拾伍</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份，具有同等法律效力，其中发包人执</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陆</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份，承包人执</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pPr>
        <w:rPr>
          <w:rFonts w:ascii="仿宋" w:hAnsi="仿宋" w:eastAsia="仿宋" w:cs="仿宋"/>
          <w:b/>
          <w:bCs/>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58" w:name="_Toc1978"/>
      <w:r>
        <w:rPr>
          <w:rFonts w:hint="eastAsia" w:ascii="仿宋" w:hAnsi="仿宋" w:eastAsia="仿宋" w:cs="仿宋"/>
          <w:b/>
          <w:bCs/>
          <w:color w:val="auto"/>
          <w:highlight w:val="none"/>
          <w:lang w:eastAsia="zh-CN"/>
        </w:rPr>
        <w:t>十五、其他</w:t>
      </w:r>
      <w:bookmarkEnd w:id="58"/>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任何与本合同有关的由本合同双方当事人发出的任何文件、通知及其它通讯往来，必须采取书面形式，并送达至本协议书签章处载明的通讯地址或双方书面通知的其它地址。如果一方未填写本协议书签章处的通讯信息或填写不明或未另行书面通知，则视该方营业执照或统一社会信用代码证书标明的住址为其有效通讯方式。在本合同有效期内，双方均不得随意变更通讯信息。任一方变更通讯信息的，应当自变更当日以书面形式通知另一方，该书面通知作为本合同的附件，其载明的、变更后的地址为双方通知送达地址。未及时通知并影响本合同履行或造成损失的，未履行通知义务一方应承担怠于通知的不利法律后果。</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执行本合同的过程中，所有经双方签署确认的文件（包括但不限于会议纪要、补充协议、往来信函、传真等）即成为本合同的有机组成部分，与本合同具有同等法律效力，其生效日期为双方法定代表人或委托代理人签名或加盖公章确认的日期。前述文件与本合同之间内容应认为是互为补充和解释，但如有就同一事项（内容）约定存在互相矛盾之处,除双方另有约定外，以形成时间在后的文件准。</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本合同未尽事宜，由双方友好协商并签订书面补充协议予以确定。补充协议是本合同的有效组成部分，与本合同具有同等法律效力，补充协议与本合同就同一事项约定不一致的，除双方另有约定外，以形成时间在后的约定为据。</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（以下无正文内容，为签章处）</w:t>
      </w:r>
    </w:p>
    <w:p>
      <w:pPr>
        <w:spacing w:line="360" w:lineRule="auto"/>
        <w:rPr>
          <w:rFonts w:ascii="仿宋" w:hAnsi="仿宋" w:eastAsia="仿宋" w:cs="仿宋"/>
          <w:b/>
          <w:bCs/>
          <w:color w:val="auto"/>
          <w:highlight w:val="none"/>
          <w:lang w:eastAsia="zh-CN"/>
        </w:rPr>
      </w:pPr>
    </w:p>
    <w:p>
      <w:pPr>
        <w:spacing w:line="400" w:lineRule="exact"/>
        <w:ind w:left="6573" w:leftChars="450" w:hanging="5493" w:hangingChars="2289"/>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发包人：中山大学附属第一医院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承包人：                      </w:t>
      </w:r>
    </w:p>
    <w:p>
      <w:pPr>
        <w:spacing w:line="400" w:lineRule="exact"/>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（联合体主办方单位）：（盖章）</w:t>
      </w:r>
    </w:p>
    <w:p>
      <w:pPr>
        <w:spacing w:line="400" w:lineRule="exact"/>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统一社会信用代码：                     统一社会信用代码：            </w:t>
      </w:r>
    </w:p>
    <w:p>
      <w:pPr>
        <w:spacing w:line="400" w:lineRule="exact"/>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址：              </w:t>
      </w:r>
    </w:p>
    <w:p>
      <w:pPr>
        <w:spacing w:line="400" w:lineRule="exact"/>
        <w:ind w:firstLine="1080" w:firstLineChars="450"/>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pPr>
        <w:spacing w:line="400" w:lineRule="exact"/>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pPr>
        <w:spacing w:line="400" w:lineRule="exact"/>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话：              </w:t>
      </w:r>
    </w:p>
    <w:p>
      <w:pPr>
        <w:spacing w:line="400" w:lineRule="exact"/>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真：              </w:t>
      </w:r>
      <w:r>
        <w:rPr>
          <w:rFonts w:ascii="仿宋" w:hAnsi="仿宋" w:eastAsia="仿宋" w:cs="仿宋"/>
          <w:color w:val="auto"/>
          <w:highlight w:val="none"/>
          <w:lang w:eastAsia="zh-CN"/>
        </w:rPr>
        <w:t xml:space="preserve">   </w:t>
      </w:r>
    </w:p>
    <w:p>
      <w:pPr>
        <w:spacing w:line="400" w:lineRule="exact"/>
        <w:ind w:firstLine="1080" w:firstLineChars="450"/>
        <w:rPr>
          <w:rFonts w:ascii="仿宋" w:hAnsi="仿宋" w:eastAsia="仿宋"/>
          <w:color w:val="auto"/>
          <w:sz w:val="22"/>
          <w:szCs w:val="22"/>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pPr>
        <w:spacing w:line="400" w:lineRule="exact"/>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pPr>
        <w:spacing w:line="400" w:lineRule="exact"/>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邮政编码：</w:t>
      </w:r>
    </w:p>
    <w:p>
      <w:pPr>
        <w:spacing w:line="400" w:lineRule="exact"/>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pPr>
        <w:spacing w:line="400" w:lineRule="exact"/>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pPr>
        <w:spacing w:line="400" w:lineRule="exact"/>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                               承包人：</w:t>
      </w:r>
    </w:p>
    <w:p>
      <w:pPr>
        <w:spacing w:line="400" w:lineRule="exact"/>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（联合体成员一）：（盖章）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（联合体成员二）：（盖章）</w:t>
      </w:r>
    </w:p>
    <w:p>
      <w:pPr>
        <w:spacing w:line="400" w:lineRule="exact"/>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pPr>
        <w:spacing w:line="400" w:lineRule="exact"/>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                              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pPr>
        <w:spacing w:line="400" w:lineRule="exact"/>
        <w:ind w:firstLine="960" w:firstLineChars="400"/>
        <w:rPr>
          <w:rFonts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法定代表人：                           法定代表人：</w:t>
      </w:r>
    </w:p>
    <w:p>
      <w:pPr>
        <w:spacing w:line="400" w:lineRule="exact"/>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委托代理人：</w:t>
      </w:r>
    </w:p>
    <w:p>
      <w:pPr>
        <w:spacing w:line="400" w:lineRule="exact"/>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话：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pPr>
        <w:spacing w:line="400" w:lineRule="exact"/>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pPr>
        <w:spacing w:line="400" w:lineRule="exact"/>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pPr>
        <w:spacing w:line="400" w:lineRule="exact"/>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号：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pPr>
        <w:spacing w:line="400" w:lineRule="exact"/>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pPr>
        <w:spacing w:line="400" w:lineRule="exact"/>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pPr>
        <w:spacing w:line="360" w:lineRule="auto"/>
        <w:ind w:firstLine="1080" w:firstLineChars="450"/>
        <w:rPr>
          <w:rFonts w:ascii="仿宋" w:hAnsi="仿宋" w:eastAsia="仿宋" w:cs="仿宋"/>
          <w:color w:val="auto"/>
          <w:highlight w:val="none"/>
          <w:lang w:eastAsia="zh-CN"/>
        </w:rPr>
      </w:pPr>
    </w:p>
    <w:p>
      <w:pPr>
        <w:rPr>
          <w:color w:val="auto"/>
          <w:highlight w:val="none"/>
          <w:lang w:eastAsia="zh-CN"/>
        </w:rPr>
        <w:sectPr>
          <w:footerReference r:id="rId8" w:type="first"/>
          <w:footerReference r:id="rId7" w:type="default"/>
          <w:pgSz w:w="11906" w:h="16838"/>
          <w:pgMar w:top="1417" w:right="1417" w:bottom="1417" w:left="1417" w:header="737" w:footer="850" w:gutter="0"/>
          <w:pgNumType w:start="1"/>
          <w:cols w:space="0" w:num="1"/>
          <w:docGrid w:linePitch="312" w:charSpace="0"/>
        </w:sectPr>
      </w:pPr>
    </w:p>
    <w:p>
      <w:pPr>
        <w:spacing w:line="360" w:lineRule="auto"/>
        <w:jc w:val="center"/>
        <w:outlineLvl w:val="0"/>
        <w:rPr>
          <w:rFonts w:ascii="宋体"/>
          <w:b/>
          <w:bCs/>
          <w:color w:val="auto"/>
          <w:sz w:val="36"/>
          <w:szCs w:val="36"/>
          <w:highlight w:val="none"/>
          <w:lang w:eastAsia="zh-CN"/>
        </w:rPr>
      </w:pPr>
      <w:bookmarkStart w:id="59" w:name="_Toc469383978"/>
      <w:bookmarkStart w:id="60" w:name="_Toc26981"/>
      <w:bookmarkStart w:id="61" w:name="_Toc47694269"/>
      <w:bookmarkStart w:id="62" w:name="_Toc7556"/>
      <w:r>
        <w:rPr>
          <w:rFonts w:hint="eastAsia" w:ascii="宋体" w:hAnsi="宋体" w:cs="宋体"/>
          <w:b/>
          <w:bCs/>
          <w:color w:val="auto"/>
          <w:sz w:val="36"/>
          <w:szCs w:val="36"/>
          <w:highlight w:val="none"/>
          <w:lang w:eastAsia="zh-CN"/>
        </w:rPr>
        <w:t>第二部分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59"/>
      <w:bookmarkEnd w:id="60"/>
      <w:bookmarkEnd w:id="61"/>
      <w:bookmarkEnd w:id="62"/>
    </w:p>
    <w:p>
      <w:pPr>
        <w:pStyle w:val="22"/>
        <w:adjustRightInd w:val="0"/>
        <w:snapToGrid w:val="0"/>
        <w:rPr>
          <w:rFonts w:hAnsi="宋体"/>
          <w:color w:val="auto"/>
          <w:sz w:val="32"/>
          <w:szCs w:val="32"/>
          <w:highlight w:val="none"/>
        </w:rPr>
      </w:pPr>
    </w:p>
    <w:p>
      <w:pPr>
        <w:pStyle w:val="22"/>
        <w:adjustRightInd w:val="0"/>
        <w:snapToGrid w:val="0"/>
        <w:jc w:val="center"/>
        <w:outlineLvl w:val="1"/>
        <w:rPr>
          <w:rFonts w:hAnsi="宋体"/>
          <w:b/>
          <w:bCs/>
          <w:color w:val="auto"/>
          <w:sz w:val="32"/>
          <w:szCs w:val="32"/>
          <w:highlight w:val="none"/>
        </w:rPr>
      </w:pPr>
      <w:bookmarkStart w:id="63" w:name="_Toc47694270"/>
      <w:bookmarkStart w:id="64" w:name="_Toc11765"/>
      <w:bookmarkStart w:id="65" w:name="_Toc469383979"/>
      <w:bookmarkStart w:id="66" w:name="_Toc26674"/>
      <w:r>
        <w:rPr>
          <w:rFonts w:hint="eastAsia" w:hAnsi="宋体"/>
          <w:b/>
          <w:bCs/>
          <w:color w:val="auto"/>
          <w:sz w:val="32"/>
          <w:szCs w:val="32"/>
          <w:highlight w:val="none"/>
        </w:rPr>
        <w:t>一、总</w:t>
      </w:r>
      <w:r>
        <w:rPr>
          <w:rFonts w:hAnsi="宋体"/>
          <w:b/>
          <w:bCs/>
          <w:color w:val="auto"/>
          <w:sz w:val="32"/>
          <w:szCs w:val="32"/>
          <w:highlight w:val="none"/>
        </w:rPr>
        <w:t xml:space="preserve">  </w:t>
      </w:r>
      <w:r>
        <w:rPr>
          <w:rFonts w:hint="eastAsia" w:hAnsi="宋体"/>
          <w:b/>
          <w:bCs/>
          <w:color w:val="auto"/>
          <w:sz w:val="32"/>
          <w:szCs w:val="32"/>
          <w:highlight w:val="none"/>
        </w:rPr>
        <w:t>则</w:t>
      </w:r>
      <w:bookmarkEnd w:id="63"/>
      <w:bookmarkEnd w:id="64"/>
      <w:bookmarkEnd w:id="65"/>
      <w:bookmarkEnd w:id="66"/>
    </w:p>
    <w:p>
      <w:pPr>
        <w:pStyle w:val="22"/>
        <w:adjustRightInd w:val="0"/>
        <w:snapToGrid w:val="0"/>
        <w:spacing w:line="360" w:lineRule="auto"/>
        <w:jc w:val="center"/>
        <w:rPr>
          <w:rFonts w:hAnsi="宋体"/>
          <w:b/>
          <w:bCs/>
          <w:color w:val="auto"/>
          <w:sz w:val="32"/>
          <w:szCs w:val="32"/>
          <w:highlight w:val="none"/>
        </w:rPr>
      </w:pPr>
    </w:p>
    <w:p>
      <w:pPr>
        <w:pStyle w:val="22"/>
        <w:widowControl w:val="0"/>
        <w:tabs>
          <w:tab w:val="left" w:pos="900"/>
          <w:tab w:val="left" w:pos="1080"/>
        </w:tabs>
        <w:spacing w:before="120" w:beforeLines="50" w:after="120" w:afterLines="50" w:line="360" w:lineRule="auto"/>
        <w:jc w:val="both"/>
        <w:outlineLvl w:val="2"/>
        <w:rPr>
          <w:rFonts w:ascii="仿宋" w:hAnsi="仿宋" w:eastAsia="仿宋"/>
          <w:b/>
          <w:bCs/>
          <w:color w:val="auto"/>
          <w:sz w:val="24"/>
          <w:szCs w:val="24"/>
          <w:highlight w:val="none"/>
        </w:rPr>
      </w:pPr>
      <w:bookmarkStart w:id="67" w:name="_Toc29851"/>
      <w:bookmarkStart w:id="68" w:name="_Toc6785"/>
      <w:bookmarkStart w:id="69" w:name="_Toc469383980"/>
      <w:bookmarkStart w:id="70" w:name="_Toc47694271"/>
      <w:r>
        <w:rPr>
          <w:rFonts w:ascii="仿宋" w:hAnsi="仿宋" w:eastAsia="仿宋" w:cs="仿宋"/>
          <w:b/>
          <w:bCs/>
          <w:color w:val="auto"/>
          <w:sz w:val="24"/>
          <w:szCs w:val="24"/>
          <w:highlight w:val="none"/>
        </w:rPr>
        <w:t xml:space="preserve">1 </w:t>
      </w:r>
      <w:r>
        <w:rPr>
          <w:rFonts w:hint="eastAsia" w:ascii="仿宋" w:hAnsi="仿宋" w:eastAsia="仿宋" w:cs="仿宋"/>
          <w:b/>
          <w:bCs/>
          <w:color w:val="auto"/>
          <w:sz w:val="24"/>
          <w:szCs w:val="24"/>
          <w:highlight w:val="none"/>
        </w:rPr>
        <w:t>定义</w:t>
      </w:r>
      <w:bookmarkEnd w:id="67"/>
      <w:bookmarkEnd w:id="68"/>
      <w:bookmarkEnd w:id="69"/>
      <w:bookmarkEnd w:id="70"/>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下列词语或措辞，除非特别说明，在本合同中均具有以下赋予的含义：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bookmarkStart w:id="71" w:name="_Toc4774"/>
      <w:r>
        <w:rPr>
          <w:rFonts w:hint="eastAsia" w:ascii="仿宋" w:hAnsi="仿宋" w:eastAsia="仿宋" w:cs="仿宋"/>
          <w:b/>
          <w:bCs/>
          <w:color w:val="auto"/>
          <w:sz w:val="24"/>
          <w:szCs w:val="24"/>
          <w:highlight w:val="none"/>
        </w:rPr>
        <w:t>1.1 合同文件</w:t>
      </w:r>
      <w:bookmarkEnd w:id="71"/>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1.1</w:t>
      </w:r>
      <w:r>
        <w:rPr>
          <w:rFonts w:hint="eastAsia" w:ascii="仿宋" w:hAnsi="仿宋" w:eastAsia="仿宋" w:cs="仿宋"/>
          <w:b/>
          <w:bCs/>
          <w:color w:val="auto"/>
          <w:sz w:val="24"/>
          <w:szCs w:val="24"/>
          <w:highlight w:val="none"/>
        </w:rPr>
        <w:t>.1</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合同：</w:t>
      </w:r>
      <w:r>
        <w:rPr>
          <w:rFonts w:hint="eastAsia" w:ascii="仿宋" w:hAnsi="仿宋" w:eastAsia="仿宋" w:cs="仿宋"/>
          <w:color w:val="auto"/>
          <w:sz w:val="24"/>
          <w:szCs w:val="24"/>
          <w:highlight w:val="none"/>
        </w:rPr>
        <w:t>指合同双方当事人为实施、完成并保修合同工程所订立的合同文件。合同文件由第</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款所列的文件组成。</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1.</w:t>
      </w:r>
      <w:r>
        <w:rPr>
          <w:rFonts w:ascii="仿宋" w:hAnsi="仿宋" w:eastAsia="仿宋" w:cs="仿宋"/>
          <w:b/>
          <w:bCs/>
          <w:color w:val="auto"/>
          <w:sz w:val="24"/>
          <w:szCs w:val="24"/>
          <w:highlight w:val="none"/>
        </w:rPr>
        <w:t xml:space="preserve">2 </w:t>
      </w:r>
      <w:r>
        <w:rPr>
          <w:rFonts w:hint="eastAsia" w:ascii="仿宋" w:hAnsi="仿宋" w:eastAsia="仿宋" w:cs="仿宋"/>
          <w:b/>
          <w:bCs/>
          <w:color w:val="auto"/>
          <w:sz w:val="24"/>
          <w:szCs w:val="24"/>
          <w:highlight w:val="none"/>
        </w:rPr>
        <w:t>协议书：</w:t>
      </w:r>
      <w:r>
        <w:rPr>
          <w:rFonts w:hint="eastAsia" w:ascii="仿宋" w:hAnsi="仿宋" w:eastAsia="仿宋" w:cs="仿宋"/>
          <w:color w:val="auto"/>
          <w:sz w:val="24"/>
          <w:szCs w:val="24"/>
          <w:highlight w:val="none"/>
        </w:rPr>
        <w:t>是指构成合同的由发包人和承包人共同签署的称为“协议书”的书面文件。</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color w:val="auto"/>
          <w:sz w:val="24"/>
          <w:szCs w:val="24"/>
          <w:highlight w:val="none"/>
        </w:rPr>
        <w:t>1.</w:t>
      </w:r>
      <w:r>
        <w:rPr>
          <w:rFonts w:hint="eastAsia" w:ascii="仿宋" w:hAnsi="仿宋" w:eastAsia="仿宋" w:cs="仿宋"/>
          <w:b/>
          <w:color w:val="auto"/>
          <w:sz w:val="24"/>
          <w:szCs w:val="24"/>
          <w:highlight w:val="none"/>
        </w:rPr>
        <w:t>1.</w:t>
      </w:r>
      <w:r>
        <w:rPr>
          <w:rFonts w:ascii="仿宋" w:hAnsi="仿宋" w:eastAsia="仿宋" w:cs="仿宋"/>
          <w:b/>
          <w:color w:val="auto"/>
          <w:sz w:val="24"/>
          <w:szCs w:val="24"/>
          <w:highlight w:val="none"/>
        </w:rPr>
        <w:t xml:space="preserve">3 </w:t>
      </w:r>
      <w:r>
        <w:rPr>
          <w:rFonts w:hint="eastAsia" w:ascii="仿宋" w:hAnsi="仿宋" w:eastAsia="仿宋" w:cs="仿宋"/>
          <w:b/>
          <w:color w:val="auto"/>
          <w:sz w:val="24"/>
          <w:szCs w:val="24"/>
          <w:highlight w:val="none"/>
        </w:rPr>
        <w:t>通用条款：</w:t>
      </w:r>
      <w:r>
        <w:rPr>
          <w:rFonts w:hint="eastAsia" w:ascii="仿宋" w:hAnsi="仿宋" w:eastAsia="仿宋" w:cs="仿宋"/>
          <w:color w:val="auto"/>
          <w:sz w:val="24"/>
          <w:szCs w:val="24"/>
          <w:highlight w:val="none"/>
        </w:rPr>
        <w:t>指根据法律、法规以及建设项目工程总承包管理的需要所订立的，是通用于建设工程设计、采购、施工或设计、施工等阶段总承包实施的基础性合同条款。</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1.1.4 专用条款：</w:t>
      </w:r>
      <w:r>
        <w:rPr>
          <w:rFonts w:hint="eastAsia" w:ascii="仿宋" w:hAnsi="仿宋" w:eastAsia="仿宋" w:cs="仿宋"/>
          <w:color w:val="auto"/>
          <w:sz w:val="24"/>
          <w:szCs w:val="24"/>
          <w:highlight w:val="none"/>
        </w:rPr>
        <w:t>指合同双方当事人根据法律、法规，结合本合同工程实际情况，经协商达成一致意见的，专用于实施、完成本合同工程总承包范围与工程内容的条款。它是对通用条款的具体化，也是对通用条款的补充和完善。招标工程的专用条款，应当符合招标文件的实质性要求。</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1.5</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中标通知书：</w:t>
      </w:r>
      <w:r>
        <w:rPr>
          <w:rFonts w:hint="eastAsia" w:ascii="仿宋" w:hAnsi="仿宋" w:eastAsia="仿宋" w:cs="仿宋"/>
          <w:color w:val="auto"/>
          <w:sz w:val="24"/>
          <w:szCs w:val="24"/>
          <w:highlight w:val="none"/>
        </w:rPr>
        <w:t>是指构成合同的由发包人通知承包人中标的书面文件。中标通知书随附的澄清、说明、补正事项纪要等，是中标通知书的组成部分。</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bookmarkStart w:id="72" w:name="_Toc26352"/>
      <w:r>
        <w:rPr>
          <w:rFonts w:hint="eastAsia" w:ascii="仿宋" w:hAnsi="仿宋" w:eastAsia="仿宋" w:cs="仿宋"/>
          <w:b/>
          <w:bCs/>
          <w:color w:val="auto"/>
          <w:sz w:val="24"/>
          <w:szCs w:val="24"/>
          <w:highlight w:val="none"/>
        </w:rPr>
        <w:t>1.2 技术文件</w:t>
      </w:r>
      <w:bookmarkEnd w:id="72"/>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2.1</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标准、规范：</w:t>
      </w:r>
      <w:r>
        <w:rPr>
          <w:rFonts w:hint="eastAsia" w:ascii="仿宋" w:hAnsi="仿宋" w:eastAsia="仿宋" w:cs="仿宋"/>
          <w:color w:val="auto"/>
          <w:sz w:val="24"/>
          <w:szCs w:val="24"/>
          <w:highlight w:val="none"/>
        </w:rPr>
        <w:t>指承包人实施工程总承包过程中应依法遵守的国家、行业或地方性标准与规范，以及本合同约定的其它技术标准与规范，构成合同文件的组成部分。由双方在专用条款中明确约定。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1.2.2 《发包人要求》：</w:t>
      </w:r>
      <w:r>
        <w:rPr>
          <w:rFonts w:hint="eastAsia" w:ascii="仿宋" w:hAnsi="仿宋" w:eastAsia="仿宋" w:cs="仿宋"/>
          <w:color w:val="auto"/>
          <w:sz w:val="24"/>
          <w:szCs w:val="24"/>
          <w:highlight w:val="none"/>
        </w:rPr>
        <w:t>指发包人就工程总承包范围与工程内容提出相应要求的书面文件，包括勘察、设计、BIM技术应用、采购、施工等方面，构成合同文件的组成部分。由双方在专用条款中明确约定。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color w:val="auto"/>
          <w:sz w:val="24"/>
          <w:szCs w:val="24"/>
          <w:highlight w:val="none"/>
        </w:rPr>
        <w:t>1</w:t>
      </w:r>
      <w:r>
        <w:rPr>
          <w:rFonts w:hint="eastAsia" w:ascii="仿宋" w:hAnsi="仿宋" w:eastAsia="仿宋" w:cs="仿宋"/>
          <w:b/>
          <w:color w:val="auto"/>
          <w:sz w:val="24"/>
          <w:szCs w:val="24"/>
          <w:highlight w:val="none"/>
        </w:rPr>
        <w:t>.2.3</w:t>
      </w:r>
      <w:r>
        <w:rPr>
          <w:rFonts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rPr>
        <w:t>项目基础资料：</w:t>
      </w:r>
      <w:r>
        <w:rPr>
          <w:rFonts w:hint="eastAsia" w:ascii="仿宋" w:hAnsi="仿宋" w:eastAsia="仿宋" w:cs="仿宋"/>
          <w:color w:val="auto"/>
          <w:sz w:val="24"/>
          <w:szCs w:val="24"/>
          <w:highlight w:val="none"/>
        </w:rPr>
        <w:t>指按合同约定由发包人提供给承包人实施、完成工程总承包范围与工程内容所需的工程资料，构成合同文件的组成部分。发包人应提供的项目基础资料由双方在专用条款中明确约定。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2.4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技术标：</w:t>
      </w:r>
      <w:r>
        <w:rPr>
          <w:rFonts w:hint="eastAsia" w:ascii="仿宋" w:hAnsi="仿宋" w:eastAsia="仿宋" w:cs="仿宋"/>
          <w:color w:val="auto"/>
          <w:sz w:val="24"/>
          <w:szCs w:val="24"/>
          <w:highlight w:val="none"/>
        </w:rPr>
        <w:t>指承包人根据招标文件要求编制、签署并被发包人所接受的投标文件中技术部分及有效的澄清文件。</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bookmarkStart w:id="73" w:name="_Toc28161"/>
      <w:r>
        <w:rPr>
          <w:rFonts w:hint="eastAsia" w:ascii="仿宋" w:hAnsi="仿宋" w:eastAsia="仿宋" w:cs="仿宋"/>
          <w:b/>
          <w:bCs/>
          <w:color w:val="auto"/>
          <w:sz w:val="24"/>
          <w:szCs w:val="24"/>
          <w:highlight w:val="none"/>
        </w:rPr>
        <w:t>1.3 价格文件</w:t>
      </w:r>
      <w:bookmarkEnd w:id="73"/>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b/>
          <w:color w:val="auto"/>
          <w:sz w:val="24"/>
          <w:szCs w:val="24"/>
          <w:highlight w:val="none"/>
        </w:rPr>
        <w:t>3.1 签约合同价：</w:t>
      </w:r>
      <w:r>
        <w:rPr>
          <w:rFonts w:hint="eastAsia" w:ascii="仿宋" w:hAnsi="仿宋" w:eastAsia="仿宋"/>
          <w:color w:val="auto"/>
          <w:sz w:val="24"/>
          <w:szCs w:val="24"/>
          <w:highlight w:val="none"/>
        </w:rPr>
        <w:t>是指发包人和承包人在合同协议书中确定的总金额，包括暂估价及暂列金额等。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b/>
          <w:color w:val="auto"/>
          <w:sz w:val="24"/>
          <w:szCs w:val="24"/>
          <w:highlight w:val="none"/>
        </w:rPr>
        <w:t>3.2 合同价格：</w:t>
      </w:r>
      <w:r>
        <w:rPr>
          <w:rFonts w:hint="eastAsia" w:ascii="仿宋" w:hAnsi="仿宋" w:eastAsia="仿宋"/>
          <w:color w:val="auto"/>
          <w:sz w:val="24"/>
          <w:szCs w:val="24"/>
          <w:highlight w:val="none"/>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rPr>
        <w:t>发生</w:t>
      </w:r>
      <w:r>
        <w:rPr>
          <w:rFonts w:hint="eastAsia" w:ascii="仿宋" w:hAnsi="仿宋" w:eastAsia="仿宋"/>
          <w:color w:val="auto"/>
          <w:sz w:val="24"/>
          <w:szCs w:val="24"/>
          <w:highlight w:val="none"/>
        </w:rPr>
        <w:t>的价格变化。</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1.3.3 合同价格清单：</w:t>
      </w:r>
      <w:r>
        <w:rPr>
          <w:rFonts w:hint="eastAsia" w:ascii="仿宋" w:hAnsi="仿宋" w:eastAsia="仿宋" w:cs="仿宋"/>
          <w:color w:val="auto"/>
          <w:sz w:val="24"/>
          <w:szCs w:val="24"/>
          <w:highlight w:val="none"/>
        </w:rPr>
        <w:t>指承包人按发包人规定的格式和要求填写、标明总承包范围内所有服务和（或）施工内容的项目名称、项目特征、数量及价格的清单项目及价格明细表，是双方进行合同价格结算的依据。价格清单包括工程勘察费（如有）、工程设计费、BIM技术应用费、设备及工器具购置费（如有）、建筑安装工程费等各项费用及明细。招标工程为中标通知书所接受的经济标以及有效的澄清文件。</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中标价格：</w:t>
      </w:r>
      <w:r>
        <w:rPr>
          <w:rFonts w:hint="eastAsia" w:ascii="仿宋" w:hAnsi="仿宋" w:eastAsia="仿宋" w:cs="仿宋"/>
          <w:color w:val="auto"/>
          <w:sz w:val="24"/>
          <w:szCs w:val="24"/>
          <w:highlight w:val="none"/>
        </w:rPr>
        <w:t>指中标通知书中列明的，发包人接受中标人（承包人）完成工程总承包范围及工程内容并保修合同工程的价格。</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3.5</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经济标或报价文件：</w:t>
      </w:r>
      <w:r>
        <w:rPr>
          <w:rFonts w:hint="eastAsia" w:ascii="仿宋" w:hAnsi="仿宋" w:eastAsia="仿宋" w:cs="仿宋"/>
          <w:color w:val="auto"/>
          <w:sz w:val="24"/>
          <w:szCs w:val="24"/>
          <w:highlight w:val="none"/>
        </w:rPr>
        <w:t>指承包人根据招标文件要求编制、签署，并被发包人所接受的投标文件中的经济标及有效的澄清文件。</w:t>
      </w:r>
    </w:p>
    <w:p>
      <w:pPr>
        <w:pStyle w:val="22"/>
        <w:widowControl w:val="0"/>
        <w:tabs>
          <w:tab w:val="left" w:pos="1260"/>
          <w:tab w:val="left" w:pos="2160"/>
        </w:tabs>
        <w:adjustRightInd w:val="0"/>
        <w:spacing w:before="120" w:beforeLines="50" w:line="360" w:lineRule="auto"/>
        <w:ind w:left="1850" w:leftChars="771"/>
        <w:jc w:val="both"/>
        <w:rPr>
          <w:color w:val="auto"/>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3.6</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费用或成本</w:t>
      </w:r>
      <w:r>
        <w:rPr>
          <w:rFonts w:hint="eastAsia" w:ascii="仿宋" w:hAnsi="仿宋" w:eastAsia="仿宋" w:cs="仿宋"/>
          <w:color w:val="auto"/>
          <w:sz w:val="24"/>
          <w:szCs w:val="24"/>
          <w:highlight w:val="none"/>
        </w:rPr>
        <w:t>：指承包人履行本项目总承包合同过程中所发生或将发生的所有合理开支，包括管理费用或其他性质的合理开支，除合同专用条款及合同价格清单另有约定外，一般不包括利润和税金</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1.3.7 工程勘察费：</w:t>
      </w:r>
      <w:r>
        <w:rPr>
          <w:rFonts w:hint="eastAsia" w:ascii="仿宋" w:hAnsi="仿宋" w:eastAsia="仿宋" w:cs="仿宋"/>
          <w:color w:val="auto"/>
          <w:sz w:val="24"/>
          <w:szCs w:val="24"/>
          <w:highlight w:val="none"/>
        </w:rPr>
        <w:t>指承包人完成合同约定的工程勘察工作向发包人收取的服务费。</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1.3.8 工程设计费：</w:t>
      </w:r>
      <w:r>
        <w:rPr>
          <w:rFonts w:hint="eastAsia" w:ascii="仿宋" w:hAnsi="仿宋" w:eastAsia="仿宋" w:cs="仿宋"/>
          <w:color w:val="auto"/>
          <w:sz w:val="24"/>
          <w:szCs w:val="24"/>
          <w:highlight w:val="none"/>
        </w:rPr>
        <w:t>指承包人完成合同约定的设计工作向发包人收取的服务费。</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1.3.9 BIM技术应用费：</w:t>
      </w:r>
      <w:r>
        <w:rPr>
          <w:rFonts w:hint="eastAsia" w:ascii="仿宋" w:hAnsi="仿宋" w:eastAsia="仿宋" w:cs="仿宋"/>
          <w:color w:val="auto"/>
          <w:sz w:val="24"/>
          <w:szCs w:val="24"/>
          <w:highlight w:val="none"/>
        </w:rPr>
        <w:t>指承包人完成合同约定的BIM技术服务内容和（或）利用BIM技术进行正向设计与建模（或建模与出图同步完成）、施工实施、造价管理、运营维护等向发包人收取的费用。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1.3.10 设备及工器具购置费：</w:t>
      </w:r>
      <w:r>
        <w:rPr>
          <w:rFonts w:hint="eastAsia" w:ascii="仿宋" w:hAnsi="仿宋" w:eastAsia="仿宋" w:cs="仿宋"/>
          <w:color w:val="auto"/>
          <w:sz w:val="24"/>
          <w:szCs w:val="24"/>
          <w:highlight w:val="none"/>
        </w:rPr>
        <w:t>指合同约定由承包人负责为本项目提供发包人组织生产、运营、办公等所需设备及工器具的购置费用。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3.11 建筑安装工程费：</w:t>
      </w:r>
      <w:r>
        <w:rPr>
          <w:rFonts w:hint="eastAsia" w:ascii="仿宋" w:hAnsi="仿宋" w:eastAsia="仿宋" w:cs="仿宋"/>
          <w:bCs/>
          <w:color w:val="auto"/>
          <w:sz w:val="24"/>
          <w:szCs w:val="24"/>
          <w:highlight w:val="none"/>
        </w:rPr>
        <w:t>指</w:t>
      </w:r>
      <w:r>
        <w:rPr>
          <w:rFonts w:hint="eastAsia" w:ascii="仿宋" w:hAnsi="仿宋" w:eastAsia="仿宋" w:cs="仿宋"/>
          <w:color w:val="auto"/>
          <w:sz w:val="24"/>
          <w:szCs w:val="24"/>
          <w:highlight w:val="none"/>
        </w:rPr>
        <w:t>承包人按合同约定实施、完成并保修合同工程</w:t>
      </w:r>
      <w:r>
        <w:rPr>
          <w:rFonts w:hint="eastAsia" w:ascii="仿宋" w:hAnsi="仿宋" w:eastAsia="仿宋" w:cs="仿宋"/>
          <w:bCs/>
          <w:color w:val="auto"/>
          <w:sz w:val="24"/>
          <w:szCs w:val="24"/>
          <w:highlight w:val="none"/>
        </w:rPr>
        <w:t>的施工费用</w:t>
      </w:r>
      <w:r>
        <w:rPr>
          <w:rFonts w:hint="eastAsia" w:ascii="仿宋" w:hAnsi="仿宋" w:eastAsia="仿宋" w:cs="仿宋"/>
          <w:color w:val="auto"/>
          <w:sz w:val="24"/>
          <w:szCs w:val="24"/>
          <w:highlight w:val="none"/>
        </w:rPr>
        <w:t>。其中包含的</w:t>
      </w:r>
      <w:r>
        <w:rPr>
          <w:rFonts w:hint="eastAsia" w:ascii="仿宋" w:hAnsi="仿宋" w:eastAsia="仿宋" w:cs="仿宋"/>
          <w:bCs/>
          <w:color w:val="auto"/>
          <w:sz w:val="24"/>
          <w:szCs w:val="24"/>
          <w:highlight w:val="none"/>
        </w:rPr>
        <w:t>分部分项工程费、措施项目费、税金的定义分述如下：</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1.3.11.1</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分部分项工程费：</w:t>
      </w:r>
      <w:r>
        <w:rPr>
          <w:rFonts w:hint="eastAsia" w:ascii="仿宋" w:hAnsi="仿宋" w:eastAsia="仿宋" w:cs="仿宋"/>
          <w:color w:val="auto"/>
          <w:sz w:val="24"/>
          <w:szCs w:val="24"/>
          <w:highlight w:val="none"/>
        </w:rPr>
        <w:t>指为实施、完成并保修合同工程，发生于永久工程实体项目所需的人工费、材料费、施工机具使用费、管理费、利润和风险费用。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3.11.2</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措施项目费：</w:t>
      </w:r>
      <w:r>
        <w:rPr>
          <w:rFonts w:hint="eastAsia" w:ascii="仿宋" w:hAnsi="仿宋" w:eastAsia="仿宋" w:cs="仿宋"/>
          <w:color w:val="auto"/>
          <w:sz w:val="24"/>
          <w:szCs w:val="24"/>
          <w:highlight w:val="none"/>
        </w:rPr>
        <w:t>指为实施、完成并保修合同工程，发生于合同工程施工准备和施工过程中的技术、生活、安全、</w:t>
      </w:r>
      <w:r>
        <w:rPr>
          <w:rFonts w:hint="eastAsia" w:ascii="仿宋" w:hAnsi="仿宋" w:eastAsia="仿宋"/>
          <w:color w:val="auto"/>
          <w:sz w:val="24"/>
          <w:szCs w:val="24"/>
          <w:highlight w:val="none"/>
        </w:rPr>
        <w:t>环境保护等方面的非永久工程实体项目费用</w:t>
      </w:r>
      <w:r>
        <w:rPr>
          <w:rFonts w:hint="eastAsia" w:ascii="仿宋" w:hAnsi="仿宋" w:eastAsia="仿宋" w:cs="仿宋"/>
          <w:color w:val="auto"/>
          <w:sz w:val="24"/>
          <w:szCs w:val="24"/>
          <w:highlight w:val="none"/>
        </w:rPr>
        <w:t>。</w:t>
      </w:r>
    </w:p>
    <w:p>
      <w:pPr>
        <w:pStyle w:val="22"/>
        <w:widowControl w:val="0"/>
        <w:tabs>
          <w:tab w:val="left" w:pos="1260"/>
          <w:tab w:val="left" w:pos="2160"/>
        </w:tabs>
        <w:adjustRightInd w:val="0"/>
        <w:spacing w:before="120" w:beforeLines="50" w:line="360" w:lineRule="auto"/>
        <w:ind w:left="1850" w:leftChars="771"/>
        <w:jc w:val="both"/>
        <w:rPr>
          <w:color w:val="auto"/>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3.11.3</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税金：</w:t>
      </w:r>
      <w:r>
        <w:rPr>
          <w:rFonts w:hint="eastAsia" w:ascii="仿宋" w:hAnsi="仿宋" w:eastAsia="仿宋" w:cs="仿宋"/>
          <w:color w:val="auto"/>
          <w:sz w:val="24"/>
          <w:szCs w:val="24"/>
          <w:highlight w:val="none"/>
        </w:rPr>
        <w:t>指根据国家税法规定的应计入建筑安装工程造价内的增值税。</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.3.12 暂列金额：</w:t>
      </w:r>
      <w:r>
        <w:rPr>
          <w:rFonts w:hint="eastAsia" w:ascii="仿宋" w:hAnsi="仿宋" w:eastAsia="仿宋" w:cs="仿宋"/>
          <w:color w:val="auto"/>
          <w:sz w:val="24"/>
          <w:szCs w:val="24"/>
          <w:highlight w:val="none"/>
        </w:rPr>
        <w:t>指发包人在工程量清单中暂定并包括在合同总价中的一笔金额（如果有）。用于在签订协议书时尚未确定或者不可预见的工程某一部分的施工；所需某一部分材料、设备、服务等的采购；</w:t>
      </w:r>
      <w:r>
        <w:rPr>
          <w:rFonts w:hint="eastAsia" w:ascii="仿宋" w:hAnsi="仿宋" w:eastAsia="仿宋"/>
          <w:color w:val="auto"/>
          <w:sz w:val="24"/>
          <w:szCs w:val="24"/>
          <w:highlight w:val="none"/>
        </w:rPr>
        <w:t>合同约定的调整事项以及经确认的索赔</w:t>
      </w:r>
      <w:r>
        <w:rPr>
          <w:rFonts w:hint="eastAsia" w:ascii="仿宋" w:hAnsi="仿宋" w:eastAsia="仿宋" w:cs="仿宋"/>
          <w:color w:val="auto"/>
          <w:sz w:val="24"/>
          <w:szCs w:val="24"/>
          <w:highlight w:val="none"/>
        </w:rPr>
        <w:t>、现场签证等的金额（包括以计日工方式支付的金额）。实际发生时按合同约定的计价方法计算调整，实际未发生不予计取。</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3.13</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暂估价：</w:t>
      </w:r>
      <w:r>
        <w:rPr>
          <w:rFonts w:hint="eastAsia" w:ascii="仿宋" w:hAnsi="仿宋" w:eastAsia="仿宋"/>
          <w:color w:val="auto"/>
          <w:sz w:val="24"/>
          <w:szCs w:val="24"/>
          <w:highlight w:val="none"/>
        </w:rPr>
        <w:t>指发包人在工程量清单中暂定的，用于支付必然发生但签订合同前无法确定的部分材料</w:t>
      </w:r>
      <w:r>
        <w:rPr>
          <w:rFonts w:hint="eastAsia" w:ascii="仿宋" w:hAnsi="仿宋" w:eastAsia="仿宋" w:cs="仿宋"/>
          <w:color w:val="auto"/>
          <w:sz w:val="24"/>
          <w:szCs w:val="24"/>
          <w:highlight w:val="none"/>
        </w:rPr>
        <w:t>、设备及专业工程的价格（如果有）。合同履行过程中，应视所涉及的采购金额或工程费用大小，遵守招投标政策法规组织采购或专业工程招标或双方根据市场行情协商确定，并按合同约定的调整方法调整合同价格。</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3.14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计日工：</w:t>
      </w:r>
      <w:r>
        <w:rPr>
          <w:rFonts w:hint="eastAsia" w:ascii="仿宋" w:hAnsi="仿宋" w:eastAsia="仿宋" w:cs="仿宋"/>
          <w:color w:val="auto"/>
          <w:sz w:val="24"/>
          <w:szCs w:val="24"/>
          <w:highlight w:val="none"/>
        </w:rPr>
        <w:t>指在合同履行过程中，承包人完成发包人提出的总承包范围以外的零星项目或工作，按照合同中约定计价付款。</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3.15</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质量保证金：</w:t>
      </w:r>
      <w:r>
        <w:rPr>
          <w:rFonts w:hint="eastAsia" w:ascii="仿宋" w:hAnsi="仿宋" w:eastAsia="仿宋" w:cs="仿宋"/>
          <w:color w:val="auto"/>
          <w:sz w:val="24"/>
          <w:szCs w:val="24"/>
          <w:highlight w:val="none"/>
        </w:rPr>
        <w:t>指按照第</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9条约定用于保证在缺陷责任期内履行缺陷修复义务的金额。</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1.3.1</w:t>
      </w:r>
      <w:r>
        <w:rPr>
          <w:rFonts w:hint="eastAsia" w:ascii="仿宋" w:hAnsi="仿宋" w:eastAsia="仿宋" w:cs="仿宋"/>
          <w:b/>
          <w:bCs/>
          <w:color w:val="auto"/>
          <w:sz w:val="24"/>
          <w:szCs w:val="24"/>
          <w:highlight w:val="none"/>
          <w:lang w:val="en-US"/>
        </w:rPr>
        <w:t>6</w:t>
      </w:r>
      <w:r>
        <w:rPr>
          <w:rFonts w:hint="eastAsia" w:ascii="仿宋" w:hAnsi="仿宋" w:eastAsia="仿宋" w:cs="仿宋"/>
          <w:b/>
          <w:bCs/>
          <w:color w:val="auto"/>
          <w:sz w:val="24"/>
          <w:szCs w:val="24"/>
          <w:highlight w:val="none"/>
        </w:rPr>
        <w:t xml:space="preserve"> 利润：</w:t>
      </w:r>
      <w:r>
        <w:rPr>
          <w:rFonts w:hint="eastAsia" w:ascii="仿宋" w:hAnsi="仿宋" w:eastAsia="仿宋" w:cs="仿宋"/>
          <w:bCs/>
          <w:color w:val="auto"/>
          <w:sz w:val="24"/>
          <w:szCs w:val="24"/>
          <w:highlight w:val="none"/>
        </w:rPr>
        <w:t>系指专用合同条件中所列的适用的利润百分比（如未列出，则为百分之五（5%））。如承包人根据本合同的任何条款有权就成本加利润获得支付，则利润应以该部分成本作为基数计算。</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.3.1</w:t>
      </w:r>
      <w:r>
        <w:rPr>
          <w:rFonts w:hint="eastAsia" w:ascii="仿宋" w:hAnsi="仿宋" w:eastAsia="仿宋" w:cs="仿宋"/>
          <w:b/>
          <w:bCs/>
          <w:color w:val="auto"/>
          <w:sz w:val="24"/>
          <w:szCs w:val="24"/>
          <w:highlight w:val="none"/>
          <w:lang w:val="en-US"/>
        </w:rPr>
        <w:t>7</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工程款：</w:t>
      </w:r>
      <w:r>
        <w:rPr>
          <w:rFonts w:hint="eastAsia" w:ascii="仿宋" w:hAnsi="仿宋" w:eastAsia="仿宋" w:cs="仿宋"/>
          <w:color w:val="auto"/>
          <w:sz w:val="24"/>
          <w:szCs w:val="24"/>
          <w:highlight w:val="none"/>
        </w:rPr>
        <w:t>指为实施、完成并保修合同工程，发包人支付或应当支付给承包人的各种价款，包括进度款、结算款等。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1.3.1</w:t>
      </w:r>
      <w:r>
        <w:rPr>
          <w:rFonts w:hint="eastAsia" w:ascii="仿宋" w:hAnsi="仿宋" w:eastAsia="仿宋" w:cs="仿宋"/>
          <w:b/>
          <w:color w:val="auto"/>
          <w:sz w:val="24"/>
          <w:szCs w:val="24"/>
          <w:highlight w:val="none"/>
          <w:lang w:val="en-US"/>
        </w:rPr>
        <w:t>8</w:t>
      </w:r>
      <w:r>
        <w:rPr>
          <w:rFonts w:hint="eastAsia" w:ascii="仿宋" w:hAnsi="仿宋" w:eastAsia="仿宋" w:cs="仿宋"/>
          <w:b/>
          <w:color w:val="auto"/>
          <w:sz w:val="24"/>
          <w:szCs w:val="24"/>
          <w:highlight w:val="none"/>
        </w:rPr>
        <w:t xml:space="preserve"> 竣工结算书：</w:t>
      </w:r>
      <w:r>
        <w:rPr>
          <w:rFonts w:hint="eastAsia" w:ascii="仿宋" w:hAnsi="仿宋" w:eastAsia="仿宋" w:cs="仿宋"/>
          <w:color w:val="auto"/>
          <w:sz w:val="24"/>
          <w:szCs w:val="24"/>
          <w:highlight w:val="none"/>
        </w:rPr>
        <w:t>指合同工程通过竣工验收交付使用后，承包人按合同约定编制并经发包人审定的合同价格报表。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bookmarkStart w:id="74" w:name="_Toc30064"/>
      <w:r>
        <w:rPr>
          <w:rFonts w:hint="eastAsia" w:ascii="仿宋" w:hAnsi="仿宋" w:eastAsia="仿宋" w:cs="仿宋"/>
          <w:b/>
          <w:bCs/>
          <w:color w:val="auto"/>
          <w:sz w:val="24"/>
          <w:szCs w:val="24"/>
          <w:highlight w:val="none"/>
        </w:rPr>
        <w:t>1.4 承包范围及工程内容</w:t>
      </w:r>
      <w:bookmarkEnd w:id="74"/>
    </w:p>
    <w:p>
      <w:pPr>
        <w:pStyle w:val="22"/>
        <w:widowControl w:val="0"/>
        <w:tabs>
          <w:tab w:val="left" w:pos="1260"/>
          <w:tab w:val="left" w:pos="2160"/>
        </w:tabs>
        <w:adjustRightInd w:val="0"/>
        <w:spacing w:before="120" w:beforeLines="50" w:line="360" w:lineRule="auto"/>
        <w:ind w:left="1850" w:leftChars="771"/>
        <w:jc w:val="both"/>
        <w:rPr>
          <w:color w:val="auto"/>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4.1</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勘察：</w:t>
      </w:r>
      <w:r>
        <w:rPr>
          <w:rFonts w:hint="eastAsia" w:ascii="仿宋" w:hAnsi="仿宋" w:eastAsia="仿宋" w:cs="仿宋"/>
          <w:color w:val="auto"/>
          <w:sz w:val="24"/>
          <w:szCs w:val="24"/>
          <w:highlight w:val="none"/>
        </w:rPr>
        <w:t>指发包人要求承包人提供本项目的工程地质勘察服务。具体承包范围及工程内容由双方在协议书中约定。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4.2 设计：</w:t>
      </w:r>
      <w:r>
        <w:rPr>
          <w:rFonts w:hint="eastAsia" w:ascii="仿宋" w:hAnsi="仿宋" w:eastAsia="仿宋" w:cs="仿宋"/>
          <w:color w:val="auto"/>
          <w:sz w:val="24"/>
          <w:szCs w:val="24"/>
          <w:highlight w:val="none"/>
        </w:rPr>
        <w:t>指发包人要求承包人提供本项目的初步设计文件和（或）施工图设计文件及相关深化设计、后期配合等服务。具体承包范围及工程内容由双方在协议书中约定。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4.3  BIM技术应用：</w:t>
      </w:r>
      <w:r>
        <w:rPr>
          <w:rFonts w:hint="eastAsia" w:ascii="仿宋" w:hAnsi="仿宋" w:eastAsia="仿宋" w:cs="仿宋"/>
          <w:color w:val="auto"/>
          <w:sz w:val="24"/>
          <w:szCs w:val="24"/>
          <w:highlight w:val="none"/>
        </w:rPr>
        <w:t>指发包人要求承包人于勘察、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1.4.4 </w:t>
      </w:r>
      <w:bookmarkStart w:id="75" w:name="OLE_LINK8"/>
      <w:bookmarkStart w:id="76" w:name="OLE_LINK9"/>
      <w:r>
        <w:rPr>
          <w:rFonts w:hint="eastAsia" w:ascii="仿宋" w:hAnsi="仿宋" w:eastAsia="仿宋" w:cs="仿宋"/>
          <w:b/>
          <w:bCs/>
          <w:color w:val="auto"/>
          <w:sz w:val="24"/>
          <w:szCs w:val="24"/>
          <w:highlight w:val="none"/>
        </w:rPr>
        <w:t>BIM正向设计：</w:t>
      </w:r>
      <w:bookmarkEnd w:id="75"/>
      <w:bookmarkEnd w:id="76"/>
      <w:r>
        <w:rPr>
          <w:rFonts w:hint="eastAsia" w:ascii="仿宋" w:hAnsi="仿宋" w:eastAsia="仿宋" w:cs="仿宋"/>
          <w:color w:val="auto"/>
          <w:sz w:val="24"/>
          <w:szCs w:val="24"/>
          <w:highlight w:val="none"/>
        </w:rPr>
        <w:t>在三维环境下开展设计，将不同维度的相关信息进行集成统一形成建筑信息模型（BIM）的设计方式。</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4.5</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设备及工器具购置：</w:t>
      </w:r>
      <w:r>
        <w:rPr>
          <w:rFonts w:hint="eastAsia" w:ascii="仿宋" w:hAnsi="仿宋" w:eastAsia="仿宋" w:cs="仿宋"/>
          <w:color w:val="auto"/>
          <w:sz w:val="24"/>
          <w:szCs w:val="24"/>
          <w:highlight w:val="none"/>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4.6</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施工：</w:t>
      </w:r>
      <w:r>
        <w:rPr>
          <w:rFonts w:hint="eastAsia" w:ascii="仿宋" w:hAnsi="仿宋" w:eastAsia="仿宋" w:cs="仿宋"/>
          <w:color w:val="auto"/>
          <w:sz w:val="24"/>
          <w:szCs w:val="24"/>
          <w:highlight w:val="none"/>
        </w:rPr>
        <w:t>指发包人要求承包人建造、完成并保修工程。具体承包范围及工程内容由双方在协议书中约定。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bookmarkStart w:id="77" w:name="_Toc20462"/>
      <w:r>
        <w:rPr>
          <w:rFonts w:hint="eastAsia" w:ascii="仿宋" w:hAnsi="仿宋" w:eastAsia="仿宋" w:cs="仿宋"/>
          <w:b/>
          <w:bCs/>
          <w:color w:val="auto"/>
          <w:sz w:val="24"/>
          <w:szCs w:val="24"/>
          <w:highlight w:val="none"/>
        </w:rPr>
        <w:t>1.5 施工现场</w:t>
      </w:r>
      <w:bookmarkEnd w:id="77"/>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5.1</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施工现场：</w:t>
      </w:r>
      <w:r>
        <w:rPr>
          <w:rFonts w:hint="eastAsia" w:ascii="仿宋" w:hAnsi="仿宋" w:eastAsia="仿宋" w:cs="仿宋"/>
          <w:color w:val="auto"/>
          <w:sz w:val="24"/>
          <w:szCs w:val="24"/>
          <w:highlight w:val="none"/>
        </w:rPr>
        <w:t>指由发包人提供的用于合同工程施工、材料设备存放的场所，以及发包人在合同中具体指定的供施工使用的其他任何场所。</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rPr>
      </w:pPr>
      <w:r>
        <w:rPr>
          <w:rFonts w:hint="eastAsia" w:ascii="仿宋" w:hAnsi="仿宋" w:eastAsia="仿宋"/>
          <w:b/>
          <w:color w:val="auto"/>
          <w:sz w:val="24"/>
          <w:szCs w:val="24"/>
          <w:highlight w:val="none"/>
        </w:rPr>
        <w:t>1.5.2 现场进入权：</w:t>
      </w:r>
      <w:r>
        <w:rPr>
          <w:rFonts w:hint="eastAsia" w:ascii="仿宋" w:hAnsi="仿宋" w:eastAsia="仿宋"/>
          <w:color w:val="auto"/>
          <w:sz w:val="24"/>
          <w:szCs w:val="24"/>
          <w:highlight w:val="none"/>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rPr>
        <w:t>时间、占用各部分内容（建筑物、构筑物、生产设备等）及占用方式</w:t>
      </w:r>
      <w:r>
        <w:rPr>
          <w:rFonts w:hint="eastAsia" w:ascii="仿宋" w:hAnsi="仿宋" w:eastAsia="仿宋"/>
          <w:color w:val="auto"/>
          <w:sz w:val="24"/>
          <w:szCs w:val="24"/>
          <w:highlight w:val="none"/>
        </w:rPr>
        <w:t>，由合同双方在专用条款中约定。</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bookmarkStart w:id="78" w:name="_Toc23046"/>
      <w:r>
        <w:rPr>
          <w:rFonts w:hint="eastAsia" w:ascii="仿宋" w:hAnsi="仿宋" w:eastAsia="仿宋" w:cs="仿宋"/>
          <w:b/>
          <w:bCs/>
          <w:color w:val="auto"/>
          <w:sz w:val="24"/>
          <w:szCs w:val="24"/>
          <w:highlight w:val="none"/>
        </w:rPr>
        <w:t>1.6 合同当事人及相关方</w:t>
      </w:r>
      <w:bookmarkEnd w:id="78"/>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w:t>1.6.1合同当事人：</w:t>
      </w:r>
      <w:r>
        <w:rPr>
          <w:rFonts w:hint="eastAsia" w:ascii="仿宋" w:hAnsi="仿宋" w:eastAsia="仿宋" w:cs="仿宋"/>
          <w:bCs/>
          <w:color w:val="auto"/>
          <w:sz w:val="24"/>
          <w:szCs w:val="24"/>
          <w:highlight w:val="none"/>
        </w:rPr>
        <w:t>指发包人和（或）承包人。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6.2</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发包人：</w:t>
      </w:r>
      <w:r>
        <w:rPr>
          <w:rFonts w:hint="eastAsia" w:ascii="仿宋" w:hAnsi="仿宋" w:eastAsia="仿宋" w:cs="仿宋"/>
          <w:color w:val="auto"/>
          <w:sz w:val="24"/>
          <w:szCs w:val="24"/>
          <w:highlight w:val="none"/>
        </w:rPr>
        <w:t>指在协议书中约定，具有工程发包主体资格和支付工程款能力的当事人，以及取得该当事人资格的合法继承人。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6.3</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承包人：</w:t>
      </w:r>
      <w:r>
        <w:rPr>
          <w:rFonts w:hint="eastAsia" w:ascii="仿宋" w:hAnsi="仿宋" w:eastAsia="仿宋" w:cs="仿宋"/>
          <w:color w:val="auto"/>
          <w:sz w:val="24"/>
          <w:szCs w:val="24"/>
          <w:highlight w:val="none"/>
        </w:rPr>
        <w:t>指在协议书中约定，被发包人接受且具有勘察、设计、采购、施工或设计、施工等阶段总承包主体资格的当事人，以及取得该当事人资格的合法继承人。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1.6.4 联合体：</w:t>
      </w:r>
      <w:r>
        <w:rPr>
          <w:rFonts w:hint="eastAsia" w:ascii="仿宋" w:hAnsi="仿宋" w:eastAsia="仿宋" w:cs="仿宋"/>
          <w:bCs/>
          <w:color w:val="auto"/>
          <w:sz w:val="24"/>
          <w:szCs w:val="24"/>
          <w:highlight w:val="none"/>
        </w:rPr>
        <w:t>指经发包人同意由两个或两个以上法人或者其它组织组成的，</w:t>
      </w:r>
      <w:r>
        <w:rPr>
          <w:rFonts w:hint="eastAsia" w:ascii="仿宋" w:hAnsi="仿宋" w:eastAsia="仿宋" w:cs="仿宋"/>
          <w:color w:val="auto"/>
          <w:sz w:val="24"/>
          <w:szCs w:val="24"/>
          <w:highlight w:val="none"/>
        </w:rPr>
        <w:t>作为承包人的临时机构，联合体各方向发包人承担连带责任。联合体各方应指定其中一方作为主办方。</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6.5</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分包人：</w:t>
      </w:r>
      <w:r>
        <w:rPr>
          <w:rFonts w:hint="eastAsia" w:ascii="仿宋" w:hAnsi="仿宋" w:eastAsia="仿宋" w:cs="仿宋"/>
          <w:color w:val="auto"/>
          <w:sz w:val="24"/>
          <w:szCs w:val="24"/>
          <w:highlight w:val="none"/>
        </w:rPr>
        <w:t>指承包人对总承包范围内的部分工程、货物或服务依法进行招标或直接进行分包，被发包人接受且具有相应资格，并与承包人签订了分包合同，接受承包人管理，依法开展施工、供货或服务的分包合同当事人，以及取得该分包合同当事人资格的合法继承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6.6</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相关方：</w:t>
      </w:r>
      <w:r>
        <w:rPr>
          <w:rFonts w:hint="eastAsia" w:ascii="仿宋" w:hAnsi="仿宋" w:eastAsia="仿宋" w:cs="仿宋"/>
          <w:color w:val="auto"/>
          <w:sz w:val="24"/>
          <w:szCs w:val="24"/>
          <w:highlight w:val="none"/>
        </w:rPr>
        <w:t>除合同当事人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含双方雇员及代表其工作的人员</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以外的任何他人、法人或组织。</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1.6.7 设计顾问人：</w:t>
      </w:r>
      <w:r>
        <w:rPr>
          <w:rFonts w:hint="eastAsia" w:ascii="仿宋" w:hAnsi="仿宋" w:eastAsia="仿宋" w:cs="仿宋"/>
          <w:color w:val="auto"/>
          <w:sz w:val="24"/>
          <w:szCs w:val="24"/>
          <w:highlight w:val="none"/>
        </w:rPr>
        <w:t>指受发包人委托，在项目建设各阶段协助发包人监督管理承包人的工程设计活动、审核设计成果、提供设计优化建议、审核设计变更、参与相关设计评审会、参与竣工验收等的自然人、法人或</w:t>
      </w:r>
      <w:r>
        <w:rPr>
          <w:rFonts w:hint="eastAsia" w:ascii="仿宋" w:hAnsi="仿宋" w:eastAsia="仿宋" w:cs="仿宋"/>
          <w:color w:val="auto"/>
          <w:sz w:val="24"/>
          <w:szCs w:val="24"/>
          <w:highlight w:val="none"/>
          <w:lang w:val="en-US"/>
        </w:rPr>
        <w:t>其他</w:t>
      </w:r>
      <w:r>
        <w:rPr>
          <w:rFonts w:hint="eastAsia" w:ascii="仿宋" w:hAnsi="仿宋" w:eastAsia="仿宋" w:cs="仿宋"/>
          <w:color w:val="auto"/>
          <w:sz w:val="24"/>
          <w:szCs w:val="24"/>
          <w:highlight w:val="none"/>
        </w:rPr>
        <w:t>组织。</w:t>
      </w:r>
    </w:p>
    <w:p>
      <w:pPr>
        <w:pStyle w:val="22"/>
        <w:widowControl w:val="0"/>
        <w:tabs>
          <w:tab w:val="left" w:pos="1260"/>
          <w:tab w:val="left" w:pos="2160"/>
        </w:tabs>
        <w:adjustRightInd w:val="0"/>
        <w:spacing w:before="120" w:beforeLines="50" w:line="360" w:lineRule="auto"/>
        <w:ind w:left="1850" w:leftChars="771"/>
        <w:jc w:val="both"/>
        <w:rPr>
          <w:color w:val="auto"/>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6.8</w:t>
      </w:r>
      <w:r>
        <w:rPr>
          <w:rFonts w:ascii="仿宋" w:hAnsi="仿宋" w:eastAsia="仿宋" w:cs="仿宋"/>
          <w:b/>
          <w:bCs/>
          <w:color w:val="auto"/>
          <w:sz w:val="24"/>
          <w:szCs w:val="24"/>
          <w:highlight w:val="none"/>
        </w:rPr>
        <w:t xml:space="preserve"> </w:t>
      </w:r>
      <w:r>
        <w:rPr>
          <w:rFonts w:hint="eastAsia" w:ascii="仿宋" w:hAnsi="仿宋" w:eastAsia="仿宋" w:cs="仿宋"/>
          <w:b/>
          <w:color w:val="auto"/>
          <w:sz w:val="24"/>
          <w:szCs w:val="24"/>
          <w:highlight w:val="none"/>
        </w:rPr>
        <w:t>监理人</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指受发包人委托，负责合同工程的施工阶段及保修阶段监理且具有相应工程监理资质的法人或组织。</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6.9</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造价咨询人：</w:t>
      </w:r>
      <w:r>
        <w:rPr>
          <w:rFonts w:hint="eastAsia" w:ascii="仿宋" w:hAnsi="仿宋" w:eastAsia="仿宋" w:cs="仿宋"/>
          <w:color w:val="auto"/>
          <w:sz w:val="24"/>
          <w:szCs w:val="24"/>
          <w:highlight w:val="none"/>
        </w:rPr>
        <w:t>指受发包人委托，负责合同工程的工程造价管理的法人或组织。</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6.10</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工程造价管理机构：</w:t>
      </w:r>
      <w:r>
        <w:rPr>
          <w:rFonts w:hint="eastAsia" w:ascii="仿宋" w:hAnsi="仿宋" w:eastAsia="仿宋" w:cs="仿宋"/>
          <w:color w:val="auto"/>
          <w:sz w:val="24"/>
          <w:szCs w:val="24"/>
          <w:highlight w:val="none"/>
        </w:rPr>
        <w:t>指国务院有关部门、县级以上人民政府建设行政主管部门或受其委托的工程造价管理机构。</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6.11</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发包人代表：</w:t>
      </w:r>
      <w:r>
        <w:rPr>
          <w:rFonts w:hint="eastAsia" w:ascii="仿宋" w:hAnsi="仿宋" w:eastAsia="仿宋" w:cs="仿宋"/>
          <w:color w:val="auto"/>
          <w:sz w:val="24"/>
          <w:szCs w:val="24"/>
          <w:highlight w:val="none"/>
        </w:rPr>
        <w:t>指发包人指定，代表发包人对合同工程进行管理的全权代表。发包人代表由发包人依据第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5</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款规定任命并书面通知承包人。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6.12</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承包人代表及专业负责人：</w:t>
      </w:r>
      <w:r>
        <w:rPr>
          <w:rFonts w:hint="eastAsia" w:ascii="仿宋" w:hAnsi="仿宋" w:eastAsia="仿宋" w:cs="仿宋"/>
          <w:color w:val="auto"/>
          <w:sz w:val="24"/>
          <w:szCs w:val="24"/>
          <w:highlight w:val="none"/>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9</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款规定任命并书面通知发包人。其中：</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1.6.12.1 勘察负责人</w:t>
      </w:r>
      <w:r>
        <w:rPr>
          <w:rFonts w:hint="eastAsia" w:ascii="仿宋" w:hAnsi="仿宋" w:eastAsia="仿宋" w:cs="仿宋"/>
          <w:color w:val="auto"/>
          <w:sz w:val="24"/>
          <w:szCs w:val="24"/>
          <w:highlight w:val="none"/>
        </w:rPr>
        <w:t>：指承包人指定负责开展勘察工作并具有相应资格的人员。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1.6.12.2 设计负责人：</w:t>
      </w:r>
      <w:r>
        <w:rPr>
          <w:rFonts w:hint="eastAsia" w:ascii="仿宋" w:hAnsi="仿宋" w:eastAsia="仿宋" w:cs="仿宋"/>
          <w:color w:val="auto"/>
          <w:sz w:val="24"/>
          <w:szCs w:val="24"/>
          <w:highlight w:val="none"/>
        </w:rPr>
        <w:t>指承包人指定负责开展设计工作并具有相应资格的人员。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1.6.12.3  BIM负责人：</w:t>
      </w:r>
      <w:r>
        <w:rPr>
          <w:rFonts w:hint="eastAsia" w:ascii="仿宋" w:hAnsi="仿宋" w:eastAsia="仿宋" w:cs="仿宋"/>
          <w:color w:val="auto"/>
          <w:sz w:val="24"/>
          <w:szCs w:val="24"/>
          <w:highlight w:val="none"/>
        </w:rPr>
        <w:t>指承包人指定负责开展BIM技术应用工作并具有相应资格的人员。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1.6.12.4 采购负责人</w:t>
      </w:r>
      <w:r>
        <w:rPr>
          <w:rFonts w:hint="eastAsia" w:ascii="仿宋" w:hAnsi="仿宋" w:eastAsia="仿宋" w:cs="仿宋"/>
          <w:color w:val="auto"/>
          <w:sz w:val="24"/>
          <w:szCs w:val="24"/>
          <w:highlight w:val="none"/>
        </w:rPr>
        <w:t>：指承包人指定负责开展材料、工程设备、装配式构件、设备及工器具等采购工作的人员。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1.6.12.5 施工负责人：</w:t>
      </w:r>
      <w:r>
        <w:rPr>
          <w:rFonts w:hint="eastAsia" w:ascii="仿宋" w:hAnsi="仿宋" w:eastAsia="仿宋" w:cs="仿宋"/>
          <w:color w:val="auto"/>
          <w:sz w:val="24"/>
          <w:szCs w:val="24"/>
          <w:highlight w:val="none"/>
        </w:rPr>
        <w:t>指承包人指定负责工程施工管理并具有相应资格的人员。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1.6.12.6 其他工作负责人（如有）：</w:t>
      </w:r>
      <w:r>
        <w:rPr>
          <w:rFonts w:hint="eastAsia" w:ascii="仿宋" w:hAnsi="仿宋" w:eastAsia="仿宋" w:cs="仿宋"/>
          <w:color w:val="auto"/>
          <w:sz w:val="24"/>
          <w:szCs w:val="24"/>
          <w:highlight w:val="none"/>
        </w:rPr>
        <w:t>指承包人指定负责开展其他工作并具有相应资格（如有</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的人员。</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6.13 设计顾问工程师：</w:t>
      </w:r>
      <w:r>
        <w:rPr>
          <w:rFonts w:hint="eastAsia" w:ascii="仿宋" w:hAnsi="仿宋" w:eastAsia="仿宋" w:cs="仿宋"/>
          <w:color w:val="auto"/>
          <w:sz w:val="24"/>
          <w:szCs w:val="24"/>
          <w:highlight w:val="none"/>
        </w:rPr>
        <w:t>指设计顾问人委派负责合同工程的设计专业技术咨询的专业人员。设计顾问工程师由设计顾问人提名，经发包人依据第26.1款规定任命并书面通知承包人。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6.14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监理工程师：</w:t>
      </w:r>
      <w:r>
        <w:rPr>
          <w:rFonts w:hint="eastAsia" w:ascii="仿宋" w:hAnsi="仿宋" w:eastAsia="仿宋" w:cs="仿宋"/>
          <w:color w:val="auto"/>
          <w:sz w:val="24"/>
          <w:szCs w:val="24"/>
          <w:highlight w:val="none"/>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7</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款规定任命并书面通知承包人。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6.15</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造价工程师：</w:t>
      </w:r>
      <w:r>
        <w:rPr>
          <w:rFonts w:hint="eastAsia" w:ascii="仿宋" w:hAnsi="仿宋" w:eastAsia="仿宋" w:cs="仿宋"/>
          <w:color w:val="auto"/>
          <w:sz w:val="24"/>
          <w:szCs w:val="24"/>
          <w:highlight w:val="none"/>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8</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款规定任命并书面通知承包人。</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bookmarkStart w:id="79" w:name="_Toc27450"/>
      <w:r>
        <w:rPr>
          <w:rFonts w:hint="eastAsia" w:ascii="仿宋" w:hAnsi="仿宋" w:eastAsia="仿宋" w:cs="仿宋"/>
          <w:b/>
          <w:bCs/>
          <w:color w:val="auto"/>
          <w:sz w:val="24"/>
          <w:szCs w:val="24"/>
          <w:highlight w:val="none"/>
        </w:rPr>
        <w:t>1.7 工期</w:t>
      </w:r>
      <w:bookmarkEnd w:id="79"/>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7.1</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合同工期：</w:t>
      </w:r>
      <w:r>
        <w:rPr>
          <w:rFonts w:hint="eastAsia" w:ascii="仿宋" w:hAnsi="仿宋" w:eastAsia="仿宋" w:cs="仿宋"/>
          <w:color w:val="auto"/>
          <w:sz w:val="24"/>
          <w:szCs w:val="24"/>
          <w:highlight w:val="none"/>
        </w:rPr>
        <w:t>指合同双方当事人在协议书中约定，按照总日历天数（包括法定节假日）计算的从开始实施到完成合同工程的天数。包括勘察工期、设计工期、施工工期等。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.7.2</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开始工作日期与开工日期：</w:t>
      </w:r>
      <w:r>
        <w:rPr>
          <w:rFonts w:hint="eastAsia" w:ascii="仿宋" w:hAnsi="仿宋" w:eastAsia="仿宋" w:cs="仿宋"/>
          <w:bCs/>
          <w:color w:val="auto"/>
          <w:sz w:val="24"/>
          <w:szCs w:val="24"/>
          <w:highlight w:val="none"/>
        </w:rPr>
        <w:t>开始工作日期</w:t>
      </w:r>
      <w:r>
        <w:rPr>
          <w:rFonts w:hint="eastAsia" w:ascii="仿宋" w:hAnsi="仿宋" w:eastAsia="仿宋" w:cs="仿宋"/>
          <w:color w:val="auto"/>
          <w:sz w:val="24"/>
          <w:szCs w:val="24"/>
          <w:highlight w:val="none"/>
        </w:rPr>
        <w:t>指发包人代表发出的工作指令中写明的、承包人按照合同约定最迟在该日期开始工程的勘察、初步设计和（或）施工图设计、设备及工器具购置等某项工作的日期；开工日期指根据第41条规定，监理人在开工令中写明的、承包人按照合同约定最迟在该日期开始施工的日期。</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7.3</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完成工作日期：</w:t>
      </w:r>
      <w:r>
        <w:rPr>
          <w:rFonts w:hint="eastAsia" w:ascii="仿宋" w:hAnsi="仿宋" w:eastAsia="仿宋" w:cs="仿宋"/>
          <w:color w:val="auto"/>
          <w:sz w:val="24"/>
          <w:szCs w:val="24"/>
          <w:highlight w:val="none"/>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7.4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竣工日期：</w:t>
      </w:r>
      <w:r>
        <w:rPr>
          <w:rFonts w:hint="eastAsia" w:ascii="仿宋" w:hAnsi="仿宋" w:eastAsia="仿宋" w:cs="仿宋"/>
          <w:color w:val="auto"/>
          <w:sz w:val="24"/>
          <w:szCs w:val="24"/>
          <w:highlight w:val="none"/>
        </w:rPr>
        <w:t>指承包人完成合同工程或某单项工程的施工后，由发包人按照第65条规定组织竣工验收、接收工程并颁发工程接收证书的日期。包括合同约定的工期与按合同规定允许调整的工期。</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7.5</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绝对日期：</w:t>
      </w:r>
      <w:r>
        <w:rPr>
          <w:rFonts w:hint="eastAsia" w:ascii="仿宋" w:hAnsi="仿宋" w:eastAsia="仿宋" w:cs="仿宋"/>
          <w:color w:val="auto"/>
          <w:sz w:val="24"/>
          <w:szCs w:val="24"/>
          <w:highlight w:val="none"/>
        </w:rPr>
        <w:t>指以公历年、月、日所表示的起止时间。</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7.6</w:t>
      </w:r>
      <w:r>
        <w:rPr>
          <w:b/>
          <w:bCs/>
          <w:color w:val="auto"/>
          <w:sz w:val="24"/>
          <w:szCs w:val="24"/>
          <w:highlight w:val="none"/>
        </w:rPr>
        <w:t xml:space="preserve"> </w:t>
      </w:r>
      <w:r>
        <w:rPr>
          <w:rFonts w:hint="eastAsia" w:ascii="仿宋" w:hAnsi="仿宋" w:eastAsia="仿宋" w:cs="仿宋"/>
          <w:b/>
          <w:bCs/>
          <w:color w:val="auto"/>
          <w:sz w:val="24"/>
          <w:szCs w:val="24"/>
          <w:highlight w:val="none"/>
        </w:rPr>
        <w:t>相对日期</w:t>
      </w:r>
      <w:r>
        <w:rPr>
          <w:rFonts w:hint="eastAsia"/>
          <w:b/>
          <w:bCs/>
          <w:color w:val="auto"/>
          <w:highlight w:val="none"/>
        </w:rPr>
        <w:t>：</w:t>
      </w:r>
      <w:r>
        <w:rPr>
          <w:rFonts w:hint="eastAsia" w:ascii="仿宋" w:hAnsi="仿宋" w:eastAsia="仿宋" w:cs="仿宋"/>
          <w:color w:val="auto"/>
          <w:sz w:val="24"/>
          <w:szCs w:val="24"/>
          <w:highlight w:val="none"/>
        </w:rPr>
        <w:t>指以日历天数表示两个绝对日期之间的时长，例如：合同签订日期后28天内开工。</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7.7</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基准日期：</w:t>
      </w:r>
      <w:r>
        <w:rPr>
          <w:rFonts w:hint="eastAsia" w:ascii="仿宋" w:hAnsi="仿宋" w:eastAsia="仿宋" w:cs="仿宋"/>
          <w:color w:val="auto"/>
          <w:sz w:val="24"/>
          <w:szCs w:val="24"/>
          <w:highlight w:val="none"/>
        </w:rPr>
        <w:t>指招标工程递交投标文件截止日期前</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天的日期；非招标工程订立合同前第</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天的日期。</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7.8</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缺陷责任期：</w:t>
      </w:r>
      <w:r>
        <w:rPr>
          <w:rFonts w:hint="eastAsia" w:ascii="仿宋" w:hAnsi="仿宋" w:eastAsia="仿宋" w:cs="仿宋"/>
          <w:color w:val="auto"/>
          <w:sz w:val="24"/>
          <w:szCs w:val="24"/>
          <w:highlight w:val="none"/>
        </w:rPr>
        <w:t>指履行第66</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3款规定的缺陷责任的期限。具体期限在专用条款中约定，包括第66</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款规定的延长期限。</w:t>
      </w:r>
    </w:p>
    <w:p>
      <w:pPr>
        <w:pStyle w:val="22"/>
        <w:widowControl w:val="0"/>
        <w:tabs>
          <w:tab w:val="left" w:pos="1260"/>
          <w:tab w:val="left" w:pos="2160"/>
        </w:tabs>
        <w:adjustRightInd w:val="0"/>
        <w:spacing w:before="120" w:beforeLines="50" w:line="360" w:lineRule="auto"/>
        <w:ind w:left="1850" w:leftChars="771"/>
        <w:jc w:val="both"/>
        <w:rPr>
          <w:color w:val="auto"/>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7.9</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保修期：</w:t>
      </w:r>
      <w:r>
        <w:rPr>
          <w:rFonts w:hint="eastAsia" w:ascii="仿宋" w:hAnsi="仿宋" w:eastAsia="仿宋" w:cs="仿宋"/>
          <w:color w:val="auto"/>
          <w:sz w:val="24"/>
          <w:szCs w:val="24"/>
          <w:highlight w:val="none"/>
        </w:rPr>
        <w:t>是指承包人按照合同约定和法律规定对工程质量缺陷责任承担保修责任的期限，该期限自缺陷责任期起算之日起计算。</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7.10</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小时或天：</w:t>
      </w:r>
      <w:r>
        <w:rPr>
          <w:rFonts w:hint="eastAsia" w:ascii="仿宋" w:hAnsi="仿宋" w:eastAsia="仿宋" w:cs="仿宋"/>
          <w:color w:val="auto"/>
          <w:sz w:val="24"/>
          <w:szCs w:val="24"/>
          <w:highlight w:val="none"/>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rPr>
        <w:t>24:00</w:t>
      </w:r>
      <w:r>
        <w:rPr>
          <w:rFonts w:hint="eastAsia" w:ascii="仿宋" w:hAnsi="仿宋" w:eastAsia="仿宋" w:cs="仿宋"/>
          <w:color w:val="auto"/>
          <w:sz w:val="24"/>
          <w:szCs w:val="24"/>
          <w:highlight w:val="none"/>
        </w:rPr>
        <w:t>（即次日零点）。</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bookmarkStart w:id="80" w:name="_Toc29850"/>
      <w:r>
        <w:rPr>
          <w:rFonts w:hint="eastAsia" w:ascii="仿宋" w:hAnsi="仿宋" w:eastAsia="仿宋" w:cs="仿宋"/>
          <w:b/>
          <w:bCs/>
          <w:color w:val="auto"/>
          <w:sz w:val="24"/>
          <w:szCs w:val="24"/>
          <w:highlight w:val="none"/>
        </w:rPr>
        <w:t>1.8 工程、工程材料与设备、装配式构件</w:t>
      </w:r>
      <w:bookmarkEnd w:id="80"/>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8.1</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合同工程：</w:t>
      </w:r>
      <w:r>
        <w:rPr>
          <w:rFonts w:hint="eastAsia" w:ascii="仿宋" w:hAnsi="仿宋" w:eastAsia="仿宋" w:cs="仿宋"/>
          <w:color w:val="auto"/>
          <w:sz w:val="24"/>
          <w:szCs w:val="24"/>
          <w:highlight w:val="none"/>
        </w:rPr>
        <w:t>指合同双方当事人在协议书中约定的承包范围内的工程，包括永久工程和（或）临时工程。</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8.2</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永久工程：</w:t>
      </w:r>
      <w:r>
        <w:rPr>
          <w:rFonts w:hint="eastAsia" w:ascii="仿宋" w:hAnsi="仿宋" w:eastAsia="仿宋" w:cs="仿宋"/>
          <w:color w:val="auto"/>
          <w:sz w:val="24"/>
          <w:szCs w:val="24"/>
          <w:highlight w:val="none"/>
        </w:rPr>
        <w:t>指按照合同约定承包人应当实施、完成并移交给发包人的永久性工程，包括工程设备。</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8.3</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临时工程：</w:t>
      </w:r>
      <w:r>
        <w:rPr>
          <w:rFonts w:hint="eastAsia" w:ascii="仿宋" w:hAnsi="仿宋" w:eastAsia="仿宋" w:cs="仿宋"/>
          <w:color w:val="auto"/>
          <w:sz w:val="24"/>
          <w:szCs w:val="24"/>
          <w:highlight w:val="none"/>
        </w:rPr>
        <w:t>指实施、完成并保修永久工程过程中所需要的各类临时性工程，不包括施工设备。</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8.4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分包：</w:t>
      </w:r>
      <w:r>
        <w:rPr>
          <w:rFonts w:hint="eastAsia" w:ascii="仿宋" w:hAnsi="仿宋" w:eastAsia="仿宋" w:cs="仿宋"/>
          <w:color w:val="auto"/>
          <w:sz w:val="24"/>
          <w:szCs w:val="24"/>
          <w:highlight w:val="none"/>
        </w:rPr>
        <w:t>指合同工程中，由具有相应分包资质的分包人实施、完成的非主体、关键性工作。</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8.5</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shd w:val="clear" w:color="auto" w:fill="FFFFFF"/>
        </w:rPr>
        <w:t>单项工程：</w:t>
      </w:r>
      <w:r>
        <w:rPr>
          <w:rFonts w:hint="eastAsia" w:ascii="仿宋" w:hAnsi="仿宋" w:eastAsia="仿宋" w:cs="仿宋"/>
          <w:color w:val="auto"/>
          <w:sz w:val="24"/>
          <w:szCs w:val="24"/>
          <w:highlight w:val="none"/>
        </w:rPr>
        <w:t>指具有独立的设计文件，竣工后可以独立发挥生产能力和效益的永久工程。组成合同工程的单项工程名称、内容和范围等应在专用条款中明确。</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w:t>1.8.6 工程材料：</w:t>
      </w:r>
      <w:r>
        <w:rPr>
          <w:rFonts w:hint="eastAsia" w:ascii="仿宋" w:hAnsi="仿宋" w:eastAsia="仿宋" w:cs="仿宋"/>
          <w:bCs/>
          <w:color w:val="auto"/>
          <w:sz w:val="24"/>
          <w:szCs w:val="24"/>
          <w:highlight w:val="none"/>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rPr>
        <w:t>供应</w:t>
      </w:r>
      <w:r>
        <w:rPr>
          <w:rFonts w:hint="eastAsia" w:ascii="仿宋" w:hAnsi="仿宋" w:eastAsia="仿宋" w:cs="仿宋"/>
          <w:bCs/>
          <w:color w:val="auto"/>
          <w:sz w:val="24"/>
          <w:szCs w:val="24"/>
          <w:highlight w:val="none"/>
        </w:rPr>
        <w:t>的物品（如果有）。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w:t>1.8.7 装配式构件：</w:t>
      </w:r>
      <w:r>
        <w:rPr>
          <w:rFonts w:hint="eastAsia" w:ascii="仿宋" w:hAnsi="仿宋" w:eastAsia="仿宋" w:cs="仿宋"/>
          <w:bCs/>
          <w:color w:val="auto"/>
          <w:sz w:val="24"/>
          <w:szCs w:val="24"/>
          <w:highlight w:val="none"/>
        </w:rPr>
        <w:t>指由承包人工厂自行预制或采购、运输到施工现场进行吊装、拼接后构成永久工程实体，且符合装配式结构技术标准与施工规范的主要结构及围护构件（梁、板、柱、墙体等），包括钢结构构件、预制钢筋混凝土构件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8.8</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工程设备：</w:t>
      </w:r>
      <w:r>
        <w:rPr>
          <w:rFonts w:hint="eastAsia" w:ascii="仿宋" w:hAnsi="仿宋" w:eastAsia="仿宋" w:cs="仿宋"/>
          <w:color w:val="auto"/>
          <w:sz w:val="24"/>
          <w:szCs w:val="24"/>
          <w:highlight w:val="none"/>
        </w:rPr>
        <w:t>指构成永久工程实体、能够发挥建筑安装工程功能的建筑设备、机电设备及其他配套设备和装置。</w:t>
      </w:r>
    </w:p>
    <w:p>
      <w:pPr>
        <w:pStyle w:val="22"/>
        <w:widowControl w:val="0"/>
        <w:tabs>
          <w:tab w:val="left" w:pos="1260"/>
          <w:tab w:val="left" w:pos="2160"/>
        </w:tabs>
        <w:adjustRightInd w:val="0"/>
        <w:spacing w:before="120" w:beforeLines="50" w:line="360" w:lineRule="auto"/>
        <w:ind w:left="1850" w:leftChars="771"/>
        <w:jc w:val="both"/>
        <w:rPr>
          <w:color w:val="auto"/>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8.9</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设备及工器具：</w:t>
      </w:r>
      <w:r>
        <w:rPr>
          <w:rFonts w:hint="eastAsia" w:ascii="仿宋" w:hAnsi="仿宋" w:eastAsia="仿宋" w:cs="仿宋"/>
          <w:color w:val="auto"/>
          <w:sz w:val="24"/>
          <w:szCs w:val="24"/>
          <w:highlight w:val="none"/>
        </w:rPr>
        <w:t>指独立于永久工程的实体之外、用于生产或运营的生产设备、办公设备及相关工具、仪器。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8.10</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施工设备：</w:t>
      </w:r>
      <w:r>
        <w:rPr>
          <w:rFonts w:hint="eastAsia" w:ascii="仿宋" w:hAnsi="仿宋" w:eastAsia="仿宋" w:cs="仿宋"/>
          <w:color w:val="auto"/>
          <w:sz w:val="24"/>
          <w:szCs w:val="24"/>
          <w:highlight w:val="none"/>
        </w:rPr>
        <w:t>指为实施、完成并保修永久工程，由承包人临时带入工程现场的所有仪器、机械、运输工具或其他物品，但不包括业主设备（如果有）、用于生产或运营的设备及工器具（如果有）和其他不属于承包人的物品（如果有）。</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bookmarkStart w:id="81" w:name="_Toc32566"/>
      <w:r>
        <w:rPr>
          <w:rFonts w:hint="eastAsia" w:ascii="仿宋" w:hAnsi="仿宋" w:eastAsia="仿宋" w:cs="仿宋"/>
          <w:b/>
          <w:bCs/>
          <w:color w:val="auto"/>
          <w:sz w:val="24"/>
          <w:szCs w:val="24"/>
          <w:highlight w:val="none"/>
        </w:rPr>
        <w:t>1.9 缺陷及修复</w:t>
      </w:r>
      <w:bookmarkEnd w:id="81"/>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r>
        <w:rPr>
          <w:rFonts w:hint="eastAsia" w:ascii="仿宋" w:hAnsi="仿宋" w:eastAsia="仿宋"/>
          <w:b/>
          <w:color w:val="auto"/>
          <w:sz w:val="24"/>
          <w:szCs w:val="24"/>
          <w:highlight w:val="none"/>
        </w:rPr>
        <w:t>1.9.1</w:t>
      </w:r>
      <w:r>
        <w:rPr>
          <w:rFonts w:hint="eastAsia" w:ascii="仿宋" w:hAnsi="仿宋" w:eastAsia="仿宋" w:cs="仿宋"/>
          <w:b/>
          <w:bCs/>
          <w:color w:val="auto"/>
          <w:sz w:val="24"/>
          <w:szCs w:val="24"/>
          <w:highlight w:val="none"/>
        </w:rPr>
        <w:t xml:space="preserve"> 勘察缺陷：</w:t>
      </w:r>
      <w:r>
        <w:rPr>
          <w:rFonts w:hint="eastAsia" w:ascii="仿宋" w:hAnsi="仿宋" w:eastAsia="仿宋" w:cs="仿宋"/>
          <w:bCs/>
          <w:color w:val="auto"/>
          <w:sz w:val="24"/>
          <w:szCs w:val="24"/>
          <w:highlight w:val="none"/>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val="en-US"/>
        </w:rPr>
        <w:t>导致设计成果或已完</w:t>
      </w:r>
      <w:r>
        <w:rPr>
          <w:rFonts w:hint="eastAsia" w:ascii="仿宋" w:hAnsi="仿宋" w:eastAsia="仿宋" w:cs="仿宋"/>
          <w:bCs/>
          <w:color w:val="auto"/>
          <w:sz w:val="24"/>
          <w:szCs w:val="24"/>
          <w:highlight w:val="none"/>
        </w:rPr>
        <w:t>工程存在重大缺陷或出现质量事故。</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rPr>
      </w:pPr>
      <w:r>
        <w:rPr>
          <w:rFonts w:hint="eastAsia" w:ascii="仿宋" w:hAnsi="仿宋" w:eastAsia="仿宋"/>
          <w:b/>
          <w:color w:val="auto"/>
          <w:sz w:val="24"/>
          <w:szCs w:val="24"/>
          <w:highlight w:val="none"/>
        </w:rPr>
        <w:t>1.9.2</w:t>
      </w:r>
      <w:r>
        <w:rPr>
          <w:rFonts w:hint="eastAsia" w:ascii="仿宋" w:hAnsi="仿宋" w:eastAsia="仿宋" w:cs="仿宋"/>
          <w:b/>
          <w:bCs/>
          <w:color w:val="auto"/>
          <w:sz w:val="24"/>
          <w:szCs w:val="24"/>
          <w:highlight w:val="none"/>
        </w:rPr>
        <w:t xml:space="preserve"> 设计缺陷：</w:t>
      </w:r>
      <w:r>
        <w:rPr>
          <w:rFonts w:hint="eastAsia" w:ascii="仿宋" w:hAnsi="仿宋" w:eastAsia="仿宋" w:cs="仿宋"/>
          <w:bCs/>
          <w:color w:val="auto"/>
          <w:sz w:val="24"/>
          <w:szCs w:val="24"/>
          <w:highlight w:val="none"/>
        </w:rPr>
        <w:t>指因承包人未按合同约定的要求进行工程设计或设计成果不符合合同约定的标准规范及发包人具体要求，</w:t>
      </w:r>
      <w:r>
        <w:rPr>
          <w:rFonts w:ascii="仿宋" w:hAnsi="仿宋" w:eastAsia="仿宋"/>
          <w:color w:val="auto"/>
          <w:sz w:val="24"/>
          <w:szCs w:val="24"/>
          <w:highlight w:val="none"/>
          <w:lang w:val="en-US"/>
        </w:rPr>
        <w:t>设计文件存在遗漏、错误</w:t>
      </w:r>
      <w:r>
        <w:rPr>
          <w:rFonts w:hint="eastAsia" w:ascii="仿宋" w:hAnsi="仿宋" w:eastAsia="仿宋"/>
          <w:color w:val="auto"/>
          <w:sz w:val="24"/>
          <w:szCs w:val="24"/>
          <w:highlight w:val="none"/>
        </w:rPr>
        <w:t>或超过限额设计指标</w:t>
      </w:r>
      <w:r>
        <w:rPr>
          <w:rFonts w:hint="eastAsia" w:ascii="仿宋" w:hAnsi="仿宋" w:eastAsia="仿宋"/>
          <w:color w:val="auto"/>
          <w:sz w:val="24"/>
          <w:szCs w:val="24"/>
          <w:highlight w:val="none"/>
          <w:lang w:val="en-US"/>
        </w:rPr>
        <w:t>，导致</w:t>
      </w:r>
      <w:r>
        <w:rPr>
          <w:rFonts w:hint="eastAsia" w:ascii="仿宋" w:hAnsi="仿宋" w:eastAsia="仿宋"/>
          <w:color w:val="auto"/>
          <w:sz w:val="24"/>
          <w:szCs w:val="24"/>
          <w:highlight w:val="none"/>
        </w:rPr>
        <w:t>已完</w:t>
      </w:r>
      <w:r>
        <w:rPr>
          <w:rFonts w:hint="eastAsia" w:ascii="仿宋" w:hAnsi="仿宋" w:eastAsia="仿宋" w:cs="仿宋"/>
          <w:bCs/>
          <w:color w:val="auto"/>
          <w:sz w:val="24"/>
          <w:szCs w:val="24"/>
          <w:highlight w:val="none"/>
        </w:rPr>
        <w:t>工程存在重大缺陷、出现质量事故或增加工程费用。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rPr>
      </w:pPr>
      <w:r>
        <w:rPr>
          <w:rFonts w:hint="eastAsia" w:ascii="仿宋" w:hAnsi="仿宋" w:eastAsia="仿宋"/>
          <w:b/>
          <w:color w:val="auto"/>
          <w:sz w:val="24"/>
          <w:szCs w:val="24"/>
          <w:highlight w:val="none"/>
        </w:rPr>
        <w:t xml:space="preserve">1.9.3 </w:t>
      </w:r>
      <w:r>
        <w:rPr>
          <w:rFonts w:hint="eastAsia" w:ascii="仿宋" w:hAnsi="仿宋" w:eastAsia="仿宋" w:cs="仿宋"/>
          <w:b/>
          <w:bCs/>
          <w:color w:val="auto"/>
          <w:sz w:val="24"/>
          <w:szCs w:val="24"/>
          <w:highlight w:val="none"/>
        </w:rPr>
        <w:t xml:space="preserve"> BIM技术应用缺陷：</w:t>
      </w:r>
      <w:r>
        <w:rPr>
          <w:rFonts w:hint="eastAsia" w:ascii="仿宋" w:hAnsi="仿宋" w:eastAsia="仿宋" w:cs="仿宋"/>
          <w:bCs/>
          <w:color w:val="auto"/>
          <w:sz w:val="24"/>
          <w:szCs w:val="24"/>
          <w:highlight w:val="none"/>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val="en-US"/>
        </w:rPr>
        <w:t>建筑信息模型（BIM）及相关工作</w:t>
      </w:r>
      <w:r>
        <w:rPr>
          <w:rFonts w:ascii="仿宋" w:hAnsi="仿宋" w:eastAsia="仿宋"/>
          <w:color w:val="auto"/>
          <w:sz w:val="24"/>
          <w:szCs w:val="24"/>
          <w:highlight w:val="none"/>
          <w:lang w:val="en-US"/>
        </w:rPr>
        <w:t>存在遗漏、错误</w:t>
      </w:r>
      <w:r>
        <w:rPr>
          <w:rFonts w:hint="eastAsia" w:ascii="仿宋" w:hAnsi="仿宋" w:eastAsia="仿宋"/>
          <w:color w:val="auto"/>
          <w:sz w:val="24"/>
          <w:szCs w:val="24"/>
          <w:highlight w:val="none"/>
          <w:lang w:val="en-US"/>
        </w:rPr>
        <w:t>，导致</w:t>
      </w:r>
      <w:r>
        <w:rPr>
          <w:rFonts w:hint="eastAsia" w:ascii="仿宋" w:hAnsi="仿宋" w:eastAsia="仿宋"/>
          <w:color w:val="auto"/>
          <w:sz w:val="24"/>
          <w:szCs w:val="24"/>
          <w:highlight w:val="none"/>
        </w:rPr>
        <w:t>已完</w:t>
      </w:r>
      <w:r>
        <w:rPr>
          <w:rFonts w:hint="eastAsia" w:ascii="仿宋" w:hAnsi="仿宋" w:eastAsia="仿宋" w:cs="仿宋"/>
          <w:bCs/>
          <w:color w:val="auto"/>
          <w:sz w:val="24"/>
          <w:szCs w:val="24"/>
          <w:highlight w:val="none"/>
        </w:rPr>
        <w:t>工程存在重大缺陷、出现质量事故或增加工程费用。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rPr>
      </w:pPr>
      <w:r>
        <w:rPr>
          <w:rFonts w:hint="eastAsia" w:ascii="仿宋" w:hAnsi="仿宋" w:eastAsia="仿宋"/>
          <w:b/>
          <w:color w:val="auto"/>
          <w:sz w:val="24"/>
          <w:szCs w:val="24"/>
          <w:highlight w:val="none"/>
        </w:rPr>
        <w:t>1.9.4</w:t>
      </w:r>
      <w:r>
        <w:rPr>
          <w:rFonts w:hint="eastAsia" w:ascii="仿宋" w:hAnsi="仿宋" w:eastAsia="仿宋" w:cs="仿宋"/>
          <w:b/>
          <w:bCs/>
          <w:color w:val="auto"/>
          <w:sz w:val="24"/>
          <w:szCs w:val="24"/>
          <w:highlight w:val="none"/>
        </w:rPr>
        <w:t xml:space="preserve"> 设备及工器具购置缺陷：</w:t>
      </w:r>
      <w:r>
        <w:rPr>
          <w:rFonts w:hint="eastAsia" w:ascii="仿宋" w:hAnsi="仿宋" w:eastAsia="仿宋" w:cs="仿宋"/>
          <w:bCs/>
          <w:color w:val="auto"/>
          <w:sz w:val="24"/>
          <w:szCs w:val="24"/>
          <w:highlight w:val="none"/>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val="en-US"/>
        </w:rPr>
        <w:t>，导致</w:t>
      </w:r>
      <w:r>
        <w:rPr>
          <w:rFonts w:hint="eastAsia" w:ascii="仿宋" w:hAnsi="仿宋" w:eastAsia="仿宋"/>
          <w:color w:val="auto"/>
          <w:sz w:val="24"/>
          <w:szCs w:val="24"/>
          <w:highlight w:val="none"/>
        </w:rPr>
        <w:t>建设项目无法</w:t>
      </w:r>
      <w:r>
        <w:rPr>
          <w:rFonts w:hint="eastAsia" w:ascii="仿宋" w:hAnsi="仿宋" w:eastAsia="仿宋" w:cs="仿宋"/>
          <w:bCs/>
          <w:color w:val="auto"/>
          <w:sz w:val="24"/>
          <w:szCs w:val="24"/>
          <w:highlight w:val="none"/>
        </w:rPr>
        <w:t>达到生产或运营能力。</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rPr>
      </w:pPr>
      <w:r>
        <w:rPr>
          <w:rFonts w:hint="eastAsia" w:ascii="仿宋" w:hAnsi="仿宋" w:eastAsia="仿宋"/>
          <w:b/>
          <w:color w:val="auto"/>
          <w:sz w:val="24"/>
          <w:szCs w:val="24"/>
          <w:highlight w:val="none"/>
        </w:rPr>
        <w:t>1.9.5</w:t>
      </w:r>
      <w:r>
        <w:rPr>
          <w:rFonts w:hint="eastAsia" w:ascii="仿宋" w:hAnsi="仿宋" w:eastAsia="仿宋" w:cs="仿宋"/>
          <w:b/>
          <w:bCs/>
          <w:color w:val="auto"/>
          <w:sz w:val="24"/>
          <w:szCs w:val="24"/>
          <w:highlight w:val="none"/>
        </w:rPr>
        <w:t xml:space="preserve"> 采购缺陷：</w:t>
      </w:r>
      <w:r>
        <w:rPr>
          <w:rFonts w:hint="eastAsia" w:ascii="仿宋" w:hAnsi="仿宋" w:eastAsia="仿宋" w:cs="仿宋"/>
          <w:bCs/>
          <w:color w:val="auto"/>
          <w:sz w:val="24"/>
          <w:szCs w:val="24"/>
          <w:highlight w:val="none"/>
        </w:rPr>
        <w:t>指因承包人采购的构成工程实体的工程材料、工程设备及装配式构件等不符合产品合格标准或发包人要求，导致工程实体存在质量隐患、不良效果等缺陷。</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r>
        <w:rPr>
          <w:rFonts w:hint="eastAsia" w:ascii="仿宋" w:hAnsi="仿宋" w:eastAsia="仿宋"/>
          <w:b/>
          <w:color w:val="auto"/>
          <w:sz w:val="24"/>
          <w:szCs w:val="24"/>
          <w:highlight w:val="none"/>
        </w:rPr>
        <w:t>1.9.6</w:t>
      </w:r>
      <w:r>
        <w:rPr>
          <w:rFonts w:hint="eastAsia" w:ascii="仿宋" w:hAnsi="仿宋" w:eastAsia="仿宋" w:cs="仿宋"/>
          <w:b/>
          <w:bCs/>
          <w:color w:val="auto"/>
          <w:sz w:val="24"/>
          <w:szCs w:val="24"/>
          <w:highlight w:val="none"/>
        </w:rPr>
        <w:t xml:space="preserve"> 工程质量缺陷：</w:t>
      </w:r>
      <w:r>
        <w:rPr>
          <w:rFonts w:hint="eastAsia" w:ascii="仿宋" w:hAnsi="仿宋" w:eastAsia="仿宋" w:cs="仿宋"/>
          <w:bCs/>
          <w:color w:val="auto"/>
          <w:sz w:val="24"/>
          <w:szCs w:val="24"/>
          <w:highlight w:val="none"/>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val="en-US"/>
        </w:rPr>
        <w:t>导致</w:t>
      </w:r>
      <w:r>
        <w:rPr>
          <w:rFonts w:hint="eastAsia" w:ascii="仿宋" w:hAnsi="仿宋" w:eastAsia="仿宋" w:cs="仿宋"/>
          <w:bCs/>
          <w:color w:val="auto"/>
          <w:sz w:val="24"/>
          <w:szCs w:val="24"/>
          <w:highlight w:val="none"/>
        </w:rPr>
        <w:t>工程存在重大缺陷或出现质量事故。</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r>
        <w:rPr>
          <w:rFonts w:hint="eastAsia" w:ascii="仿宋" w:hAnsi="仿宋" w:eastAsia="仿宋"/>
          <w:b/>
          <w:color w:val="auto"/>
          <w:sz w:val="24"/>
          <w:szCs w:val="24"/>
          <w:highlight w:val="none"/>
        </w:rPr>
        <w:t>1.9.7 其他服务缺陷：</w:t>
      </w:r>
      <w:r>
        <w:rPr>
          <w:rFonts w:hint="eastAsia" w:ascii="仿宋" w:hAnsi="仿宋" w:eastAsia="仿宋"/>
          <w:color w:val="auto"/>
          <w:sz w:val="24"/>
          <w:szCs w:val="24"/>
          <w:highlight w:val="none"/>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rPr>
        <w:t>正常</w:t>
      </w:r>
      <w:r>
        <w:rPr>
          <w:rFonts w:hint="eastAsia" w:ascii="仿宋" w:hAnsi="仿宋" w:eastAsia="仿宋"/>
          <w:color w:val="auto"/>
          <w:sz w:val="24"/>
          <w:szCs w:val="24"/>
          <w:highlight w:val="none"/>
        </w:rPr>
        <w:t>使用。</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rPr>
      </w:pPr>
      <w:bookmarkStart w:id="82" w:name="_Toc4634"/>
      <w:r>
        <w:rPr>
          <w:rFonts w:hint="eastAsia" w:ascii="仿宋" w:hAnsi="仿宋" w:eastAsia="仿宋" w:cs="仿宋"/>
          <w:b/>
          <w:bCs/>
          <w:color w:val="auto"/>
          <w:sz w:val="24"/>
          <w:szCs w:val="24"/>
          <w:highlight w:val="none"/>
        </w:rPr>
        <w:t>1.10 变更、索赔、验收及其他</w:t>
      </w:r>
      <w:bookmarkEnd w:id="82"/>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10.1变更：</w:t>
      </w:r>
      <w:r>
        <w:rPr>
          <w:rFonts w:hint="eastAsia" w:ascii="仿宋" w:hAnsi="仿宋" w:eastAsia="仿宋" w:cs="仿宋"/>
          <w:color w:val="auto"/>
          <w:sz w:val="24"/>
          <w:szCs w:val="24"/>
          <w:highlight w:val="none"/>
        </w:rPr>
        <w:t>变更分为可调价变更和不可调价变更。其中，不可调价变更是指采用总价合同形式的工程项目（子项目）且不符合第69.3款规定条件的变更，此类变更应参照第79条规定或本项目的预算编制规则确定变更预算，作为投资控制的依据，但不作为合同价格调整的依据；其他可调价变更应按照第79条规定确定变更的工程款，作为合同价格调整的依据。</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10.2</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索赔：</w:t>
      </w:r>
      <w:r>
        <w:rPr>
          <w:rFonts w:hint="eastAsia" w:ascii="仿宋" w:hAnsi="仿宋" w:eastAsia="仿宋" w:cs="仿宋"/>
          <w:color w:val="auto"/>
          <w:sz w:val="24"/>
          <w:szCs w:val="24"/>
          <w:highlight w:val="none"/>
        </w:rPr>
        <w:t>指合同履行期间，对于非自己的过错而应由对方当事人承担责任的情况所造成的损失，并根据第43条和第80条规定向对方当事人提出费用补偿和（或）工期顺延的要求。</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10.3</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现场签证：</w:t>
      </w:r>
      <w:r>
        <w:rPr>
          <w:rFonts w:hint="eastAsia" w:ascii="仿宋" w:hAnsi="仿宋" w:eastAsia="仿宋" w:cs="仿宋"/>
          <w:color w:val="auto"/>
          <w:sz w:val="24"/>
          <w:szCs w:val="24"/>
          <w:highlight w:val="none"/>
        </w:rPr>
        <w:t>指合同双方当事人按照第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7</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款约定的指定人选根据第81条规定就工程总承包实施过程中涉及的责任事项所作的签认证明。</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10.</w:t>
      </w:r>
      <w:r>
        <w:rPr>
          <w:rFonts w:hint="eastAsia" w:ascii="仿宋" w:hAnsi="仿宋" w:eastAsia="仿宋" w:cs="仿宋"/>
          <w:b/>
          <w:bCs/>
          <w:color w:val="auto"/>
          <w:sz w:val="24"/>
          <w:szCs w:val="24"/>
          <w:highlight w:val="none"/>
          <w:lang w:val="en-US"/>
        </w:rPr>
        <w:t>4</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工作成果验收：</w:t>
      </w:r>
      <w:r>
        <w:rPr>
          <w:rFonts w:hint="eastAsia" w:ascii="仿宋" w:hAnsi="仿宋" w:eastAsia="仿宋" w:cs="仿宋"/>
          <w:color w:val="auto"/>
          <w:sz w:val="24"/>
          <w:szCs w:val="24"/>
          <w:highlight w:val="none"/>
        </w:rPr>
        <w:t>指承包人完成了勘察、设计、建筑信息模型（BIM）等合同约定的阶段性工作后，发包人按照合同要求对其完成的工作成效和（或）成果文件进行的验收或确认。</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10.</w:t>
      </w:r>
      <w:r>
        <w:rPr>
          <w:rFonts w:hint="eastAsia" w:ascii="仿宋" w:hAnsi="仿宋" w:eastAsia="仿宋" w:cs="仿宋"/>
          <w:b/>
          <w:bCs/>
          <w:color w:val="auto"/>
          <w:sz w:val="24"/>
          <w:szCs w:val="24"/>
          <w:highlight w:val="none"/>
          <w:lang w:val="en-US"/>
        </w:rPr>
        <w:t>5</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竣工验收：</w:t>
      </w:r>
      <w:r>
        <w:rPr>
          <w:rFonts w:hint="eastAsia" w:ascii="仿宋" w:hAnsi="仿宋" w:eastAsia="仿宋" w:cs="仿宋"/>
          <w:color w:val="auto"/>
          <w:sz w:val="24"/>
          <w:szCs w:val="24"/>
          <w:highlight w:val="none"/>
        </w:rPr>
        <w:t>指承包人完成了全部合同工作后，发包人按照合同要求进行的验收。</w:t>
      </w:r>
    </w:p>
    <w:p>
      <w:pPr>
        <w:pStyle w:val="22"/>
        <w:widowControl w:val="0"/>
        <w:tabs>
          <w:tab w:val="left" w:pos="1260"/>
          <w:tab w:val="left" w:pos="2160"/>
        </w:tabs>
        <w:adjustRightInd w:val="0"/>
        <w:spacing w:before="120" w:beforeLines="50" w:line="360" w:lineRule="auto"/>
        <w:ind w:left="1850" w:leftChars="771"/>
        <w:jc w:val="both"/>
        <w:rPr>
          <w:color w:val="auto"/>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10.</w:t>
      </w:r>
      <w:r>
        <w:rPr>
          <w:rFonts w:hint="eastAsia" w:ascii="仿宋" w:hAnsi="仿宋" w:eastAsia="仿宋" w:cs="仿宋"/>
          <w:b/>
          <w:bCs/>
          <w:color w:val="auto"/>
          <w:sz w:val="24"/>
          <w:szCs w:val="24"/>
          <w:highlight w:val="none"/>
          <w:lang w:val="en-US"/>
        </w:rPr>
        <w:t>6</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国家验收：</w:t>
      </w:r>
      <w:r>
        <w:rPr>
          <w:rFonts w:hint="eastAsia" w:ascii="仿宋" w:hAnsi="仿宋" w:eastAsia="仿宋" w:cs="仿宋"/>
          <w:color w:val="auto"/>
          <w:sz w:val="24"/>
          <w:szCs w:val="24"/>
          <w:highlight w:val="none"/>
        </w:rPr>
        <w:t>指政府部门根据法律和政策等有关规定，针对发包人全面组织实施的整个工程正式交付投运前的验收。</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10.</w:t>
      </w:r>
      <w:r>
        <w:rPr>
          <w:rFonts w:hint="eastAsia" w:ascii="仿宋" w:hAnsi="仿宋" w:eastAsia="仿宋" w:cs="仿宋"/>
          <w:b/>
          <w:bCs/>
          <w:color w:val="auto"/>
          <w:sz w:val="24"/>
          <w:szCs w:val="24"/>
          <w:highlight w:val="none"/>
          <w:lang w:val="en-US"/>
        </w:rPr>
        <w:t>7</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书面形式：</w:t>
      </w:r>
      <w:r>
        <w:rPr>
          <w:rFonts w:hint="eastAsia" w:ascii="仿宋" w:hAnsi="仿宋" w:eastAsia="仿宋" w:cs="仿宋"/>
          <w:color w:val="auto"/>
          <w:sz w:val="24"/>
          <w:szCs w:val="24"/>
          <w:highlight w:val="none"/>
        </w:rPr>
        <w:t>指合同文件、信函、电报、电传、传真、电子数据交换文件、电子邮件等可以有形地表现所载内容的形式。合同双方当事人可在专用条款中注明所采用的书面形式。</w:t>
      </w:r>
    </w:p>
    <w:p>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10.</w:t>
      </w:r>
      <w:r>
        <w:rPr>
          <w:rFonts w:hint="eastAsia" w:ascii="仿宋" w:hAnsi="仿宋" w:eastAsia="仿宋" w:cs="仿宋"/>
          <w:b/>
          <w:bCs/>
          <w:color w:val="auto"/>
          <w:sz w:val="24"/>
          <w:szCs w:val="24"/>
          <w:highlight w:val="none"/>
          <w:lang w:val="en-US"/>
        </w:rPr>
        <w:t>8</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国家：</w:t>
      </w:r>
      <w:r>
        <w:rPr>
          <w:rFonts w:hint="eastAsia" w:ascii="仿宋" w:hAnsi="仿宋" w:eastAsia="仿宋" w:cs="仿宋"/>
          <w:color w:val="auto"/>
          <w:sz w:val="24"/>
          <w:szCs w:val="24"/>
          <w:highlight w:val="none"/>
        </w:rPr>
        <w:t>指中华人民共和国。</w:t>
      </w:r>
    </w:p>
    <w:p>
      <w:pPr>
        <w:tabs>
          <w:tab w:val="left" w:pos="162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bCs w:val="0"/>
          <w:color w:val="auto"/>
          <w:sz w:val="24"/>
          <w:szCs w:val="24"/>
          <w:highlight w:val="none"/>
        </w:rPr>
      </w:pPr>
      <w:bookmarkStart w:id="83" w:name="_Toc469383981"/>
      <w:bookmarkStart w:id="84" w:name="_Toc12984"/>
      <w:bookmarkStart w:id="85" w:name="_Toc342"/>
      <w:bookmarkStart w:id="86" w:name="_Toc47694272"/>
      <w:r>
        <w:rPr>
          <w:rFonts w:ascii="仿宋" w:hAnsi="仿宋" w:eastAsia="仿宋" w:cs="仿宋"/>
          <w:bCs w:val="0"/>
          <w:color w:val="auto"/>
          <w:sz w:val="24"/>
          <w:szCs w:val="24"/>
          <w:highlight w:val="none"/>
        </w:rPr>
        <w:t xml:space="preserve">2 </w:t>
      </w:r>
      <w:r>
        <w:rPr>
          <w:rFonts w:hint="eastAsia" w:ascii="仿宋" w:hAnsi="仿宋" w:eastAsia="仿宋" w:cs="仿宋"/>
          <w:bCs w:val="0"/>
          <w:color w:val="auto"/>
          <w:sz w:val="24"/>
          <w:szCs w:val="24"/>
          <w:highlight w:val="none"/>
        </w:rPr>
        <w:t>合同文件及解释</w:t>
      </w:r>
      <w:bookmarkEnd w:id="83"/>
      <w:bookmarkEnd w:id="84"/>
      <w:bookmarkEnd w:id="85"/>
      <w:bookmarkEnd w:id="86"/>
    </w:p>
    <w:p>
      <w:pPr>
        <w:pStyle w:val="22"/>
        <w:tabs>
          <w:tab w:val="left" w:pos="1202"/>
        </w:tabs>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226695</wp:posOffset>
                </wp:positionV>
                <wp:extent cx="914400" cy="297180"/>
                <wp:effectExtent l="0" t="0" r="0" b="0"/>
                <wp:wrapNone/>
                <wp:docPr id="44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9pt;margin-top:17.85pt;height:23.4pt;width:72pt;z-index:251661312;mso-width-relative:page;mso-height-relative:page;" fillcolor="#FFFFFF" filled="t" stroked="f" coordsize="21600,21600" o:gfxdata="UEsDBAoAAAAAAIdO4kAAAAAAAAAAAAAAAAAEAAAAZHJzL1BLAwQUAAAACACHTuJAqEjsyNcAAAAJ&#10;AQAADwAAAGRycy9kb3ducmV2LnhtbE2PzU7DMBCE70i8g7VIXFDrJJAfQjaVQAJx7c8DbOJtEhHb&#10;Uew27dvjnuA4O6PZb6rNRY/izLMbrEGI1xEINq1Vg+kQDvvPVQHCeTKKRmsY4coONvX9XUWlsovZ&#10;8nnnOxFKjCsJofd+KqV0bc+a3NpObIJ3tLMmH+TcSTXTEsr1KJMoyqSmwYQPPU380XP7sztphOP3&#10;8pS+Ls2XP+Tbl+ydhryxV8THhzh6A+H54v/CcMMP6FAHpsaejHJiRFjFRdjiEZ7THMQtkGTh0CAU&#10;SQqyruT/BfUvUEsDBBQAAAAIAIdO4kDn6VGYKgIAAD8EAAAOAAAAZHJzL2Uyb0RvYy54bWytU82O&#10;0zAQviPxDpbvNG1V2N2o6WppVYS0/EgLD+A6TmLheMzYbbI8ALzBnrhw57n6HIydbqnKZQ/kEHk8&#10;M9/M9814ft23hu0Ueg224JPRmDNlJZTa1gX//Gn94pIzH4QthQGrCn6vPL9ePH8271yuptCAKRUy&#10;ArE+71zBmxBcnmVeNqoVfgROWXJWgK0IZGKdlSg6Qm9NNh2PX2UdYOkQpPKebleDkx8Q8SmAUFVa&#10;qhXIbatsGFBRGRGIkm+083yRuq0qJcOHqvIqMFNwYhrSn4rQeRP/2WIu8hqFa7Q8tCCe0sIZp1Zo&#10;S0WPUCsRBNui/geq1RLBQxVGEtpsIJIUIRaT8Zk2d41wKnEhqb07iu7/H6x8v/uITJcFn81o8Fa0&#10;NPL9w4/9z9/7X9/ZNArUOZ9T3J2jyNC/hp7WJpH17hbkF88sLBtha3WDCF2jREkNTmJmdpI64PgI&#10;suneQUl1xDZAAuorbKN6pAcjdBrO/XE4qg9M0uXVZDYbk0eSa3p1MblMw8tE/pjs0Ic3CloWDwVH&#10;mn0CF7tbH2IzIn8MibU8GF2utTHJwHqzNMh2gvZknb7U/1mYsTHYQkwbEONNYhmJDRRDv+kPqm2g&#10;vCe+CMPe0aujQwP4jbOOdq7g/utWoOLMvLWkWaJIS5qM2cuLKdHFU8/m1COsJKiCB86G4zIMi711&#10;qOuGKg1TsnBDOlc6aRAHMnR16Jv2KklzeANxcU/tFPX33S/+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hI7MjXAAAACQEAAA8AAAAAAAAAAQAgAAAAIgAAAGRycy9kb3ducmV2LnhtbFBLAQIUABQA&#10;AAAIAIdO4kDn6VGYKgIAAD8EAAAOAAAAAAAAAAEAIAAAACYBAABkcnMvZTJvRG9jLnhtbFBLBQYA&#10;AAAABgAGAFkBAADCBQAAAAA=&#10;">
                <v:fill on="t"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rPr>
        <w:t>2.1</w:t>
      </w:r>
    </w:p>
    <w:p>
      <w:pPr>
        <w:pStyle w:val="22"/>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本合同条款的标题和旁注不构成合同的组成部分。</w:t>
      </w:r>
    </w:p>
    <w:p>
      <w:pPr>
        <w:pStyle w:val="22"/>
        <w:tabs>
          <w:tab w:val="left" w:pos="1202"/>
        </w:tabs>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2.2  </w:t>
      </w:r>
      <w:r>
        <w:rPr>
          <w:rFonts w:ascii="仿宋" w:hAnsi="仿宋" w:eastAsia="仿宋" w:cs="仿宋"/>
          <w:b/>
          <w:bCs/>
          <w:color w:val="auto"/>
          <w:sz w:val="24"/>
          <w:szCs w:val="24"/>
          <w:highlight w:val="none"/>
          <w:u w:val="dotted"/>
        </w:rPr>
        <w:t xml:space="preserve">                                                                       </w:t>
      </w:r>
    </w:p>
    <w:p>
      <w:pPr>
        <w:pStyle w:val="22"/>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67310</wp:posOffset>
                </wp:positionV>
                <wp:extent cx="1047750" cy="527050"/>
                <wp:effectExtent l="0" t="0" r="0" b="0"/>
                <wp:wrapNone/>
                <wp:docPr id="447"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047750" cy="52705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41.5pt;width:82.5pt;z-index:251662336;mso-width-relative:page;mso-height-relative:page;" filled="f" stroked="f" coordsize="21600,21600" o:gfxdata="UEsDBAoAAAAAAIdO4kAAAAAAAAAAAAAAAAAEAAAAZHJzL1BLAwQUAAAACACHTuJA5j3Bq9YAAAAJ&#10;AQAADwAAAGRycy9kb3ducmV2LnhtbE2PwW7CMBBE75X4B2uRegM7LU0hjcOhVa+toC0SNxMvSdR4&#10;HcWGpH/f5QTHnRnNvsnXo2vFGfvQeNKQzBUIpNLbhioN31/vsyWIEA1Z03pCDX8YYF1M7nKTWT/Q&#10;Bs/bWAkuoZAZDXWMXSZlKGt0Jsx9h8Te0ffORD77StreDFzuWvmgVCqdaYg/1KbD1xrL3+3Jafj5&#10;OO53C/VZvbmnbvCjkuRWUuv7aaJeQEQc4zUMF3xGh4KZDv5ENohWwyxZ8pbIhkpBXAKLZxYOGlaP&#10;Kcgil7cLin9QSwMEFAAAAAgAh07iQDaGiLAWAgAAFwQAAA4AAABkcnMvZTJvRG9jLnhtbK1TwY7T&#10;MBC9I/EPlu80aUnpEjVdLVstQlpYpIUPcB2nsUg8Zuw2KR/A/gEnLtz5rn4HY6fbLctlD1yssWf8&#10;5r3n8fy8bxu2Veg0mIKPRylnykgotVkX/POnqxdnnDkvTCkaMKrgO+X4+eL5s3lnczWBGppSISMQ&#10;4/LOFrz23uZJ4mStWuFGYJWhZAXYCk9bXCclio7Q2yaZpOmrpAMsLYJUztHpckjyAyI+BRCqSku1&#10;BLlplfEDKqpGeJLkam0dX0S2VaWkv6kqpzxrCk5KfVypCcWrsCaLucjXKGyt5YGCeAqFR5paoQ01&#10;PUIthRdsg/ofqFZLBAeVH0lok0FIdIRUjNNH3tzWwqqohax29mi6+3+w8sP2IzJdFjzLZpwZ0dKT&#10;73/c7X/+3v/6zl4Ggzrrcqq7tVTp+zfQ09hEsc5eg/zimIHLWpi1ukCErlaiJILjcDM5uTrguACy&#10;6t5DSX3ExkME6itsg3vkByN0epzd8XFU75kMLdNsNptSSlJuOpmlFIcWIr+/bdH5twpaFoKCIz1+&#10;RBfba+eH0vuS0MzAlW4aOhd5Y/46IMxwEtkHwgN13696qg6SVlDuSAfCME/0myioAb9x1tEsFdx9&#10;3QhUnDXvDHnxepxlYfjiJpvOJrTB08zqNCOMJKiCe86G8NIPA7uxqNc1dRrcN3BB/lU6SntgdeBN&#10;8xLNOcx2GMjTfax6+M+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Y9wavWAAAACQEAAA8AAAAA&#10;AAAAAQAgAAAAIgAAAGRycy9kb3ducmV2LnhtbFBLAQIUABQAAAAIAIdO4kA2hoiwFgIAABcEAAAO&#10;AAAAAAAAAAEAIAAAACUBAABkcnMvZTJvRG9jLnhtbFBLBQYAAAAABgAGAFkBAACt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r>
        <w:rPr>
          <w:rFonts w:hint="eastAsia" w:ascii="仿宋" w:hAnsi="仿宋" w:eastAsia="仿宋" w:cs="仿宋"/>
          <w:color w:val="auto"/>
          <w:sz w:val="24"/>
          <w:szCs w:val="24"/>
          <w:highlight w:val="none"/>
        </w:rPr>
        <w:t>下列组成本合同的文件是一个合同整体，彼此应当能相互解释，互为说明。当出现相互矛盾时，组成本合同文件的优先解释顺序如下：</w:t>
      </w:r>
    </w:p>
    <w:p>
      <w:pPr>
        <w:pStyle w:val="22"/>
        <w:widowControl w:val="0"/>
        <w:numPr>
          <w:ilvl w:val="0"/>
          <w:numId w:val="1"/>
        </w:numPr>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协议书；</w:t>
      </w:r>
    </w:p>
    <w:p>
      <w:pPr>
        <w:pStyle w:val="22"/>
        <w:widowControl w:val="0"/>
        <w:numPr>
          <w:ilvl w:val="0"/>
          <w:numId w:val="1"/>
        </w:numPr>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中标通知书（</w:t>
      </w:r>
      <w:r>
        <w:rPr>
          <w:rFonts w:hint="eastAsia" w:ascii="仿宋" w:hAnsi="仿宋" w:eastAsia="仿宋" w:cs="仿宋"/>
          <w:color w:val="auto"/>
          <w:sz w:val="24"/>
          <w:szCs w:val="24"/>
          <w:highlight w:val="none"/>
          <w:lang w:val="en-US"/>
        </w:rPr>
        <w:t>如果有</w:t>
      </w:r>
      <w:r>
        <w:rPr>
          <w:rFonts w:hint="eastAsia" w:ascii="仿宋" w:hAnsi="仿宋" w:eastAsia="仿宋" w:cs="仿宋"/>
          <w:color w:val="auto"/>
          <w:sz w:val="24"/>
          <w:szCs w:val="24"/>
          <w:highlight w:val="none"/>
        </w:rPr>
        <w:t>）；</w:t>
      </w:r>
    </w:p>
    <w:p>
      <w:pPr>
        <w:pStyle w:val="22"/>
        <w:widowControl w:val="0"/>
        <w:numPr>
          <w:ilvl w:val="0"/>
          <w:numId w:val="1"/>
        </w:numPr>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承包人投标文件及其附件（含评标期间的澄清文件和补充资料）（</w:t>
      </w:r>
      <w:r>
        <w:rPr>
          <w:rFonts w:hint="eastAsia" w:ascii="仿宋" w:hAnsi="仿宋" w:eastAsia="仿宋" w:cs="仿宋"/>
          <w:color w:val="auto"/>
          <w:sz w:val="24"/>
          <w:szCs w:val="24"/>
          <w:highlight w:val="none"/>
          <w:lang w:val="en-US"/>
        </w:rPr>
        <w:t>如果有</w:t>
      </w:r>
      <w:r>
        <w:rPr>
          <w:rFonts w:hint="eastAsia" w:ascii="仿宋" w:hAnsi="仿宋" w:eastAsia="仿宋" w:cs="仿宋"/>
          <w:color w:val="auto"/>
          <w:sz w:val="24"/>
          <w:szCs w:val="24"/>
          <w:highlight w:val="none"/>
        </w:rPr>
        <w:t>）；</w:t>
      </w:r>
    </w:p>
    <w:p>
      <w:pPr>
        <w:pStyle w:val="22"/>
        <w:widowControl w:val="0"/>
        <w:numPr>
          <w:ilvl w:val="0"/>
          <w:numId w:val="1"/>
        </w:numPr>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专用条款；</w:t>
      </w:r>
    </w:p>
    <w:p>
      <w:pPr>
        <w:pStyle w:val="22"/>
        <w:widowControl w:val="0"/>
        <w:numPr>
          <w:ilvl w:val="0"/>
          <w:numId w:val="1"/>
        </w:numPr>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通用条款；</w:t>
      </w:r>
    </w:p>
    <w:p>
      <w:pPr>
        <w:pStyle w:val="22"/>
        <w:widowControl w:val="0"/>
        <w:numPr>
          <w:ilvl w:val="0"/>
          <w:numId w:val="1"/>
        </w:numPr>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《发包人要求》；</w:t>
      </w:r>
    </w:p>
    <w:p>
      <w:pPr>
        <w:pStyle w:val="22"/>
        <w:widowControl w:val="0"/>
        <w:numPr>
          <w:ilvl w:val="0"/>
          <w:numId w:val="1"/>
        </w:numPr>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标准、规范；</w:t>
      </w:r>
    </w:p>
    <w:p>
      <w:pPr>
        <w:pStyle w:val="22"/>
        <w:widowControl w:val="0"/>
        <w:numPr>
          <w:ilvl w:val="0"/>
          <w:numId w:val="1"/>
        </w:numPr>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项目基础资料；</w:t>
      </w:r>
    </w:p>
    <w:p>
      <w:pPr>
        <w:pStyle w:val="22"/>
        <w:widowControl w:val="0"/>
        <w:numPr>
          <w:ilvl w:val="0"/>
          <w:numId w:val="1"/>
        </w:numPr>
        <w:spacing w:line="360" w:lineRule="auto"/>
        <w:ind w:left="1850" w:leftChars="771" w:firstLine="0"/>
        <w:jc w:val="both"/>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合同价格清单；</w:t>
      </w:r>
    </w:p>
    <w:p>
      <w:pPr>
        <w:pStyle w:val="22"/>
        <w:widowControl w:val="0"/>
        <w:numPr>
          <w:ilvl w:val="0"/>
          <w:numId w:val="1"/>
        </w:numPr>
        <w:spacing w:line="360" w:lineRule="auto"/>
        <w:ind w:left="1850" w:leftChars="771" w:firstLine="0"/>
        <w:jc w:val="both"/>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招标文件（包括补充、修改、澄清的文件、答疑纪要）（如果有）；</w:t>
      </w:r>
    </w:p>
    <w:p>
      <w:pPr>
        <w:pStyle w:val="22"/>
        <w:widowControl w:val="0"/>
        <w:numPr>
          <w:ilvl w:val="0"/>
          <w:numId w:val="1"/>
        </w:numPr>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双方约定的其他合同文件</w:t>
      </w:r>
      <w:r>
        <w:rPr>
          <w:rFonts w:hint="eastAsia" w:ascii="仿宋" w:hAnsi="仿宋" w:eastAsia="仿宋" w:cs="仿宋"/>
          <w:color w:val="auto"/>
          <w:sz w:val="24"/>
          <w:szCs w:val="24"/>
          <w:highlight w:val="none"/>
        </w:rPr>
        <w:t>。</w:t>
      </w:r>
    </w:p>
    <w:p>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上述各项合同文件包括合同当事人就该项合同文件所作出的补充和修改，同类文件相应内容不一致的，应以最新签署的为准。合同专用条款及其附件须经合同当事人 签字并盖章。</w:t>
      </w:r>
    </w:p>
    <w:p>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在合同订立及履行过程中形成的与合同有关的文件均构成合同文件组成部分，并根 据其性质确定优先解释顺序。</w:t>
      </w:r>
    </w:p>
    <w:p>
      <w:pPr>
        <w:pStyle w:val="22"/>
        <w:tabs>
          <w:tab w:val="left" w:pos="1202"/>
        </w:tabs>
        <w:spacing w:line="360" w:lineRule="auto"/>
        <w:rPr>
          <w:rFonts w:ascii="仿宋" w:hAnsi="仿宋" w:eastAsia="仿宋"/>
          <w:b/>
          <w:bCs/>
          <w:color w:val="auto"/>
          <w:sz w:val="24"/>
          <w:szCs w:val="24"/>
          <w:highlight w:val="none"/>
        </w:rPr>
      </w:pPr>
      <w:bookmarkStart w:id="87" w:name="_Toc25289"/>
      <w:r>
        <w:rPr>
          <w:rFonts w:ascii="仿宋" w:hAnsi="仿宋" w:eastAsia="仿宋" w:cs="仿宋"/>
          <w:b/>
          <w:bCs/>
          <w:color w:val="auto"/>
          <w:sz w:val="24"/>
          <w:szCs w:val="24"/>
          <w:highlight w:val="none"/>
        </w:rPr>
        <w:t>2.3</w:t>
      </w:r>
      <w:bookmarkEnd w:id="87"/>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46" name="文本框 4"/>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62.4pt;width:72pt;z-index:251663360;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L/1zWxYCAAAWBAAADgAAAGRycy9lMm9Eb2MueG1srVPNbhMx&#10;EL4j8Q6W72STaOnPKpuqNCpCKlCp8ACO15u1WHvM2MlueAB4g564cOe58hwde9MQyqUHLpbtGX/z&#10;fd+MZxe9adlGoddgSz4ZjTlTVkKl7arknz9dvzrjzAdhK9GCVSXfKs8v5i9fzDpXqCk00FYKGYFY&#10;X3Su5E0IrsgyLxtlhB+BU5aCNaARgY64yioUHaGbNpuOxydZB1g5BKm8p9vFEOR7RHwOINS1lmoB&#10;cm2UDQMqqlYEkuQb7TyfJ7Z1rWT4WNdeBdaWnJSGtFIR2i/jms1nolihcI2WewriORSeaDJCWyp6&#10;gFqIINga9T9QRksED3UYSTDZICQ5Qiom4yfe3DXCqaSFrPbuYLr/f7Dyw+YWma5KnucnnFlhqOW7&#10;+x+7n793v76zPBrUOV9Q3p2jzNC/gZ7GJon17gbkF88sXDXCrtQlInSNEhURnMSX2dHTAcdHkGX3&#10;HiqqI9YBElBfo4nukR+M0Kk520NzVB+YpMvzSZ6PKSIpdHo+zc9S8zJRPD526MNbBYbFTcmRep/A&#10;xebGh0hGFI8psZaFa922qf+t/euCEuNNIh/5DsxDv+z3Ziyh2pIMhGGc6DPRpgH8xllHo1Ry/3Ut&#10;UHHWvrNkRWJOs5cO+evTKanA48jyOCKsJKiSB86G7VUY5nXtUK8aqjSYb+GS7Kt1khZ9HljtedO4&#10;JMX70Y7zeHxOWX++8/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k2VHNUAAAAIAQAADwAAAAAA&#10;AAABACAAAAAiAAAAZHJzL2Rvd25yZXYueG1sUEsBAhQAFAAAAAgAh07iQC/9c1sWAgAAFgQAAA4A&#10;AAAAAAAAAQAgAAAAJAEAAGRycy9lMm9Eb2MueG1sUEsFBgAAAAAGAAYAWQEAAKwFA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款规定职权作出解释。如合同任何一方当事人不同意设计顾问人、监理人或造价咨询人作出的解释，按照第91条规定处理。</w:t>
      </w:r>
    </w:p>
    <w:p>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bCs w:val="0"/>
          <w:color w:val="auto"/>
          <w:sz w:val="24"/>
          <w:szCs w:val="24"/>
          <w:highlight w:val="none"/>
        </w:rPr>
      </w:pPr>
      <w:bookmarkStart w:id="88" w:name="_Toc469383982"/>
      <w:bookmarkStart w:id="89" w:name="_Toc47694273"/>
      <w:bookmarkStart w:id="90" w:name="_Toc5190"/>
      <w:bookmarkStart w:id="91" w:name="_Toc30171"/>
      <w:r>
        <w:rPr>
          <w:rFonts w:ascii="仿宋" w:hAnsi="仿宋" w:eastAsia="仿宋" w:cs="仿宋"/>
          <w:bCs w:val="0"/>
          <w:color w:val="auto"/>
          <w:sz w:val="24"/>
          <w:szCs w:val="24"/>
          <w:highlight w:val="none"/>
        </w:rPr>
        <w:t xml:space="preserve">3 </w:t>
      </w:r>
      <w:r>
        <w:rPr>
          <w:rFonts w:hint="eastAsia" w:ascii="仿宋" w:hAnsi="仿宋" w:eastAsia="仿宋" w:cs="仿宋"/>
          <w:bCs w:val="0"/>
          <w:color w:val="auto"/>
          <w:sz w:val="24"/>
          <w:szCs w:val="24"/>
          <w:highlight w:val="none"/>
        </w:rPr>
        <w:t>阅读、理解与接受</w:t>
      </w:r>
      <w:bookmarkEnd w:id="88"/>
      <w:bookmarkEnd w:id="89"/>
      <w:bookmarkEnd w:id="90"/>
      <w:bookmarkEnd w:id="91"/>
    </w:p>
    <w:p>
      <w:pPr>
        <w:tabs>
          <w:tab w:val="left" w:pos="1260"/>
        </w:tabs>
        <w:spacing w:before="240" w:beforeLines="100"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3.1</w:t>
      </w:r>
    </w:p>
    <w:p>
      <w:pPr>
        <w:pStyle w:val="22"/>
        <w:widowControl w:val="0"/>
        <w:spacing w:line="360" w:lineRule="auto"/>
        <w:ind w:left="1850" w:leftChars="771"/>
        <w:jc w:val="both"/>
        <w:rPr>
          <w:rFonts w:ascii="仿宋" w:hAnsi="仿宋" w:eastAsia="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4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62.4pt;width:72pt;z-index:251664384;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d7cSoxYCAAAWBAAADgAAAGRycy9lMm9Eb2MueG1srVPNbhMx&#10;EL4j8Q6W72STaEPbVTZVaVSEVH6kwgM4Xm/WYu0xYye74QHgDXriwp3nynMw9qYhlEsPXCzbM/7m&#10;+74Zzy9707KtQq/BlnwyGnOmrIRK23XJP328eXHOmQ/CVqIFq0q+U55fLp4/m3euUFNooK0UMgKx&#10;vuhcyZsQXJFlXjbKCD8CpywFa0AjAh1xnVUoOkI3bTYdj19mHWDlEKTynm6XQ5AfEPEpgFDXWqol&#10;yI1RNgyoqFoRSJJvtPN8kdjWtZLhfV17FVhbclIa0kpFaL+Ka7aYi2KNwjVaHiiIp1B4pMkIbano&#10;EWopgmAb1P9AGS0RPNRhJMFkg5DkCKmYjB95c9cIp5IWstq7o+n+/8HKd9sPyHRV8jyfcWaFoZbv&#10;77/vf/za//zGZtGgzvmC8u4cZYb+FfQ0Nkmsd7cgP3tm4boRdq2uEKFrlKiI4CS+zE6eDjg+gqy6&#10;t1BRHbEJkID6Gk10j/xghE7N2R2bo/rAJF1eTPJ8TBFJobOLaX6empeJ4uGxQx9eKzAsbkqO1PsE&#10;Lra3PkQyonhIibUs3Oi2Tf1v7V8XlBhvEvnId2Ae+lV/MGMF1Y5kIAzjRJ+JNg3gV846GqWS+y8b&#10;gYqz9o0lKxJzmr10yGdnU1KBp5HVaURYSVAlD5wN2+swzOvGoV43VGkw38IV2VfrJC36PLA68KZx&#10;SYoPox3n8fScsv5858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k2VHNUAAAAIAQAADwAAAAAA&#10;AAABACAAAAAiAAAAZHJzL2Rvd25yZXYueG1sUEsBAhQAFAAAAAgAh07iQHe3EqMWAgAAFgQAAA4A&#10;AAAAAAAAAQAgAAAAJAEAAGRycy9lMm9Eb2MueG1sUEsFBgAAAAAGAAYAWQEAAKw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rPr>
        <w:t>合同双方当事人应认真阅读和理解本合同的全部内容</w:t>
      </w:r>
      <w:r>
        <w:rPr>
          <w:rFonts w:hint="eastAsia" w:ascii="仿宋" w:hAnsi="仿宋" w:eastAsia="仿宋" w:cs="仿宋"/>
          <w:color w:val="auto"/>
          <w:sz w:val="24"/>
          <w:szCs w:val="24"/>
          <w:highlight w:val="none"/>
          <w:lang w:val="en-US"/>
        </w:rPr>
        <w:t>。除合同双方当事人同意修改外，本合同一旦订立，视为合同双方当事人已全面接受本合同的所有条款。</w:t>
      </w:r>
    </w:p>
    <w:p>
      <w:pPr>
        <w:tabs>
          <w:tab w:val="left" w:pos="1260"/>
        </w:tabs>
        <w:spacing w:before="240" w:beforeLines="100" w:line="360" w:lineRule="auto"/>
        <w:rPr>
          <w:rFonts w:ascii="仿宋" w:hAnsi="仿宋" w:eastAsia="仿宋" w:cs="仿宋"/>
          <w:b/>
          <w:bCs/>
          <w:color w:val="auto"/>
          <w:highlight w:val="none"/>
          <w:u w:val="dotted"/>
          <w:lang w:eastAsia="zh-CN"/>
        </w:rPr>
      </w:pPr>
      <w:bookmarkStart w:id="92" w:name="_Toc5121"/>
      <w:r>
        <w:rPr>
          <w:rFonts w:ascii="仿宋" w:hAnsi="仿宋" w:eastAsia="仿宋" w:cs="仿宋"/>
          <w:b/>
          <w:bCs/>
          <w:color w:val="auto"/>
          <w:highlight w:val="none"/>
          <w:lang w:eastAsia="zh-CN"/>
        </w:rPr>
        <w:t>3.2</w:t>
      </w:r>
      <w:bookmarkEnd w:id="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spacing w:line="360" w:lineRule="auto"/>
        <w:ind w:left="1850" w:leftChars="771"/>
        <w:jc w:val="both"/>
        <w:rPr>
          <w:rFonts w:ascii="仿宋" w:hAnsi="仿宋" w:eastAsia="仿宋"/>
          <w:color w:val="auto"/>
          <w:sz w:val="24"/>
          <w:szCs w:val="24"/>
          <w:highlight w:val="none"/>
          <w:lang w:val="en-US"/>
        </w:rPr>
      </w:pPr>
      <w:r>
        <w:rPr>
          <w:color w:val="auto"/>
          <w:highlight w:val="none"/>
          <w:lang w:val="en-US"/>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126365</wp:posOffset>
                </wp:positionV>
                <wp:extent cx="952500" cy="792480"/>
                <wp:effectExtent l="0" t="0" r="0" b="0"/>
                <wp:wrapNone/>
                <wp:docPr id="444" name="文本框 6"/>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9.95pt;height:62.4pt;width:75pt;z-index:251665408;mso-width-relative:page;mso-height-relative:page;" filled="f" stroked="f" coordsize="21600,21600" o:gfxdata="UEsDBAoAAAAAAIdO4kAAAAAAAAAAAAAAAAAEAAAAZHJzL1BLAwQUAAAACACHTuJAdfj/UtcAAAAK&#10;AQAADwAAAGRycy9kb3ducmV2LnhtbE2PQU/DMAyF70j8h8iTuG1JR4G1NN0BxBXE2JC4ZY3XVmuc&#10;qsnW8u/xTuxm+z09f69YT64TZxxC60lDslAgkCpvW6o1bL/e5isQIRqypvOEGn4xwLq8vSlMbv1I&#10;n3jexFpwCIXcaGhi7HMpQ9WgM2HheyTWDn5wJvI61NIOZuRw18mlUo/SmZb4Q2N6fGmwOm5OTsPu&#10;/fDznaqP+tU99KOflCSXSa3vZol6BhFxiv9muOAzOpTMtPcnskF0GubJirtEFrIMxMVwv+TDnoc0&#10;fQJZFvK6QvkHUEsDBBQAAAAIAIdO4kB28ePVGAIAABYEAAAOAAAAZHJzL2Uyb0RvYy54bWytU81u&#10;EzEQviPxDpbvZJNo0zarbKrSqAip/EiFB3C83qzF2mPGTnbLA8AbcOLCnefKczD2piGUSw9cLNsz&#10;/ub7vhkvLnvTsp1Cr8GWfDIac6ashErbTck/frh5ccGZD8JWogWrSn6vPL9cPn+26FyhptBAWylk&#10;BGJ90bmSNyG4Isu8bJQRfgROWQrWgEYEOuImq1B0hG7abDoen2UdYOUQpPKebldDkB8Q8SmAUNda&#10;qhXIrVE2DKioWhFIkm+083yZ2Na1kuFdXXsVWFtyUhrSSkVov45rtlyIYoPCNVoeKIinUHikyQht&#10;qegRaiWCYFvU/0AZLRE81GEkwWSDkOQIqZiMH3lz1winkhay2ruj6f7/wcq3u/fIdFXyPM85s8JQ&#10;y/ffv+1//Nr//MrOokGd8wXl3TnKDP1L6GlskljvbkF+8szCdSPsRl0hQtcoURHBSXyZnTwdcHwE&#10;WXdvoKI6YhsgAfU1muge+cEInZpzf2yO6gOTdDmfTWdjikgKnc+n+UVqXiaKh8cOfXilwLC4KTlS&#10;7xO42N36EMmI4iEl1rJwo9s29b+1f11QYrxJ5CPfgXno1/3BjDVU9yQDYRgn+ky0aQC/cNbRKJXc&#10;f94KVJy1ry1ZMZ/keZy9dMhn51M64GlkfRoRVhJUyQNnw/Y6DPO6dag3DVUazLdwRfbVOkmLPg+s&#10;DrxpXJLiw2jHeTw9p6w/33n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4/1LXAAAACgEAAA8A&#10;AAAAAAAAAQAgAAAAIgAAAGRycy9kb3ducmV2LnhtbFBLAQIUABQAAAAIAIdO4kB28ePVGAIAABYE&#10;AAAOAAAAAAAAAAEAIAAAACYBAABkcnMvZTJvRG9jLnhtbFBLBQYAAAAABgAGAFkBAACw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val="en-US"/>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widowControl w:val="0"/>
        <w:tabs>
          <w:tab w:val="left" w:pos="420"/>
        </w:tabs>
        <w:spacing w:before="120" w:beforeLines="50" w:after="120" w:afterLines="50" w:line="360" w:lineRule="auto"/>
        <w:rPr>
          <w:rFonts w:ascii="仿宋" w:hAnsi="仿宋" w:eastAsia="仿宋"/>
          <w:bCs w:val="0"/>
          <w:color w:val="auto"/>
          <w:sz w:val="24"/>
          <w:szCs w:val="24"/>
          <w:highlight w:val="none"/>
        </w:rPr>
      </w:pPr>
      <w:bookmarkStart w:id="93" w:name="_Toc20974"/>
      <w:bookmarkStart w:id="94" w:name="_Toc2587"/>
      <w:bookmarkStart w:id="95" w:name="_Toc469383983"/>
      <w:bookmarkStart w:id="96" w:name="_Toc47694274"/>
      <w:r>
        <w:rPr>
          <w:rFonts w:ascii="仿宋" w:hAnsi="仿宋" w:eastAsia="仿宋" w:cs="仿宋"/>
          <w:bCs w:val="0"/>
          <w:color w:val="auto"/>
          <w:sz w:val="24"/>
          <w:szCs w:val="24"/>
          <w:highlight w:val="none"/>
        </w:rPr>
        <w:t xml:space="preserve">4 </w:t>
      </w:r>
      <w:r>
        <w:rPr>
          <w:rFonts w:hint="eastAsia" w:ascii="仿宋" w:hAnsi="仿宋" w:eastAsia="仿宋" w:cs="仿宋"/>
          <w:bCs w:val="0"/>
          <w:color w:val="auto"/>
          <w:sz w:val="24"/>
          <w:szCs w:val="24"/>
          <w:highlight w:val="none"/>
        </w:rPr>
        <w:t>语言及适用的法律、标准与规范</w:t>
      </w:r>
      <w:bookmarkEnd w:id="93"/>
      <w:bookmarkEnd w:id="94"/>
      <w:bookmarkEnd w:id="95"/>
      <w:bookmarkEnd w:id="96"/>
    </w:p>
    <w:p>
      <w:pPr>
        <w:rPr>
          <w:rFonts w:ascii="仿宋" w:hAnsi="仿宋" w:eastAsia="仿宋"/>
          <w:b/>
          <w:bCs/>
          <w:color w:val="auto"/>
          <w:highlight w:val="none"/>
          <w:lang w:eastAsia="zh-CN"/>
        </w:rPr>
      </w:pPr>
      <w:bookmarkStart w:id="97" w:name="_Toc12567"/>
      <w:r>
        <w:rPr>
          <w:rFonts w:ascii="仿宋" w:hAnsi="仿宋" w:eastAsia="仿宋" w:cs="仿宋"/>
          <w:b/>
          <w:bCs/>
          <w:color w:val="auto"/>
          <w:highlight w:val="none"/>
          <w:lang w:eastAsia="zh-CN"/>
        </w:rPr>
        <w:t>4.1</w:t>
      </w:r>
      <w:bookmarkEnd w:id="97"/>
    </w:p>
    <w:p>
      <w:pPr>
        <w:pStyle w:val="22"/>
        <w:widowControl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1668480" behindDoc="0" locked="0" layoutInCell="1" allowOverlap="1">
                <wp:simplePos x="0" y="0"/>
                <wp:positionH relativeFrom="column">
                  <wp:posOffset>-69850</wp:posOffset>
                </wp:positionH>
                <wp:positionV relativeFrom="paragraph">
                  <wp:posOffset>167005</wp:posOffset>
                </wp:positionV>
                <wp:extent cx="1028700" cy="457200"/>
                <wp:effectExtent l="0" t="0" r="0" b="0"/>
                <wp:wrapNone/>
                <wp:docPr id="443"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5.5pt;margin-top:13.15pt;height:36pt;width:81pt;z-index:251668480;mso-width-relative:page;mso-height-relative:page;" filled="f" stroked="f" coordsize="21600,21600" o:gfxdata="UEsDBAoAAAAAAIdO4kAAAAAAAAAAAAAAAAAEAAAAZHJzL1BLAwQUAAAACACHTuJAAHf4KtYAAAAJ&#10;AQAADwAAAGRycy9kb3ducmV2LnhtbE2PzW7CMBCE75V4B2srcQM7UBCEbDhQ9UpV+iNxM/GSRI3X&#10;UWxI+vZ1Tu1xdkaz32T7wTbiTp2vHSMkcwWCuHCm5hLh4/1ltgHhg2ajG8eE8EMe9vnkIdOpcT2/&#10;0f0UShFL2KcaoQqhTaX0RUVW+7lriaN3dZ3VIcqulKbTfSy3jVwotZZW1xw/VLqlQ0XF9+lmET6P&#10;1/PXk3otn+2q7d2gJNutRJw+JmoHItAQ/sIw4kd0yCPTxd3YeNEgzJIkbgkIi/USxBhYjYcLwnaz&#10;BJln8v+C/BdQSwMEFAAAAAgAh07iQLJQ4yAXAgAAGQQAAA4AAABkcnMvZTJvRG9jLnhtbK1TS27b&#10;MBDdF+gdCO5rya6apILlII2RokD6AdIegKYoi6jIYYe0pfQAzQ266qb7nsvn6JByXDfdZNGNQHKG&#10;b957fJqfD6ZjW4Veg634dJJzpqyEWtt1xT99vHp2xpkPwtaiA6sqfqs8P188fTLvXalm0EJXK2QE&#10;Yn3Zu4q3Ibgyy7xslRF+Ak5ZKjaARgTa4jqrUfSEbrpslucnWQ9YOwSpvKfT5Vjke0R8DCA0jZZq&#10;CXJjlA0jKqpOBJLkW+08XyS2TaNkeN80XgXWVZyUhvSlIbRexW+2mItyjcK1Wu4piMdQeKDJCG1p&#10;6AFqKYJgG9T/QBktETw0YSLBZKOQ5AipmOYPvLlphVNJC1nt3cF0//9g5bvtB2S6rnhRPOfMCkNP&#10;vvt+t/vxa/fzGyumJ9Gi3vmSOm8c9YbhFQwUnCTXu2uQnz2zcNkKu1YXiNC3StREcRpvZkdXRxwf&#10;QVb9W6hpktgESEBDgyb6R44wQqfnuT08jxoCk3FkPjs7zakkqVa8OKU0pRGivL/t0IfXCgyLi4oj&#10;PX9CF9trHyIbUd63xGEWrnTXpQh09q8DaowniX0kPFIPw2rYu7GC+pZ0IIyJov+JFi3gV856SlPF&#10;/ZeNQMVZ98aSFy+nRRHjlzaJOmd4XFkdV4SVBFXxwNm4vAxjZDcO9bqlSaP7Fi7Iv0YnadHokdWe&#10;NyUmKd6nO0byeJ+6/vzR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d/gq1gAAAAkBAAAPAAAA&#10;AAAAAAEAIAAAACIAAABkcnMvZG93bnJldi54bWxQSwECFAAUAAAACACHTuJAslDjIBcCAAAZBAAA&#10;DgAAAAAAAAABACAAAAAlAQAAZHJzL2Uyb0RvYy54bWxQSwUGAAAAAAYABgBZAQAArg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rPr>
        <w:t>合同文件以中国的汉语简体语言文字编写、解释和说明。专用术语使用外文的，应附有中文注释。合同当事人在约定使用两种及以上语言时，汉语为优先解释和说明合同的语言。</w:t>
      </w:r>
    </w:p>
    <w:p>
      <w:pPr>
        <w:pStyle w:val="22"/>
        <w:widowControl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与合同有关的联络应使用约定的语言。如没有约定，则应使用中国的汉语简体语言文字。</w:t>
      </w:r>
    </w:p>
    <w:p>
      <w:pPr>
        <w:pStyle w:val="22"/>
        <w:widowControl w:val="0"/>
        <w:spacing w:line="360" w:lineRule="auto"/>
        <w:ind w:left="1850" w:leftChars="771"/>
        <w:jc w:val="both"/>
        <w:rPr>
          <w:rFonts w:ascii="仿宋" w:hAnsi="仿宋" w:eastAsia="仿宋" w:cs="仿宋"/>
          <w:color w:val="auto"/>
          <w:sz w:val="24"/>
          <w:szCs w:val="24"/>
          <w:highlight w:val="none"/>
          <w:lang w:val="en-US"/>
        </w:rPr>
      </w:pPr>
    </w:p>
    <w:p>
      <w:pPr>
        <w:spacing w:line="360" w:lineRule="auto"/>
        <w:rPr>
          <w:rFonts w:ascii="仿宋" w:hAnsi="仿宋" w:eastAsia="仿宋" w:cs="仿宋"/>
          <w:b/>
          <w:bCs/>
          <w:color w:val="auto"/>
          <w:highlight w:val="none"/>
          <w:lang w:eastAsia="zh-CN"/>
        </w:rPr>
      </w:pPr>
      <w:bookmarkStart w:id="98" w:name="_Toc5003"/>
      <w:r>
        <w:rPr>
          <w:rFonts w:ascii="仿宋" w:hAnsi="仿宋" w:eastAsia="仿宋" w:cs="仿宋"/>
          <w:b/>
          <w:bCs/>
          <w:color w:val="auto"/>
          <w:highlight w:val="none"/>
          <w:lang w:eastAsia="zh-CN"/>
        </w:rPr>
        <w:t>4.2</w:t>
      </w:r>
      <w:bookmarkEnd w:id="9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442"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36pt;width:81pt;z-index:251666432;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CcBrZsFQIAABcEAAAOAAAAZHJzL2Uyb0RvYy54bWytU0GO0zAU&#10;3SNxB8t7mrQqdCZqOhqmGoQ0wEgDB3Adp7GI/c2326QcAG4wKzbsOVfPwbfTKWXYzIJNZPt/v//e&#10;88v8ojct2yr0GmzJx6OcM2UlVNquS/7p4/WLM858ELYSLVhV8p3y/GLx/Nm8c4WaQANtpZARiPVF&#10;50rehOCKLPOyUUb4EThlqVgDGhFoi+usQtERummzSZ6/yjrAyiFI5T2dLociPyDiUwChrrVUS5Ab&#10;o2wYUFG1IpAk32jn+SKxrWslw4e69iqwtuSkNKQvDaH1Kn6zxVwUaxSu0fJAQTyFwiNNRmhLQ49Q&#10;SxEE26D+B8poieChDiMJJhuEJEdIxTh/5M1dI5xKWshq746m+/8HK99vb5HpquTT6YQzKww9+f7+&#10;+/7Hr/3Pb2wWDeqcL6jvzlFn6F9DT7FJYr27AfnZMwtXjbBrdYkIXaNERQTH8WZ2cnXA8RFk1b2D&#10;iuaITYAE1NdoonvkByN0epzd8XFUH5iMI/PJ2SynkqTa9OWMspRGiOLhtkMf3igwLC5KjvT4CV1s&#10;b3yIbETx0BKHWbjWbZsC0Nq/DqgxniT2kfBAPfSr/uDGCqod6UAY8kR/Ey0awK+cdZSlkvsvG4GK&#10;s/atJS/Ox9NpDF/aJOqc4WlldVoRVhJUyQNnw/IqDIHdONTrhiYN7lu4JP9qnaRFowdWB96Ul6T4&#10;kO0YyNN96vrzPy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kcJrPUAAAACAEAAA8AAAAAAAAA&#10;AQAgAAAAIgAAAGRycy9kb3ducmV2LnhtbFBLAQIUABQAAAAIAIdO4kCcBrZsFQIAABcEAAAOAAAA&#10;AAAAAAEAIAAAACMBAABkcnMvZTJvRG9jLnhtbFBLBQYAAAAABgAGAFkBAACq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pPr>
        <w:spacing w:line="360" w:lineRule="auto"/>
        <w:rPr>
          <w:rFonts w:ascii="仿宋" w:hAnsi="仿宋" w:eastAsia="仿宋" w:cs="仿宋"/>
          <w:b/>
          <w:bCs/>
          <w:color w:val="auto"/>
          <w:highlight w:val="none"/>
          <w:lang w:eastAsia="zh-CN"/>
        </w:rPr>
      </w:pPr>
      <w:bookmarkStart w:id="99" w:name="_Toc19514"/>
      <w:r>
        <w:rPr>
          <w:rFonts w:ascii="仿宋" w:hAnsi="仿宋" w:eastAsia="仿宋" w:cs="仿宋"/>
          <w:b/>
          <w:bCs/>
          <w:color w:val="auto"/>
          <w:highlight w:val="none"/>
          <w:lang w:eastAsia="zh-CN"/>
        </w:rPr>
        <w:t>4.3</w:t>
      </w:r>
      <w:bookmarkEnd w:id="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1028700" cy="577850"/>
                <wp:effectExtent l="0" t="0" r="0" b="0"/>
                <wp:wrapNone/>
                <wp:docPr id="441"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028700" cy="57785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45.5pt;width:81pt;z-index:251667456;mso-width-relative:page;mso-height-relative:page;" filled="f" stroked="f" coordsize="21600,21600" o:gfxdata="UEsDBAoAAAAAAIdO4kAAAAAAAAAAAAAAAAAEAAAAZHJzL1BLAwQUAAAACACHTuJAd3Dx99UAAAAH&#10;AQAADwAAAGRycy9kb3ducmV2LnhtbE2PT0/DMAzF70h8h8hI3LakqKCt1N0BxJWJ8UfiljVeW9E4&#10;VZOt3bfHO8HFetaz3vu53My+VycaYxcYIVsaUMR1cB03CB/vL4sVqJgsO9sHJoQzRdhU11elLVyY&#10;+I1Ou9QoCeFYWIQ2paHQOtYteRuXYSAW7xBGb5OsY6PdaCcJ972+M+ZBe9uxNLR2oKeW6p/d0SN8&#10;vh6+v3KzbZ79/TCF2Wj2a414e5OZR1CJ5vR3DBd8QYdKmPbhyC6qHmGRreSXhCDzYue5iD3COjOg&#10;q1L/569+AVBLAwQUAAAACACHTuJA0ffSCRgCAAAXBAAADgAAAGRycy9lMm9Eb2MueG1srVNLjhMx&#10;EN0jcQfLe9KdKCGhlc5omGgQ0vCRBg7guN1pi7bLlJ10DweAG7Biw55z5RyU3ZkQhs0s2Fi2q/zq&#10;vVfl5UVvWrZX6DXYko9HOWfKSqi03Zb844frZwvOfBC2Ei1YVfI75fnF6umTZecKNYEG2kohIxDr&#10;i86VvAnBFVnmZaOM8CNwylKwBjQi0BG3WYWiI3TTZpM8f551gJVDkMp7ul0PQX5ExMcAQl1rqdYg&#10;d0bZMKCiakUgSb7RzvNVYlvXSoZ3de1VYG3JSWlIKxWh/Sau2Wopii0K12h5pCAeQ+GBJiO0paIn&#10;qLUIgu1Q/wNltETwUIeRBJMNQpIjpGKcP/DmthFOJS1ktXcn0/3/g5Vv9++R6ark0+mYMysMtfzw&#10;/dvhx6/Dz69sEQ3qnC8o79ZRZuhfQk9jk8R6dwPyk2cWrhpht+oSEbpGiYoIjuPL7OzpgOMjyKZ7&#10;AxXVEbsACaiv0UT3yA9G6NScu1NzVB+YjCXzyWKeU0hSbDafL2ape5ko7l879OGVAsPipuRIzU/o&#10;Yn/jQ2QjivuUWMzCtW7bNACt/euCEuNNYh8JD9RDv+mPbmyguiMdCMM80W+iTQP4hbOOZqnk/vNO&#10;oOKsfW3Jixfj6TQOXzpMZ/MJHfA8sjmPCCsJquSBs2F7FYaB3TnU24YqDe5buCT/ap2kRaMHVkfe&#10;NC9J8XG240Cen1PWn/+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3cPH31QAAAAcBAAAPAAAA&#10;AAAAAAEAIAAAACIAAABkcnMvZG93bnJldi54bWxQSwECFAAUAAAACACHTuJA0ffSCRgCAAAXBAAA&#10;DgAAAAAAAAABACAAAAAkAQAAZHJzL2Uyb0RvYy54bWxQSwUGAAAAAAYABgBZAQAArg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00" w:name="_Toc20113"/>
      <w:bookmarkStart w:id="101" w:name="_Toc12996"/>
      <w:bookmarkStart w:id="102" w:name="_Toc47694275"/>
      <w:bookmarkStart w:id="103" w:name="_Toc469383984"/>
      <w:r>
        <w:rPr>
          <w:rFonts w:hint="eastAsia" w:ascii="仿宋" w:hAnsi="仿宋" w:eastAsia="仿宋" w:cs="仿宋"/>
          <w:bCs w:val="0"/>
          <w:color w:val="auto"/>
          <w:sz w:val="24"/>
          <w:szCs w:val="24"/>
          <w:highlight w:val="none"/>
        </w:rPr>
        <w:t>5 发包人要求</w:t>
      </w:r>
      <w:bookmarkEnd w:id="100"/>
      <w:bookmarkEnd w:id="101"/>
      <w:bookmarkEnd w:id="102"/>
    </w:p>
    <w:p>
      <w:pPr>
        <w:rPr>
          <w:rFonts w:ascii="仿宋" w:hAnsi="仿宋" w:eastAsia="仿宋"/>
          <w:b/>
          <w:color w:val="auto"/>
          <w:highlight w:val="none"/>
          <w:lang w:eastAsia="zh-CN"/>
        </w:rPr>
      </w:pPr>
      <w:bookmarkStart w:id="104" w:name="_Toc14222"/>
      <w:r>
        <w:rPr>
          <w:rFonts w:hint="eastAsia" w:ascii="仿宋" w:hAnsi="仿宋" w:eastAsia="仿宋"/>
          <w:b/>
          <w:color w:val="auto"/>
          <w:highlight w:val="none"/>
          <w:lang w:eastAsia="zh-CN"/>
        </w:rPr>
        <w:t>5.1</w:t>
      </w:r>
      <w:bookmarkEnd w:id="104"/>
    </w:p>
    <w:p>
      <w:pPr>
        <w:widowControl w:val="0"/>
        <w:tabs>
          <w:tab w:val="left" w:pos="4970"/>
        </w:tabs>
        <w:spacing w:line="360" w:lineRule="auto"/>
        <w:ind w:left="1850" w:leftChars="771"/>
        <w:jc w:val="both"/>
        <w:rPr>
          <w:rFonts w:ascii="仿宋" w:hAnsi="仿宋" w:eastAsia="仿宋" w:cs="仿宋"/>
          <w:color w:val="auto"/>
          <w:highlight w:val="none"/>
          <w:lang w:eastAsia="zh-CN" w:bidi="ar-SA"/>
        </w:rPr>
      </w:pPr>
      <w:r>
        <w:rPr>
          <w:rFonts w:ascii="仿宋" w:hAnsi="仿宋" w:eastAsia="仿宋" w:cs="仿宋"/>
          <w:color w:val="auto"/>
          <w:highlight w:val="none"/>
          <w:lang w:eastAsia="zh-CN" w:bidi="ar-SA"/>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20320</wp:posOffset>
                </wp:positionV>
                <wp:extent cx="914400" cy="752475"/>
                <wp:effectExtent l="0" t="0" r="0" b="0"/>
                <wp:wrapNone/>
                <wp:docPr id="44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59.25pt;width:72pt;z-index:251949056;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EFQ7kIUAgAAFgQAAA4AAABkcnMvZTJvRG9jLnhtbK1TS44T&#10;MRDdI3EHy3vSSZQQppXOaJhoENLwkQYO4LjdaYu2y5SddIcDwA1YsWHPuXIOyu6eEIbNLNhYdlX5&#10;1XvP5eVlZxq2V+g12IJPRmPOlJVQarst+McPN89ecOaDsKVowKqCH5Tnl6unT5aty9UUamhKhYxA&#10;rM9bV/A6BJdnmZe1MsKPwClLyQrQiEBH3GYlipbQTZNNx+PnWQtYOgSpvKfouk/yAREfAwhVpaVa&#10;g9wZZUOPiqoRgST5WjvPV4ltVSkZ3lWVV4E1BSelIa3UhPabuGarpci3KFyt5UBBPIbCA01GaEtN&#10;T1BrEQTbof4HymiJ4KEKIwkm64UkR0jFZPzAm7taOJW0kNXenUz3/w9Wvt2/R6bLgs9m5IkVhp78&#10;+P3b8cev48+v7CIa1DqfU92do8rQvYSOxiaJ9e4W5CfPLFzXwm7VFSK0tRIlEZzEm9nZ1R7HR5BN&#10;+wZK6iN2ARJQV6GJ7pEfjNCJyOH0OKoLTFLwYkIMKSMptZhPZ4t56iDy+8sOfXilwLC4KTjS2ydw&#10;sb/1IZIR+X1J7GXhRjdNev/G/hWgwhhJ5CPfnnnoNt1gxgbKA8lA6MeJPhNtasAvnLU0SgX3n3cC&#10;FWfNa0tWJOY0e+kwmy+mpALPM5vzjLCSoAoeOOu316Gf151Dva2pU2++hSuyr9JJWvS5ZzXwpnFJ&#10;iofRjvN4fk5Vf77z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7St11gAAAAkBAAAPAAAAAAAA&#10;AAEAIAAAACIAAABkcnMvZG93bnJldi54bWxQSwECFAAUAAAACACHTuJAQVDuQhQCAAAWBAAADgAA&#10;AAAAAAABACAAAAAlAQAAZHJzL2Uyb0RvYy54bWxQSwUGAAAAAAYABgBZAQAAqw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承担责任，按第43.3款规定处理。</w:t>
      </w:r>
    </w:p>
    <w:p>
      <w:pPr>
        <w:spacing w:line="360" w:lineRule="auto"/>
        <w:rPr>
          <w:rFonts w:ascii="仿宋" w:hAnsi="仿宋" w:eastAsia="仿宋"/>
          <w:b/>
          <w:color w:val="auto"/>
          <w:highlight w:val="none"/>
          <w:lang w:eastAsia="zh-CN"/>
        </w:rPr>
      </w:pPr>
      <w:bookmarkStart w:id="105" w:name="_Toc26954"/>
      <w:r>
        <w:rPr>
          <w:rFonts w:hint="eastAsia" w:ascii="仿宋" w:hAnsi="仿宋" w:eastAsia="仿宋"/>
          <w:b/>
          <w:color w:val="auto"/>
          <w:highlight w:val="none"/>
          <w:lang w:eastAsia="zh-CN"/>
        </w:rPr>
        <w:t>5.2</w:t>
      </w:r>
      <w:bookmarkEnd w:id="105"/>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950080" behindDoc="0" locked="0" layoutInCell="1" allowOverlap="1">
                <wp:simplePos x="0" y="0"/>
                <wp:positionH relativeFrom="column">
                  <wp:posOffset>-132715</wp:posOffset>
                </wp:positionH>
                <wp:positionV relativeFrom="paragraph">
                  <wp:posOffset>49530</wp:posOffset>
                </wp:positionV>
                <wp:extent cx="914400" cy="752475"/>
                <wp:effectExtent l="0" t="0" r="0" b="0"/>
                <wp:wrapNone/>
                <wp:docPr id="43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0.45pt;margin-top:3.9pt;height:59.25pt;width:72pt;z-index:251950080;mso-width-relative:page;mso-height-relative:page;" filled="f" stroked="f" coordsize="21600,21600" o:gfxdata="UEsDBAoAAAAAAIdO4kAAAAAAAAAAAAAAAAAEAAAAZHJzL1BLAwQUAAAACACHTuJAbHj4KdYAAAAJ&#10;AQAADwAAAGRycy9kb3ducmV2LnhtbE2PzU7DMBCE70h9B2uRuLV2Uig0ZNNDEVcqyo/EzY23SUS8&#10;jmK3CW9f50RvO5rR7Df5ZrStOFPvG8cIyUKBIC6dabhC+Px4nT+B8EGz0a1jQvgjD5tidpPrzLiB&#10;3+m8D5WIJewzjVCH0GVS+rImq/3CdcTRO7re6hBlX0nT6yGW21amSq2k1Q3HD7XuaFtT+bs/WYSv&#10;t+PP973aVS/2oRvcqCTbtUS8u03UM4hAY/gPw4Qf0aGITAd3YuNFizBP1TpGER7jgslPlwmIw3Ss&#10;liCLXF4vKC5QSwMEFAAAAAgAh07iQIUxx5AWAgAAFgQAAA4AAABkcnMvZTJvRG9jLnhtbK1TS44T&#10;MRDdI3EHy3vSSUgIaaUzGiYahDR8pIEDOG532qLtMmUn3eEAzA1YsWHPuXIOyu5MCMNmFmws21V+&#10;9d6r8uKiMw3bKfQabMFHgyFnykootd0U/NPH62cvOfNB2FI0YFXB98rzi+XTJ4vW5WoMNTSlQkYg&#10;1uetK3gdgsuzzMtaGeEH4JSlYAVoRKAjbrISRUvopsnGw+GLrAUsHYJU3tPtqg/yIyI+BhCqSku1&#10;Ark1yoYeFVUjAknytXaeLxPbqlIyvK8qrwJrCk5KQ1qpCO3Xcc2WC5FvULhayyMF8RgKDzQZoS0V&#10;PUGtRBBsi/ofKKMlgocqDCSYrBeSHCEVo+EDb25r4VTSQlZ7dzLd/z9Y+W73AZkuCz55PufMCkMt&#10;P3y/O/z4dfj5jc2jQa3zOeXdOsoM3SvoaGySWO9uQH72zMJVLexGXSJCWytREsFRfJmdPe1xfARZ&#10;t2+hpDpiGyABdRWa6B75wQidmrM/NUd1gUm6nI8mkyFFJIVm0/FkNk0VRH7/2KEPrxUYFjcFR+p9&#10;Ahe7Gx8iGZHfp8RaFq5106T+N/avC0qMN4l85NszD926O5qxhnJPMhD6caLPRJsa8CtnLY1Swf2X&#10;rUDFWfPGkhWJOc1eOkymszGpwPPI+jwirCSoggfO+u1V6Od161BvaqrUm2/hkuyrdJIWfe5ZHXnT&#10;uCTFx9GO83h+Tll/vvP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x4+CnWAAAACQEAAA8AAAAA&#10;AAAAAQAgAAAAIgAAAGRycy9kb3ducmV2LnhtbFBLAQIUABQAAAAIAIdO4kCFMceQFgIAABYEAAAO&#10;AAAAAAAAAAEAIAAAACUBAABkcnMvZTJvRG9jLnhtbFBLBQYAAAAABgAGAFkBAACt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pPr>
        <w:spacing w:line="360" w:lineRule="auto"/>
        <w:rPr>
          <w:color w:val="auto"/>
          <w:highlight w:val="none"/>
          <w:lang w:eastAsia="zh-CN"/>
        </w:rPr>
      </w:pPr>
      <w:bookmarkStart w:id="106" w:name="_Toc6094"/>
      <w:r>
        <w:rPr>
          <w:rFonts w:hint="eastAsia" w:ascii="仿宋" w:hAnsi="仿宋" w:eastAsia="仿宋"/>
          <w:b/>
          <w:color w:val="auto"/>
          <w:highlight w:val="none"/>
          <w:lang w:eastAsia="zh-CN"/>
        </w:rPr>
        <w:t>5.3</w:t>
      </w:r>
      <w:bookmarkEnd w:id="106"/>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669504" behindDoc="0" locked="0" layoutInCell="1" allowOverlap="1">
                <wp:simplePos x="0" y="0"/>
                <wp:positionH relativeFrom="column">
                  <wp:posOffset>-66675</wp:posOffset>
                </wp:positionH>
                <wp:positionV relativeFrom="paragraph">
                  <wp:posOffset>19685</wp:posOffset>
                </wp:positionV>
                <wp:extent cx="774065" cy="620395"/>
                <wp:effectExtent l="0" t="0" r="0" b="0"/>
                <wp:wrapNone/>
                <wp:docPr id="43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4065" cy="62039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48.85pt;width:60.95pt;z-index:251669504;mso-width-relative:page;mso-height-relative:page;" filled="f" stroked="f" coordsize="21600,21600" o:gfxdata="UEsDBAoAAAAAAIdO4kAAAAAAAAAAAAAAAAAEAAAAZHJzL1BLAwQUAAAACACHTuJAly4Iw9YAAAAJ&#10;AQAADwAAAGRycy9kb3ducmV2LnhtbE2PwW7CMBBE70j9B2srcQPbBSpI43Bo1WurQluJm4mXJGq8&#10;jmJD0r/vciq3Wc1o5m2+HX0rLtjHJpABPVcgkMrgGqoMfO5fZ2sQMVlytg2EBn4xwra4m+Q2c2Gg&#10;D7zsUiW4hGJmDdQpdZmUsazR2zgPHRJ7p9B7m/jsK+l6O3C5b+WDUo/S24Z4obYdPtdY/uzO3sDX&#10;2+nwvVTv1YtfdUMYlSS/kcZM77V6ApFwTP9huOIzOhTMdAxnclG0BmZarThqYKFBXH2tlyCOLJRa&#10;gyxyeftB8QdQSwMEFAAAAAgAh07iQFb5pVsZAgAAFwQAAA4AAABkcnMvZTJvRG9jLnhtbK1TzW4T&#10;MRC+I/EOlu9kN2l+2lU2VWlUhFQoUuEBHK83a7HrMWMnu+EB6Btw4sKd58pzMPamIZRLD1ws2zP+&#10;5vu+Gc8vu6ZmW4VOg8n5cJBypoyEQpt1zj99vHl1zpnzwhSiBqNyvlOOXy5evpi3NlMjqKAuFDIC&#10;MS5rbc4r722WJE5WqhFuAFYZCpaAjfB0xHVSoGgJvamTUZpOkxawsAhSOUe3yz7ID4j4HEAoSy3V&#10;EuSmUcb3qKhq4UmSq7R1fBHZlqWS/q4snfKszjkp9XGlIrRfhTVZzEW2RmErLQ8UxHMoPNHUCG2o&#10;6BFqKbxgG9T/QDVaIjgo/UBCk/RCoiOkYpg+8ea+ElZFLWS1s0fT3f+Dle+3H5DpIufjM2q8EQ21&#10;fP/9Yf/j1/7nNzYcBoda6zJKvLeU6rvX0NHcRLXO3oL87JiB60qYtbpChLZSoiCG8WVy8rTHcQFk&#10;1b6DggqJjYcI1JXYBPvIEEbo1J3dsTuq80zS5Ww2TqcTziSFpqP07GISuCUie3xs0fk3ChoWNjlH&#10;an4EF9tb5/vUx5RQy8CNrus4ALX564Iww00kH/j2zH236g5mrKDYkQyEfp7oN9GmAvzKWUuzlHP3&#10;ZSNQcVa/NWTFxXA8DsMXD+PJbEQHPI2sTiPCSILKuees3177fmA3FvW6okq9+QauyL5SR2nB557V&#10;gTfNSzTnMNthIE/PMevPf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uCMPWAAAACQEAAA8A&#10;AAAAAAAAAQAgAAAAIgAAAGRycy9kb3ducmV2LnhtbFBLAQIUABQAAAAIAIdO4kBW+aVbGQIAABcE&#10;AAAOAAAAAAAAAAEAIAAAACUBAABkcnMvZTJvRG9jLnhtbFBLBQYAAAAABgAGAFkBAACw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5.3.2 因承包人原因造成设计文件存在遗漏、错误、缺陷和不足的，承包人应及时修复、弥补、纠正和完善。因此对设计及后续设计和（或）施工等阶段工作造成的工期延误及费用增加由承包人承担。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pPr>
        <w:spacing w:line="360" w:lineRule="auto"/>
        <w:rPr>
          <w:rFonts w:ascii="仿宋" w:hAnsi="仿宋" w:eastAsia="仿宋"/>
          <w:color w:val="auto"/>
          <w:highlight w:val="none"/>
          <w:lang w:eastAsia="zh-CN"/>
        </w:rPr>
      </w:pPr>
      <w:bookmarkStart w:id="107" w:name="_Toc6473"/>
      <w:r>
        <w:rPr>
          <w:rFonts w:hint="eastAsia" w:ascii="仿宋" w:hAnsi="仿宋" w:eastAsia="仿宋"/>
          <w:b/>
          <w:color w:val="auto"/>
          <w:highlight w:val="none"/>
          <w:lang w:eastAsia="zh-CN"/>
        </w:rPr>
        <w:t>5.4</w:t>
      </w:r>
      <w:bookmarkEnd w:id="107"/>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947008" behindDoc="0" locked="0" layoutInCell="1" allowOverlap="1">
                <wp:simplePos x="0" y="0"/>
                <wp:positionH relativeFrom="column">
                  <wp:posOffset>-66675</wp:posOffset>
                </wp:positionH>
                <wp:positionV relativeFrom="paragraph">
                  <wp:posOffset>19685</wp:posOffset>
                </wp:positionV>
                <wp:extent cx="774065" cy="620395"/>
                <wp:effectExtent l="0" t="0" r="0" b="0"/>
                <wp:wrapNone/>
                <wp:docPr id="43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4065" cy="620395"/>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48.85pt;width:60.95pt;z-index:251947008;mso-width-relative:page;mso-height-relative:page;" filled="f" stroked="f" coordsize="21600,21600" o:gfxdata="UEsDBAoAAAAAAIdO4kAAAAAAAAAAAAAAAAAEAAAAZHJzL1BLAwQUAAAACACHTuJAly4Iw9YAAAAJ&#10;AQAADwAAAGRycy9kb3ducmV2LnhtbE2PwW7CMBBE70j9B2srcQPbBSpI43Bo1WurQluJm4mXJGq8&#10;jmJD0r/vciq3Wc1o5m2+HX0rLtjHJpABPVcgkMrgGqoMfO5fZ2sQMVlytg2EBn4xwra4m+Q2c2Gg&#10;D7zsUiW4hGJmDdQpdZmUsazR2zgPHRJ7p9B7m/jsK+l6O3C5b+WDUo/S24Z4obYdPtdY/uzO3sDX&#10;2+nwvVTv1YtfdUMYlSS/kcZM77V6ApFwTP9huOIzOhTMdAxnclG0BmZarThqYKFBXH2tlyCOLJRa&#10;gyxyeftB8QdQSwMEFAAAAAgAh07iQL8WROoZAgAAFwQAAA4AAABkcnMvZTJvRG9jLnhtbK1TS27b&#10;MBDdF+gdCO5ryY4/iWA5SGOkKJA2BdIegKYoi6jEYYe0JfcAzQ266qb7nsvn6JByXDfdZNGNQHKG&#10;b957fJpfdk3NtgqdBpPz4SDlTBkJhTbrnH/6ePPqnDPnhSlEDUblfKccv1y8fDFvbaZGUEFdKGQE&#10;YlzW2pxX3tssSZysVCPcAKwyVCwBG+Fpi+ukQNESelMnozSdJi1gYRGkco5Ol32RHxDxOYBQllqq&#10;JchNo4zvUVHVwpMkV2nr+CKyLUsl/V1ZOuVZnXNS6uOXhtB6Fb7JYi6yNQpbaXmgIJ5D4YmmRmhD&#10;Q49QS+EF26D+B6rREsFB6QcSmqQXEh0hFcP0iTf3lbAqaiGrnT2a7v4frHy//YBMFzkfn804M6Kh&#10;J99/f9j/+LX/+Y0Nh8Gh1rqMGu8ttfruNXSUm6jW2VuQnx0zcF0Js1ZXiNBWShTEMN5MTq72OC6A&#10;rNp3UNAgsfEQgboSm2AfGcIInV5nd3wd1Xkm6XA2G6fTCWeSStNRenYxCdwSkT1etuj8GwUNC4uc&#10;Iz1+BBfbW+f71seWMMvAja7rGIDa/HVAmOEkkg98e+a+W3UHM1ZQ7EgGQp8n+ptoUQF+5aylLOXc&#10;fdkIVJzVbw1ZcTEcj0P44mY8mY1og6eV1WlFGElQOfec9ctr3wd2Y1GvK5rUm2/giuwrdZQWfO5Z&#10;HXhTXqI5h2yHQJ7uY9ef/3n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uCMPWAAAACQEAAA8A&#10;AAAAAAAAAQAgAAAAIgAAAGRycy9kb3ducmV2LnhtbFBLAQIUABQAAAAIAIdO4kC/FkTqGQIAABcE&#10;AAAOAAAAAAAAAAEAIAAAACUBAABkcnMvZTJvRG9jLnhtbFBLBQYAAAAABgAGAFkBAACw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不良后果的，承包人应当承担相应的违约责任。</w:t>
      </w:r>
    </w:p>
    <w:p>
      <w:pPr>
        <w:spacing w:line="360" w:lineRule="auto"/>
        <w:rPr>
          <w:rFonts w:ascii="仿宋" w:hAnsi="仿宋" w:eastAsia="仿宋"/>
          <w:b/>
          <w:color w:val="auto"/>
          <w:highlight w:val="none"/>
          <w:lang w:eastAsia="zh-CN"/>
        </w:rPr>
      </w:pPr>
      <w:bookmarkStart w:id="108" w:name="_Toc9522"/>
      <w:r>
        <w:rPr>
          <w:rFonts w:hint="eastAsia" w:ascii="仿宋" w:hAnsi="仿宋" w:eastAsia="仿宋"/>
          <w:b/>
          <w:color w:val="auto"/>
          <w:highlight w:val="none"/>
          <w:lang w:eastAsia="zh-CN"/>
        </w:rPr>
        <w:t>5.5</w:t>
      </w:r>
      <w:bookmarkEnd w:id="1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58944" behindDoc="0" locked="0" layoutInCell="1" allowOverlap="1">
                <wp:simplePos x="0" y="0"/>
                <wp:positionH relativeFrom="column">
                  <wp:posOffset>-66675</wp:posOffset>
                </wp:positionH>
                <wp:positionV relativeFrom="paragraph">
                  <wp:posOffset>3175</wp:posOffset>
                </wp:positionV>
                <wp:extent cx="914400" cy="901700"/>
                <wp:effectExtent l="0" t="0" r="0" b="0"/>
                <wp:wrapNone/>
                <wp:docPr id="43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25pt;margin-top:0.25pt;height:71pt;width:72pt;z-index:251858944;mso-width-relative:page;mso-height-relative:page;" filled="f" stroked="f" coordsize="21600,21600" o:gfxdata="UEsDBAoAAAAAAIdO4kAAAAAAAAAAAAAAAAAEAAAAZHJzL1BLAwQUAAAACACHTuJANbt1stUAAAAI&#10;AQAADwAAAGRycy9kb3ducmV2LnhtbE2PT0/DMAzF70h8h8hI3Lak24qgNN0BxBXE+CNx8xqvrWic&#10;qsnW8u3xTnCxnvWenn8ut7Pv1YnG2AW2kC0NKOI6uI4bC+9vT4tbUDEhO+wDk4UfirCtLi9KLFyY&#10;+JVOu9QoKeFYoIU2paHQOtYteYzLMBCLdwijxyTr2Gg34iTlvtcrY260x47lQosDPbRUf++O3sLH&#10;8+Hrc2NemkefD1OYjWZ/p629vsrMPahEc/oLwxlf0KESpn04souqt7DITC5RCzLP9notYi9is8pB&#10;V6X+/0D1C1BLAwQUAAAACACHTuJAYuP4URUCAAAWBAAADgAAAGRycy9lMm9Eb2MueG1srVPNjtMw&#10;EL4j8Q6W7zRpKbs0arpatlqEtPxICw/gOk5jEXvM2G1SHgDegBMX7jxXn4Ox0+2W5bIHLtF4ZvzN&#10;932ezC9607KtQq/Blnw8yjlTVkKl7brknz5eP3vJmQ/CVqIFq0q+U55fLJ4+mXeuUBNooK0UMgKx&#10;vuhcyZsQXJFlXjbKCD8CpywVa0AjAh1xnVUoOkI3bTbJ87OsA6wcglTeU3Y5FPkBER8DCHWtpVqC&#10;3Bhlw4CKqhWBJPlGO88XiW1dKxne17VXgbUlJ6UhfWkIxav4zRZzUaxRuEbLAwXxGAoPNBmhLQ09&#10;Qi1FEGyD+h8ooyWChzqMJJhsEJIcIRXj/IE3t41wKmkhq707mu7/H6x8t/2ATFclnz4/48wKQ0++&#10;//F9//P3/tc3NosGdc4X1HfrqDP0r6CntUlivbsB+dkzC1eNsGt1iQhdo0RFBMfxZnZydcDxEWTV&#10;vYWK5ohNgATU12iie+QHI3R6nN3xcVQfmKTkbDyd5lSRVJrl43OK4wRR3F126MNrBYbFoORIb5/A&#10;xfbGh6H1riXOsnCt25byomjtXwnCjJlEPvIdmId+1VN3VLSCakcyEIZ1op+JggbwK2cdrVLJ/ZeN&#10;QMVZ+8aSFYk57V46TF+cT0gFnlZWpxVhJUGVPHA2hFdh2NeNQ71uaNJgvoVLsq/WSdo9qwNvWpdk&#10;zmG14z6enlPX/e+8+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u3Wy1QAAAAgBAAAPAAAAAAAA&#10;AAEAIAAAACIAAABkcnMvZG93bnJldi54bWxQSwECFAAUAAAACACHTuJAYuP4URUCAAAWBAAADgAA&#10;AAAAAAABACAAAAAkAQAAZHJzL2Uyb0RvYy54bWxQSwUGAAAAAAYABgBZAQAAqw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pPr>
        <w:pStyle w:val="40"/>
        <w:rPr>
          <w:color w:val="auto"/>
          <w:highlight w:val="none"/>
        </w:rPr>
      </w:pPr>
    </w:p>
    <w:p>
      <w:pPr>
        <w:spacing w:line="360" w:lineRule="auto"/>
        <w:rPr>
          <w:rFonts w:ascii="仿宋" w:hAnsi="仿宋" w:eastAsia="仿宋"/>
          <w:b/>
          <w:color w:val="auto"/>
          <w:highlight w:val="none"/>
          <w:lang w:eastAsia="zh-CN"/>
        </w:rPr>
      </w:pPr>
      <w:bookmarkStart w:id="109" w:name="_Toc27158"/>
      <w:r>
        <w:rPr>
          <w:rFonts w:hint="eastAsia" w:ascii="仿宋" w:hAnsi="仿宋" w:eastAsia="仿宋"/>
          <w:b/>
          <w:color w:val="auto"/>
          <w:highlight w:val="none"/>
          <w:lang w:eastAsia="zh-CN"/>
        </w:rPr>
        <w:t>5.6</w:t>
      </w:r>
      <w:bookmarkEnd w:id="1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48032" behindDoc="0" locked="0" layoutInCell="1" allowOverlap="1">
                <wp:simplePos x="0" y="0"/>
                <wp:positionH relativeFrom="column">
                  <wp:posOffset>-66675</wp:posOffset>
                </wp:positionH>
                <wp:positionV relativeFrom="paragraph">
                  <wp:posOffset>3175</wp:posOffset>
                </wp:positionV>
                <wp:extent cx="914400" cy="901700"/>
                <wp:effectExtent l="0" t="0" r="0" b="0"/>
                <wp:wrapNone/>
                <wp:docPr id="43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25pt;margin-top:0.25pt;height:71pt;width:72pt;z-index:251948032;mso-width-relative:page;mso-height-relative:page;" filled="f" stroked="f" coordsize="21600,21600" o:gfxdata="UEsDBAoAAAAAAIdO4kAAAAAAAAAAAAAAAAAEAAAAZHJzL1BLAwQUAAAACACHTuJANbt1stUAAAAI&#10;AQAADwAAAGRycy9kb3ducmV2LnhtbE2PT0/DMAzF70h8h8hI3Lak24qgNN0BxBXE+CNx8xqvrWic&#10;qsnW8u3xTnCxnvWenn8ut7Pv1YnG2AW2kC0NKOI6uI4bC+9vT4tbUDEhO+wDk4UfirCtLi9KLFyY&#10;+JVOu9QoKeFYoIU2paHQOtYteYzLMBCLdwijxyTr2Gg34iTlvtcrY260x47lQosDPbRUf++O3sLH&#10;8+Hrc2NemkefD1OYjWZ/p629vsrMPahEc/oLwxlf0KESpn04souqt7DITC5RCzLP9notYi9is8pB&#10;V6X+/0D1C1BLAwQUAAAACACHTuJA79zMvRUCAAAWBAAADgAAAGRycy9lMm9Eb2MueG1srVPNjtMw&#10;EL4j8Q6W7zRp6bI0arpatlqEtPxICw/gOk5jEXvM2G1SHgDegBMX7jxXn4Ox0+2W5bIHLtF4ZvzN&#10;932ezC9607KtQq/Blnw8yjlTVkKl7brknz5eP3vJmQ/CVqIFq0q+U55fLJ4+mXeuUBNooK0UMgKx&#10;vuhcyZsQXJFlXjbKCD8CpywVa0AjAh1xnVUoOkI3bTbJ8xdZB1g5BKm8p+xyKPIDIj4GEOpaS7UE&#10;uTHKhgEVVSsCSfKNdp4vEtu6VjK8r2uvAmtLTkpD+tIQilfxmy3molijcI2WBwriMRQeaDJCWxp6&#10;hFqKINgG9T9QRksED3UYSTDZICQ5QirG+QNvbhvhVNJCVnt3NN3/P1j5bvsBma5KPn1+xpkVhp58&#10;/+P7/ufv/a9vbBYN6pwvqO/WUWfoX0FPa5PEencD8rNnFq4aYdfqEhG6RomKCI7jzezk6oDjI8iq&#10;ewsVzRGbAAmor9FE98gPRuj0OLvj46g+MEnJ2Xg6zakiqTTLx+cUxwmiuLvs0IfXCgyLQcmR3j6B&#10;i+2ND0PrXUucZeFaty3lRdHavxKEGTOJfOQ7MA/9qqfuqGgF1Y5kIAzrRD8TBQ3gV846WqWS+y8b&#10;gYqz9o0lKxJz2r10mJ6dT0gFnlZWpxVhJUGVPHA2hFdh2NeNQ71uaNJgvoVLsq/WSdo9qwNvWpdk&#10;zmG14z6enlPX/e+8+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u3Wy1QAAAAgBAAAPAAAAAAAA&#10;AAEAIAAAACIAAABkcnMvZG93bnJldi54bWxQSwECFAAUAAAACACHTuJA79zMvRUCAAAWBAAADgAA&#10;AAAAAAABACAAAAAkAQAAZHJzL2Uyb0RvYy54bWxQSwUGAAAAAAYABgBZAQAAqw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部分主要工程材料、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pPr>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10" w:name="_Toc2880"/>
      <w:bookmarkStart w:id="111" w:name="_Toc28418"/>
      <w:bookmarkStart w:id="112" w:name="_Toc47694276"/>
      <w:r>
        <w:rPr>
          <w:rFonts w:hint="eastAsia" w:ascii="仿宋" w:hAnsi="仿宋" w:eastAsia="仿宋" w:cs="仿宋"/>
          <w:bCs w:val="0"/>
          <w:color w:val="auto"/>
          <w:sz w:val="24"/>
          <w:szCs w:val="24"/>
          <w:highlight w:val="none"/>
        </w:rPr>
        <w:t>6 项目基础资料</w:t>
      </w:r>
      <w:bookmarkEnd w:id="110"/>
      <w:bookmarkEnd w:id="111"/>
      <w:bookmarkEnd w:id="112"/>
    </w:p>
    <w:p>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6.1</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59968" behindDoc="0" locked="0" layoutInCell="1" allowOverlap="1">
                <wp:simplePos x="0" y="0"/>
                <wp:positionH relativeFrom="column">
                  <wp:posOffset>-47625</wp:posOffset>
                </wp:positionH>
                <wp:positionV relativeFrom="paragraph">
                  <wp:posOffset>24765</wp:posOffset>
                </wp:positionV>
                <wp:extent cx="914400" cy="901700"/>
                <wp:effectExtent l="0" t="0" r="0" b="0"/>
                <wp:wrapNone/>
                <wp:docPr id="43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3.75pt;margin-top:1.95pt;height:71pt;width:72pt;z-index:251859968;mso-width-relative:page;mso-height-relative:page;" filled="f" stroked="f" coordsize="21600,21600" o:gfxdata="UEsDBAoAAAAAAIdO4kAAAAAAAAAAAAAAAAAEAAAAZHJzL1BLAwQUAAAACACHTuJAz5hDmdYAAAAI&#10;AQAADwAAAGRycy9kb3ducmV2LnhtbE2PwW7CMBBE75X6D9ZW6g1sCoEmxOHQqtdWpYDUm4mXJCJe&#10;R7Eh6d93ObW3Hc1o9k2+GV0rrtiHxpOG2VSBQCq9bajSsPt6mzyDCNGQNa0n1PCDATbF/V1uMusH&#10;+sTrNlaCSyhkRkMdY5dJGcoanQlT3yGxd/K9M5FlX0nbm4HLXSuflFpKZxriD7Xp8KXG8ry9OA37&#10;99P3YaE+qleXdIMflSSXSq0fH2ZqDSLiGP/CcMNndCiY6egvZINoNUxWCSc1zFMQN3u+ZH3kY5Gk&#10;IItc/h9Q/AJQSwMEFAAAAAgAh07iQJTJIOYVAgAAFgQAAA4AAABkcnMvZTJvRG9jLnhtbK1TzY7T&#10;MBC+I/EOlu80aSksjZqulq0WIS0/0sIDuI7TWMQeM3ablAdg34ATF+48V5+DsdPtluWyBy7ReGb8&#10;zfd9nszPe9OyrUKvwZZ8PMo5U1ZCpe265J8/XT17xZkPwlaiBatKvlOeny+ePpl3rlATaKCtFDIC&#10;sb7oXMmbEFyRZV42ygg/AqcsFWtAIwIdcZ1VKDpCN202yfOXWQdYOQSpvKfscijyAyI+BhDqWku1&#10;BLkxyoYBFVUrAknyjXaeLxLbulYyfKhrrwJrS05KQ/rSEIpX8Zst5qJYo3CNlgcK4jEUHmgyQlsa&#10;eoRaiiDYBvU/UEZLBA91GEkw2SAkOUIqxvkDb24a4VTSQlZ7dzTd/z9Y+X77EZmuSj59PuXMCkNP&#10;vv9xu//5e//rO5tFgzrnC+q7cdQZ+tfQ09oksd5dg/zimYXLRti1ukCErlGiIoLjeDM7uTrg+Aiy&#10;6t5BRXPEJkAC6ms00T3ygxE6Pc7u+DiqD0xScjaeTnOqSCrN8vEZxXGCKO4uO/ThjQLDYlBypLdP&#10;4GJ77cPQetcSZ1m40m1LeVG09q8EYcZMIh/5DsxDv+qpOypaQbUjGQjDOtHPREED+I2zjlap5P7r&#10;RqDirH1ryYrEnHYvHaYvziakAk8rq9OKsJKgSh44G8LLMOzrxqFeNzRpMN/CBdlX6yTtntWBN61L&#10;Muew2nEfT8+p6/53X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5hDmdYAAAAIAQAADwAAAAAA&#10;AAABACAAAAAiAAAAZHJzL2Rvd25yZXYueG1sUEsBAhQAFAAAAAgAh07iQJTJIOYVAgAAFgQAAA4A&#10;AAAAAAAAAQAgAAAAJQEAAGRycy9lMm9Eb2MueG1sUEsFBgAAAAAGAAYAWQEAAKw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如发包人未按时提供项目基础资料，承包人无法按时开展总承包各阶段工作造成合同总工期延误及费用增加，由发包人承担责任，按第43.3款规定处理。</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pPr>
        <w:pStyle w:val="40"/>
        <w:rPr>
          <w:color w:val="auto"/>
          <w:highlight w:val="none"/>
        </w:rPr>
      </w:pPr>
    </w:p>
    <w:p>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951104" behindDoc="0" locked="0" layoutInCell="1" allowOverlap="1">
                <wp:simplePos x="0" y="0"/>
                <wp:positionH relativeFrom="column">
                  <wp:posOffset>-207010</wp:posOffset>
                </wp:positionH>
                <wp:positionV relativeFrom="paragraph">
                  <wp:posOffset>156845</wp:posOffset>
                </wp:positionV>
                <wp:extent cx="914400" cy="752475"/>
                <wp:effectExtent l="0" t="0" r="0" b="0"/>
                <wp:wrapNone/>
                <wp:docPr id="43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6.3pt;margin-top:12.35pt;height:59.25pt;width:72pt;z-index:251951104;mso-width-relative:page;mso-height-relative:page;" filled="f" stroked="f" coordsize="21600,21600" o:gfxdata="UEsDBAoAAAAAAIdO4kAAAAAAAAAAAAAAAAAEAAAAZHJzL1BLAwQUAAAACACHTuJA8rPQltgAAAAK&#10;AQAADwAAAGRycy9kb3ducmV2LnhtbE2PTU/DMAyG70j8h8hI3LakXRnQNd0BxBW08SFx8xqvrdY4&#10;VZOt5d+TnbabLT96/bzFerKdONHgW8cakrkCQVw503Kt4evzbfYEwgdkg51j0vBHHtbl7U2BuXEj&#10;b+i0DbWIIexz1NCE0OdS+qohi37ueuJ427vBYojrUEsz4BjDbSdTpZbSYsvxQ4M9vTRUHbZHq+H7&#10;ff/7k6mP+tU+9KOblGT7LLW+v0vUCkSgKVxgOOtHdSij084d2XjRaZgt0mVENaTZI4gzkCQZiF0c&#10;skUKsizkdYXyH1BLAwQUAAAACACHTuJAaLrslRcCAAAWBAAADgAAAGRycy9lMm9Eb2MueG1srVPN&#10;bhMxEL4j8Q6W72STNCHtKpuqNCpCKj9S4QEcrzdrsfaYsZPd8ADwBpy4cO9z5TkYe9MQyqUHLpbt&#10;GX/zfd+M55edadhWoddgCz4aDDlTVkKp7brgnz7evDjnzAdhS9GAVQXfKc8vF8+fzVuXqzHU0JQK&#10;GYFYn7eu4HUILs8yL2tlhB+AU5aCFaARgY64zkoULaGbJhsPhy+zFrB0CFJ5T7fLPsgPiPgUQKgq&#10;LdUS5MYoG3pUVI0IJMnX2nm+SGyrSsnwvqq8CqwpOCkNaaUitF/FNVvMRb5G4WotDxTEUyg80mSE&#10;tlT0CLUUQbAN6n+gjJYIHqowkGCyXkhyhFSMho+8uauFU0kLWe3d0XT//2Dlu+0HZLos+OTsjDMr&#10;DLV8/+P7/uf9/tc3dhENap3PKe/OUWboXkFHY5PEencL8rNnFq5rYdfqChHaWomSCI7iy+zkaY/j&#10;I8iqfQsl1RGbAAmoq9BE98gPRujUnN2xOaoLTNLlxWgyGVJEUmg2HU9m01RB5A+PHfrwWoFhcVNw&#10;pN4ncLG99SGSEflDSqxl4UY3Tep/Y/+6oMR4k8hHvj3z0K26gxkrKHckA6EfJ/pMtKkBv3LW0igV&#10;3H/ZCFScNW8sWZGY0+ylw2Q6G5MKPI2sTiPCSoIqeOCs316Hfl43DvW6pkq9+RauyL5KJ2nR557V&#10;gTeNS1J8GO04j6fnlPXnO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Kz0JbYAAAACgEAAA8A&#10;AAAAAAAAAQAgAAAAIgAAAGRycy9kb3ducmV2LnhtbFBLAQIUABQAAAAIAIdO4kBouuyVFwIAABYE&#10;AAAOAAAAAAAAAAEAIAAAACcBAABkcnMvZTJvRG9jLnhtbFBLBQYAAAAABgAGAFkBAACw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pPr>
        <w:widowControl w:val="0"/>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lang w:val="en-US"/>
        </w:rPr>
      </w:pPr>
      <w:bookmarkStart w:id="113" w:name="_Toc16964"/>
      <w:bookmarkStart w:id="114" w:name="_Toc25891"/>
      <w:bookmarkStart w:id="115" w:name="_Toc47694277"/>
      <w:r>
        <w:rPr>
          <w:rFonts w:hint="eastAsia" w:ascii="仿宋" w:hAnsi="仿宋" w:eastAsia="仿宋" w:cs="仿宋"/>
          <w:bCs w:val="0"/>
          <w:color w:val="auto"/>
          <w:sz w:val="24"/>
          <w:szCs w:val="24"/>
          <w:highlight w:val="none"/>
        </w:rPr>
        <w:t>7 勘察报告、设计文件、建筑信息模型（BIM）</w:t>
      </w:r>
      <w:bookmarkEnd w:id="113"/>
      <w:bookmarkEnd w:id="114"/>
      <w:bookmarkEnd w:id="115"/>
    </w:p>
    <w:p>
      <w:pPr>
        <w:spacing w:line="360" w:lineRule="auto"/>
        <w:rPr>
          <w:rFonts w:ascii="仿宋" w:hAnsi="仿宋" w:eastAsia="仿宋"/>
          <w:b/>
          <w:color w:val="auto"/>
          <w:highlight w:val="none"/>
          <w:lang w:eastAsia="zh-CN"/>
        </w:rPr>
      </w:pPr>
      <w:r>
        <w:rPr>
          <w:rFonts w:ascii="仿宋" w:hAnsi="仿宋" w:eastAsia="仿宋"/>
          <w:b/>
          <w:color w:val="auto"/>
          <w:highlight w:val="none"/>
          <w:lang w:eastAsia="zh-CN"/>
        </w:rPr>
        <w:t>7.1</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20320</wp:posOffset>
                </wp:positionV>
                <wp:extent cx="914400" cy="752475"/>
                <wp:effectExtent l="0" t="0" r="0" b="0"/>
                <wp:wrapNone/>
                <wp:docPr id="43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59.25pt;width:72pt;z-index:251952128;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BOvAM4WAgAAFgQAAA4AAABkcnMvZTJvRG9jLnhtbK1TwW4T&#10;MRC9I/EPlu9kk5CQdpVNVRoVIRWKVPgAx+vNWqw9ZuxkN3wA/QNOXLjzXfkOxt40hHLpgYtle8Zv&#10;3nsznl90pmFbhV6DLfhoMORMWQmltuuCf/p4/eKMMx+ELUUDVhV8pzy/WDx/Nm9drsZQQ1MqZARi&#10;fd66gtchuDzLvKyVEX4ATlkKVoBGBDriOitRtIRummw8HL7KWsDSIUjlPd0u+yA/IOJTAKGqtFRL&#10;kBujbOhRUTUikCRfa+f5IrGtKiXDbVV5FVhTcFIa0kpFaL+Ka7aYi3yNwtVaHiiIp1B4pMkIbano&#10;EWopgmAb1P9AGS0RPFRhIMFkvZDkCKkYDR95c1cLp5IWstq7o+n+/8HK99sPyHRZ8MnLMWdWGGr5&#10;/vv9/sev/c9v7Dwa1DqfU96do8zQvYaOxiaJ9e4G5GfPLFzVwq7VJSK0tRIlERzFl9nJ0x7HR5BV&#10;+w5KqiM2ARJQV6GJ7pEfjNCpObtjc1QXmKTL89FkMqSIpNBsOp7MpqmCyB8eO/ThjQLD4qbgSL1P&#10;4GJ740MkI/KHlFjLwrVumtT/xv51QYnxJpGPfHvmoVt1BzNWUO5IBkI/TvSZaFMDfuWspVEquP+y&#10;Eag4a95asiIxp9lLh8l0NiYVeBpZnUaElQRV8MBZv70K/bxuHOp1TZV68y1ckn2VTtKizz2rA28a&#10;l6T4MNpxHk/PKevPd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7tK3XWAAAACQEAAA8AAAAA&#10;AAAAAQAgAAAAIgAAAGRycy9kb3ducmV2LnhtbFBLAQIUABQAAAAIAIdO4kATrwDOFgIAABYEAAAO&#10;AAAAAAAAAAEAIAAAACUBAABkcnMvZTJvRG9jLnhtbFBLBQYAAAAABgAGAFkBAACt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hint="eastAsia" w:ascii="仿宋" w:hAnsi="仿宋" w:eastAsia="仿宋" w:cs="仿宋"/>
          <w:color w:val="auto"/>
          <w:highlight w:val="none"/>
          <w:lang w:eastAsia="zh-CN"/>
        </w:rPr>
        <w:t>7.1.1 合同约定由承包人负责工程勘察的，承包人应按合同约定提供勘察报告，按规定的时间和份数报送发包人、设计顾问人、政府或行业主管部门、施工图审查机构审查或备案。承包人应按审查意见修改完善勘察报告，直到审查批准或备案。如承包人未按时提供勘察报告并通过审查，导致后续设计和（或）施工工期延误及费用增加，由承包人承担责任，按第43.8款规定处理。</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20320</wp:posOffset>
                </wp:positionV>
                <wp:extent cx="914400" cy="752475"/>
                <wp:effectExtent l="0" t="0" r="0" b="0"/>
                <wp:wrapNone/>
                <wp:docPr id="43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59.25pt;width:72pt;z-index:251860992;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J6QNCIWAgAAFgQAAA4AAABkcnMvZTJvRG9jLnhtbK1TwW4T&#10;MRC9I/EPlu9kk5CQdpVNVRoVIRWKVPgAx+vNWqw9ZuxkN3wA/QNOXLjzXfkOxt40hHLpgYtle8Zv&#10;3nsznl90pmFbhV6DLfhoMORMWQmltuuCf/p4/eKMMx+ELUUDVhV8pzy/WDx/Nm9drsZQQ1MqZARi&#10;fd66gtchuDzLvKyVEX4ATlkKVoBGBDriOitRtIRummw8HL7KWsDSIUjlPd0u+yA/IOJTAKGqtFRL&#10;kBujbOhRUTUikCRfa+f5IrGtKiXDbVV5FVhTcFIa0kpFaL+Ka7aYi3yNwtVaHiiIp1B4pMkIbano&#10;EWopgmAb1P9AGS0RPFRhIMFkvZDkCKkYDR95c1cLp5IWstq7o+n+/8HK99sPyHRZ8MnLEWdWGGr5&#10;/vv9/sev/c9v7Dwa1DqfU96do8zQvYaOxiaJ9e4G5GfPLFzVwq7VJSK0tRIlERzFl9nJ0x7HR5BV&#10;+w5KqiM2ARJQV6GJ7pEfjNCpObtjc1QXmKTL89FkMqSIpNBsOp7MpqmCyB8eO/ThjQLD4qbgSL1P&#10;4GJ740MkI/KHlFjLwrVumtT/xv51QYnxJpGPfHvmoVt1BzNWUO5IBkI/TvSZaFMDfuWspVEquP+y&#10;Eag4a95asiIxp9lLh8l0NiYVeBpZnUaElQRV8MBZv70K/bxuHOp1TZV68y1ckn2VTtKizz2rA28a&#10;l6T4MNpxHk/PKevPd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7tK3XWAAAACQEAAA8AAAAA&#10;AAAAAQAgAAAAIgAAAGRycy9kb3ducmV2LnhtbFBLAQIUABQAAAAIAIdO4kCekDQiFgIAABYEAAAO&#10;AAAAAAAAAAEAIAAAACUBAABkcnMvZTJvRG9jLnhtbFBLBQYAAAAABgAGAFkBAACt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规定的时间和份数报送发包人及设计顾问人、政府或行业主管部门审批或备案。承包人应按审查意见修改完善初步设计图纸及设计概算，直到审查批准或备案。</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审批或备案，导致后续设计或施工工期延误及费用增加，由承包人承担责任，按第43.8款规定处理。</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7.2.4承包人不得将其承包的全部设计工作或将其肢解后以分包的名义转包给第三方，也不得将建设工程主体部分的设计工作分包给第三方。因承包人不具备部 分专项设计资质（如人防、幕墙、园林景观、装修等专业工程），承包人应经发 包人同意后方可将部分工作分包给具有相应资质的专项设计单位，但不免除承包 人的相关责任。</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7.2.5承包人应及时组织勘察、设计、BIM技术应用、采购、施工等专业负责人对 设计文件进行技术交底和审核，协调内部专业分工及责任划分，对设计文件的深 度和质量进行完善和修正。</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7.2.6承包人应按约定向发包人及设计顾问人、监理人、造价咨询人等相关方报 送设计文件，配合审查、审批或备案，确认工作完成时间和成果。但发包人及相 关方的审查、审批或确认通过与否，发包人及相关方均不承担责任，设计文件的 质量责任由承包人承担。</w:t>
      </w:r>
    </w:p>
    <w:p>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20320</wp:posOffset>
                </wp:positionV>
                <wp:extent cx="914400" cy="752475"/>
                <wp:effectExtent l="0" t="0" r="0" b="0"/>
                <wp:wrapNone/>
                <wp:docPr id="43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59.25pt;width:72pt;z-index:251864064;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OWF2HkVAgAAFgQAAA4AAABkcnMvZTJvRG9jLnhtbK1TwW4T&#10;MRC9I/EPlu9kk5CQdpVNVRoVIRWKVPgAx+vNWqw9ZuxkN3wA/QNOXLjzXfkOxt40hHLpgYtlz4zf&#10;vPc8nl90pmFbhV6DLfhoMORMWQmltuuCf/p4/eKMMx+ELUUDVhV8pzy/WDx/Nm9drsZQQ1MqZARi&#10;fd66gtchuDzLvKyVEX4ATllKVoBGBDriOitRtIRummw8HL7KWsDSIUjlPUWXfZIfEPEpgFBVWqol&#10;yI1RNvSoqBoRSJKvtfN8kdhWlZLhtqq8CqwpOCkNaaUmtF/FNVvMRb5G4WotDxTEUyg80mSEttT0&#10;CLUUQbAN6n+gjJYIHqowkGCyXkhyhFSMho+8uauFU0kLWe3d0XT//2Dl++0HZLos+OQleWKFoSff&#10;f7/f//i1//mNnUeDWudzqrtzVBm619DR2CSx3t2A/OyZhata2LW6RIS2VqIkgqN4Mzu52uP4CLJq&#10;30FJfcQmQALqKjTRPfKDEToR2R0fR3WBSQqejyaTIWUkpWbT8WQ2TR1E/nDZoQ9vFBgWNwVHevsE&#10;LrY3PkQyIn8oib0sXOumSe/f2L8CVBgjiXzk2zMP3ao7mLGCckcyEPpxos9EmxrwK2ctjVLB/ZeN&#10;QMVZ89aSFYk5zV46TKazManA08zqNCOsJKiCB8767VXo53XjUK9r6tSbb+GS7Kt0khZ97lkdeNO4&#10;JMWH0Y7zeHpOVX++8+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u0rddYAAAAJAQAADwAAAAAA&#10;AAABACAAAAAiAAAAZHJzL2Rvd25yZXYueG1sUEsBAhQAFAAAAAgAh07iQOWF2HkVAgAAFgQAAA4A&#10;AAAAAAAAAQAgAAAAJQEAAGRycy9lMm9Eb2MueG1sUEsFBgAAAAAGAAYAWQEAAKw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规定处理。</w:t>
      </w:r>
    </w:p>
    <w:p>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建筑信息模型（BIM）及有关应用成果的完备性、正确性由承包人负责，若存在缺陷，承包人应及时修正，其造成的工程质量、工期延误及费用增加，责任由承包人承担。</w:t>
      </w:r>
    </w:p>
    <w:p>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规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5"/>
        <w:tabs>
          <w:tab w:val="left" w:pos="360"/>
          <w:tab w:val="left" w:pos="420"/>
        </w:tabs>
        <w:spacing w:before="120" w:beforeLines="50" w:after="120" w:afterLines="50" w:line="360" w:lineRule="auto"/>
        <w:rPr>
          <w:rFonts w:ascii="仿宋" w:hAnsi="仿宋" w:eastAsia="仿宋" w:cs="仿宋"/>
          <w:bCs w:val="0"/>
          <w:color w:val="auto"/>
          <w:sz w:val="24"/>
          <w:szCs w:val="24"/>
          <w:highlight w:val="none"/>
        </w:rPr>
      </w:pPr>
      <w:bookmarkStart w:id="116" w:name="_Toc22927"/>
      <w:bookmarkStart w:id="117" w:name="_Toc1921"/>
      <w:bookmarkStart w:id="118" w:name="_Toc47694278"/>
      <w:r>
        <w:rPr>
          <w:rFonts w:hint="eastAsia" w:ascii="仿宋" w:hAnsi="仿宋" w:eastAsia="仿宋" w:cs="仿宋"/>
          <w:bCs w:val="0"/>
          <w:color w:val="auto"/>
          <w:sz w:val="24"/>
          <w:szCs w:val="24"/>
          <w:highlight w:val="none"/>
        </w:rPr>
        <w:t>8 合同价格的控制原则</w:t>
      </w:r>
      <w:bookmarkEnd w:id="116"/>
      <w:bookmarkEnd w:id="117"/>
      <w:bookmarkEnd w:id="118"/>
    </w:p>
    <w:p>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53152" behindDoc="0" locked="0" layoutInCell="1" allowOverlap="1">
                <wp:simplePos x="0" y="0"/>
                <wp:positionH relativeFrom="column">
                  <wp:posOffset>-171450</wp:posOffset>
                </wp:positionH>
                <wp:positionV relativeFrom="paragraph">
                  <wp:posOffset>78105</wp:posOffset>
                </wp:positionV>
                <wp:extent cx="914400" cy="447675"/>
                <wp:effectExtent l="0" t="0" r="0" b="0"/>
                <wp:wrapNone/>
                <wp:docPr id="42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3.5pt;margin-top:6.15pt;height:35.25pt;width:72pt;z-index:251953152;mso-width-relative:page;mso-height-relative:page;" filled="f" stroked="f" coordsize="21600,21600" o:gfxdata="UEsDBAoAAAAAAIdO4kAAAAAAAAAAAAAAAAAEAAAAZHJzL1BLAwQUAAAACACHTuJAVKRlxtYAAAAJ&#10;AQAADwAAAGRycy9kb3ducmV2LnhtbE2PS2+DMBCE75XyH6yN1FtiQ1+UYHJo1Wurpg+ptw3eAApe&#10;I+wE+u9rTs1xZ0az3xTbyXbiTINvHWtI1goEceVMy7WGz4+XVQbCB2SDnWPS8EsetuXiqsDcuJHf&#10;6bwLtYgl7HPU0ITQ51L6qiGLfu164ugd3GAxxHOopRlwjOW2k6lS99Jiy/FDgz09NVQddyer4ev1&#10;8PN9q97qZ3vXj25Sku2j1Pp6magNiEBT+A/DjB/RoYxMe3di40WnYZU+xC0hGukNiDmQzMJeQ5Zm&#10;IMtCXi4o/wBQSwMEFAAAAAgAh07iQM3PXvsWAgAAFgQAAA4AAABkcnMvZTJvRG9jLnhtbK1TzW4T&#10;MRC+I/EOlu9kk2jbkFU2VWlUhFR+pMIDOF5v1mLtMWMnu+UB4A164sKd58pzMPamIZRLD1ws2zP+&#10;5vu+GS8uetOynUKvwZZ8MhpzpqyESttNyT99vH7xkjMfhK1EC1aV/E55frF8/mzRuUJNoYG2UsgI&#10;xPqicyVvQnBFlnnZKCP8CJyyFKwBjQh0xE1WoegI3bTZdDw+zzrAyiFI5T3droYgPyDiUwChrrVU&#10;K5Bbo2wYUFG1IpAk32jn+TKxrWslw/u69iqwtuSkNKSVitB+HddsuRDFBoVrtDxQEE+h8EiTEdpS&#10;0SPUSgTBtqj/gTJaIniow0iCyQYhyRFSMRk/8ua2EU4lLWS1d0fT/f+Dle92H5DpquT5dM6ZFYZa&#10;vr//vv/xa//zG5tHgzrnC8q7dZQZ+lfQ09gksd7dgPzsmYWrRtiNukSErlGiIoKT+DI7eTrg+Aiy&#10;7t5CRXXENkAC6ms00T3ygxE6Nefu2BzVBybpcj7J8zFFJIXyfHY+O0sVRPHw2KEPrxUYFjclR+p9&#10;Ahe7Gx8iGVE8pMRaFq5126b+t/avC0qMN4l85DswD/26P5ixhuqOZCAM40SfiTYN4FfOOhqlkvsv&#10;W4GKs/aNJSsSc5q9dMjPZlNSgaeR9WlEWElQJQ+cDdurMMzr1qHeNFRpMN/CJdlX6yQt+jywOvCm&#10;cUmKD6Md5/H0nLL+fOf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SkZcbWAAAACQEAAA8AAAAA&#10;AAAAAQAgAAAAIgAAAGRycy9kb3ducmV2LnhtbFBLAQIUABQAAAAIAIdO4kDNz177FgIAABYEAAAO&#10;AAAAAAAAAAEAIAAAACUBAABkcnMvZTJvRG9jLnhtbFBLBQYAAAAABgAGAFkBAACt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可行性研究批准立项或备案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工程，以承包人的中标价签订合同总价，承包人的中标价不得超过发包人招标文件规定的招标最高限价（经发包人批准的符合第69.3款约定的允许调整事项除外）。</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工程，以承包人的中标价签订合同总价，承包人的中标价不得超过发包人招标文件规定的招标最高限价（经发包人批准的符合第69.3款约定的允许调整事项除外）。</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55880</wp:posOffset>
                </wp:positionV>
                <wp:extent cx="914400" cy="495300"/>
                <wp:effectExtent l="0" t="0" r="0" b="0"/>
                <wp:wrapNone/>
                <wp:docPr id="42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4pt;height:39pt;width:72pt;z-index:251942912;mso-width-relative:page;mso-height-relative:page;" filled="f" stroked="f" coordsize="21600,21600" o:gfxdata="UEsDBAoAAAAAAIdO4kAAAAAAAAAAAAAAAAAEAAAAZHJzL1BLAwQUAAAACACHTuJARo2kZdQAAAAI&#10;AQAADwAAAGRycy9kb3ducmV2LnhtbE2Py07DMBBF90j8gzVI7Fo7FUQhZNIFiC2I8pDYufE0iYjH&#10;Uew24e+ZrmB5dUd3zqm2ix/UiabYB0bI1gYUcRNczy3C+9vTqgAVk2Vnh8CE8EMRtvXlRWVLF2Z+&#10;pdMutUpGOJYWoUtpLLWOTUfexnUYiaU7hMnbJHFqtZvsLON+0Btjcu1tz/KhsyM9dNR8744e4eP5&#10;8PV5Y17aR387zmExmv2dRry+ysw9qERL+juGM76gQy1M+3BkF9WAsMoKcUkIhRic+00ueS85L0DX&#10;lf4vUP8CUEsDBBQAAAAIAIdO4kBYZxxmFQIAABYEAAAOAAAAZHJzL2Uyb0RvYy54bWytU82O0zAQ&#10;viPxDpbvNG3pAo2arpatFiEtP9LCAziO01jEHjN2m5QHYN+AExfuPFefg7HT7Zblsgcu0Xhm/M33&#10;fZ4sznvTsq1Cr8EWfDIac6ashErbdcE/f7p69oozH4StRAtWFXynPD9fPn2y6FyuptBAWylkBGJ9&#10;3rmCNyG4PMu8bJQRfgROWSrWgEYEOuI6q1B0hG7abDoev8g6wMohSOU9ZVdDkR8Q8TGAUNdaqhXI&#10;jVE2DKioWhFIkm+083yZ2Na1kuFDXXsVWFtwUhrSl4ZQXMZvtlyIfI3CNVoeKIjHUHigyQhtaegR&#10;aiWCYBvU/0AZLRE81GEkwWSDkOQIqZiMH3hz0winkhay2ruj6f7/wcr324/IdFXw2ZQe3gpDT77/&#10;cbv/+Xv/6zubR4M653Pqu3HUGfrX0NPaJLHeXYP84pmFy0bYtbpAhK5RoiKCk3gzO7k64PgIUnbv&#10;oKI5YhMgAfU1muge+cEInR5nd3wc1QcmKTmfzGZjqkgqzeZnzymOE0R+d9mhD28UGBaDgiO9fQIX&#10;22sfhta7ljjLwpVuW8qLvLV/JQgzZhL5yHdgHvqyp+6oqIRqRzIQhnWin4mCBvAbZx2tUsH9141A&#10;xVn71pIViTntXjrMzl5OSQWeVsrTirCSoAoeOBvCyzDs68ahXjc0aTDfwgXZV+sk7Z7VgTetSzLn&#10;sNpxH0/Pqev+d17+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aNpGXUAAAACAEAAA8AAAAAAAAA&#10;AQAgAAAAIgAAAGRycy9kb3ducmV2LnhtbFBLAQIUABQAAAAIAIdO4kBYZxxmFQIAABYEAAAOAAAA&#10;AAAAAAEAIAAAACMBAABkcnMvZTJvRG9jLnhtbFBLBQYAAAAABgAGAFkBAACq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可行性研究批准立项或备案后发包、合同约定由承包人提供勘察服务的，承包人应按专用条款约定的计价方式和允许调整事项编制初步设计概算，工程勘察费概算金额不得超过协议书中约定的相应合同价格及允许调整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的、合同约定由承包人提供详细勘察服务的，承包人应按专用条款约定的计价方式和允许调整事项计算，工程勘察费金额不得超过协议书中约定的相应合同价格及允许调整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pPr>
        <w:spacing w:line="360" w:lineRule="auto"/>
        <w:rPr>
          <w:rFonts w:ascii="仿宋" w:hAnsi="仿宋" w:eastAsia="仿宋" w:cs="仿宋"/>
          <w:b/>
          <w:color w:val="auto"/>
          <w:highlight w:val="none"/>
          <w:lang w:eastAsia="zh-CN"/>
        </w:rPr>
      </w:pPr>
      <w:bookmarkStart w:id="119" w:name="_Toc11973"/>
      <w:r>
        <w:rPr>
          <w:rFonts w:ascii="仿宋" w:hAnsi="仿宋" w:eastAsia="仿宋" w:cs="仿宋"/>
          <w:color w:val="auto"/>
          <w:highlight w:val="none"/>
          <w:lang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292100</wp:posOffset>
                </wp:positionV>
                <wp:extent cx="914400" cy="495300"/>
                <wp:effectExtent l="0" t="0" r="0" b="0"/>
                <wp:wrapNone/>
                <wp:docPr id="42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3pt;height:39pt;width:72pt;z-index:251954176;mso-width-relative:page;mso-height-relative:page;" filled="f" stroked="f" coordsize="21600,21600" o:gfxdata="UEsDBAoAAAAAAIdO4kAAAAAAAAAAAAAAAAAEAAAAZHJzL1BLAwQUAAAACACHTuJAtmlB19UAAAAK&#10;AQAADwAAAGRycy9kb3ducmV2LnhtbE2PQW/CMAyF75P2HyJP4gZJUYdYacoBtOvQGJu0m2lMW9E4&#10;VRNo9++XnraTn+Wn5+/l29G24k69bxxrSBYKBHHpTMOVhtPH63wNwgdkg61j0vBDHrbF40OOmXED&#10;v9P9GCoRQ9hnqKEOocuk9GVNFv3CdcTxdnG9xRDXvpKmxyGG21YulVpJiw3HDzV2tKupvB5vVsPn&#10;2+X7K1WHam+fu8GNSrJ9kVrPnhK1ARFoDH9mmPAjOhSR6exubLxoNcyTdewSNKSrOCfDchLnSaQK&#10;ZJHL/xWKX1BLAwQUAAAACACHTuJAY6oajBUCAAAWBAAADgAAAGRycy9lMm9Eb2MueG1srVPNjtMw&#10;EL4j8Q6W7zRt6bI0arpatlqEtPxICw/gOE5jEXvM2G1SHgDegBMX7jxXn4Ox0+2W5bIHLtF4ZvzN&#10;932eLC5607KtQq/BFnwyGnOmrIRK23XBP328fvaSMx+ErUQLVhV8pzy/WD59suhcrqbQQFspZARi&#10;fd65gjchuDzLvGyUEX4ETlkq1oBGBDriOqtQdIRu2mw6Hr/IOsDKIUjlPWVXQ5EfEPExgFDXWqoV&#10;yI1RNgyoqFoRSJJvtPN8mdjWtZLhfV17FVhbcFIa0peGUFzGb7ZciHyNwjVaHiiIx1B4oMkIbWno&#10;EWolgmAb1P9AGS0RPNRhJMFkg5DkCKmYjB94c9sIp5IWstq7o+n+/8HKd9sPyHRV8Nn0nDMrDD35&#10;/sf3/c/f+1/f2Dwa1DmfU9+to87Qv4Ke1iaJ9e4G5GfPLFw1wq7VJSJ0jRIVEZzEm9nJ1QHHR5Cy&#10;ewsVzRGbAAmor9FE98gPRuj0OLvj46g+MEnJ+WQ2G1NFUmk2P3tOcZwg8rvLDn14rcCwGBQc6e0T&#10;uNje+DC03rXEWRauddtSXuSt/StBmDGTyEe+A/PQlz11R0UlVDuSgTCsE/1MFDSAXznraJUK7r9s&#10;BCrO2jeWrEjMaffSYXZ2PiUVeFopTyvCSoIqeOBsCK/CsK8bh3rd0KTBfAuXZF+tk7R7VgfetC7J&#10;nMNqx308Paeu+995+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2aUHX1QAAAAoBAAAPAAAAAAAA&#10;AAEAIAAAACIAAABkcnMvZG93bnJldi54bWxQSwECFAAUAAAACACHTuJAY6oajBUCAAAWBAAADgAA&#10;AAAAAAABACAAAAAkAQAAZHJzL2Uyb0RvYy54bWxQSwUGAAAAAAYABgBZAQAAqw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bookmarkEnd w:id="1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8.3.1 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8.3.2 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 不得超过协议书约定的相应合同价格及允许调整金额。对于可行性研究批准立项或备案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pPr>
        <w:spacing w:line="360" w:lineRule="auto"/>
        <w:rPr>
          <w:rFonts w:ascii="仿宋" w:hAnsi="仿宋" w:eastAsia="仿宋" w:cs="仿宋"/>
          <w:b/>
          <w:color w:val="auto"/>
          <w:highlight w:val="none"/>
          <w:lang w:eastAsia="zh-CN"/>
        </w:rPr>
      </w:pPr>
      <w:bookmarkStart w:id="120" w:name="_Toc15376"/>
      <w:r>
        <w:rPr>
          <w:rFonts w:ascii="仿宋" w:hAnsi="仿宋" w:eastAsia="仿宋" w:cs="仿宋"/>
          <w:color w:val="auto"/>
          <w:highlight w:val="none"/>
          <w:lang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269875</wp:posOffset>
                </wp:positionV>
                <wp:extent cx="914400" cy="495300"/>
                <wp:effectExtent l="0" t="0" r="0" b="0"/>
                <wp:wrapNone/>
                <wp:docPr id="42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25pt;height:39pt;width:72pt;z-index:251956224;mso-width-relative:page;mso-height-relative:page;" filled="f" stroked="f" coordsize="21600,21600" o:gfxdata="UEsDBAoAAAAAAIdO4kAAAAAAAAAAAAAAAAAEAAAAZHJzL1BLAwQUAAAACACHTuJAvrM1EtcAAAAK&#10;AQAADwAAAGRycy9kb3ducmV2LnhtbE2PzW6DMBCE75XyDtZWyi2xQSFKKSaHVL2mavoj9ebgDaDi&#10;NcJOoG/f5dTedndGs98U+8l14oZDaD1pSNYKBFLlbUu1hve359UORIiGrOk8oYYfDLAvF3eFya0f&#10;6RVvp1gLDqGQGw1NjH0uZagadCasfY/E2sUPzkReh1rawYwc7jqZKrWVzrTEHxrT46HB6vt0dRo+&#10;jpevz416qZ9c1o9+UpLcg9R6eZ+oRxARp/hnhhmf0aFkprO/kg2i07BKdtwlatikGYjZkG75cJ4H&#10;lYEsC/m/QvkLUEsDBBQAAAAIAIdO4kAYv/bXFQIAABYEAAAOAAAAZHJzL2Uyb0RvYy54bWytU82O&#10;0zAQviPxDpbvNG3pLjRqulq2WoS0/EgLD+A4TmMRe8zYbVIeAN6AExfuPFefg7HT7Zblsgcu0Xhm&#10;/M33fZ4sLnrTsq1Cr8EWfDIac6ashErbdcE/fbx+9pIzH4StRAtWFXynPL9YPn2y6FyuptBAWylk&#10;BGJ93rmCNyG4PMu8bJQRfgROWSrWgEYEOuI6q1B0hG7abDoen2cdYOUQpPKesquhyA+I+BhAqGst&#10;1QrkxigbBlRUrQgkyTfaeb5MbOtayfC+rr0KrC04KQ3pS0MoLuM3Wy5EvkbhGi0PFMRjKDzQZIS2&#10;NPQItRJBsA3qf6CMlgge6jCSYLJBSHKEVEzGD7y5bYRTSQtZ7d3RdP//YOW77Qdkuir4bHrOmRWG&#10;nnz/4/v+5+/9r29sHg3qnM+p79ZRZ+hfQU9rk8R6dwPys2cWrhph1+oSEbpGiYoITuLN7OTqgOMj&#10;SNm9hYrmiE2ABNTXaKJ75AcjdHqc3fFxVB+YpOR8MpuNqSKpNJufPac4ThD53WWHPrxWYFgMCo70&#10;9glcbG98GFrvWuIsC9e6bSkv8tb+lSDMmEnkI9+BeejLnrqjohKqHclAGNaJfiYKGsCvnHW0SgX3&#10;XzYCFWftG0tWJOa0e+kwO3sxJRV4WilPK8JKgip44GwIr8KwrxuHet3QpMF8C5dkX62TtHtWB960&#10;Lsmcw2rHfTw9p67733n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6zNRLXAAAACgEAAA8AAAAA&#10;AAAAAQAgAAAAIgAAAGRycy9kb3ducmV2LnhtbFBLAQIUABQAAAAIAIdO4kAYv/bXFQIAABYEAAAO&#10;AAAAAAAAAAEAIAAAACYBAABkcnMvZTJvRG9jLnhtbFBLBQYAAAAABgAGAFkBAACt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bookmarkEnd w:id="1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pPr>
        <w:spacing w:line="360" w:lineRule="auto"/>
        <w:rPr>
          <w:rFonts w:ascii="仿宋" w:hAnsi="仿宋" w:eastAsia="仿宋" w:cs="仿宋"/>
          <w:b/>
          <w:color w:val="auto"/>
          <w:highlight w:val="none"/>
          <w:lang w:eastAsia="zh-CN"/>
        </w:rPr>
      </w:pPr>
      <w:bookmarkStart w:id="121" w:name="_Toc10468"/>
      <w:r>
        <w:rPr>
          <w:rFonts w:hint="eastAsia" w:ascii="仿宋" w:hAnsi="仿宋" w:eastAsia="仿宋" w:cs="仿宋"/>
          <w:b/>
          <w:color w:val="auto"/>
          <w:highlight w:val="none"/>
          <w:lang w:eastAsia="zh-CN"/>
        </w:rPr>
        <w:t>8.5</w:t>
      </w:r>
      <w:bookmarkEnd w:id="1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50800</wp:posOffset>
                </wp:positionV>
                <wp:extent cx="914400" cy="495300"/>
                <wp:effectExtent l="0" t="0" r="0" b="0"/>
                <wp:wrapNone/>
                <wp:docPr id="42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39pt;width:72pt;z-index:251955200;mso-width-relative:page;mso-height-relative:page;" filled="f" stroked="f" coordsize="21600,21600" o:gfxdata="UEsDBAoAAAAAAIdO4kAAAAAAAAAAAAAAAAAEAAAAZHJzL1BLAwQUAAAACACHTuJA7SGlHNIAAAAI&#10;AQAADwAAAGRycy9kb3ducmV2LnhtbE1Py07DMBC8I/EP1iL11tqpoCohTg8grlSUh8RtG2+TiHgd&#10;xW4T/p7NCU6zoxnNzhS7yXfqQkNsA1vIVgYUcRVcy7WF97fn5RZUTMgOu8Bk4Yci7MrrqwJzF0Z+&#10;pcsh1UpCOOZooUmpz7WOVUMe4yr0xKKdwuAxCR1q7QYcJdx3em3MRntsWT402NNjQ9X34ewtfLyc&#10;vj5vzb5+8nf9GCaj2d9raxc3mXkAlWhKf2aY60t1KKXTMZzZRdVZWGZb2ZIszDDr640cR+GCuiz0&#10;/wHlL1BLAwQUAAAACACHTuJAlYDCOxUCAAAWBAAADgAAAGRycy9lMm9Eb2MueG1srVPBbhMxEL0j&#10;8Q+W72STkECzyqYqjYqQCkUqfIDj9WYt1h4zdrIbPoD+AScu3PmufAdjb5qGcumBy2o8M37z3vPs&#10;/LwzDdsq9BpswUeDIWfKSii1XRf886erF2ec+SBsKRqwquA75fn54vmzeetyNYYamlIhIxDr89YV&#10;vA7B5VnmZa2M8ANwylKxAjQi0BHXWYmiJXTTZOPh8FXWApYOQSrvKbvsi/yAiE8BhKrSUi1Bboyy&#10;oUdF1YhAknytneeLxLaqlAw3VeVVYE3BSWlIXxpC8Sp+s8Vc5GsUrtbyQEE8hcIjTUZoS0OPUEsR&#10;BNug/gfKaIngoQoDCSbrhSRHSMVo+Mib21o4lbSQ1d4dTff/D1Z+2H5EpsuCT8ZTzqww9OT7H3f7&#10;n7/3v76zWTSodT6nvltHnaF7Ax2tTRLr3TXIL55ZuKyFXasLRGhrJUoiOIo3s5OrPY6PIKv2PZQ0&#10;R2wCJKCuQhPdIz8YodPj7I6Po7rAJCVno8lkSBVJpcls+pLiOEHk95cd+vBWgWExKDjS2ydwsb32&#10;oW+9b4mzLFzppqG8yBv7V4IwYyaRj3x75qFbddQdFa2g3JEMhH6d6GeioAb8xllLq1Rw/3UjUHHW&#10;vLNkRWJOu5cOk+nrManA08rqtCKsJKiCB8768DL0+7pxqNc1TerNt3BB9lU6SXtgdeBN65LMOax2&#10;3MfTc+p6+J0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IaUc0gAAAAgBAAAPAAAAAAAAAAEA&#10;IAAAACIAAABkcnMvZG93bnJldi54bWxQSwECFAAUAAAACACHTuJAlYDCOxUCAAAWBAAADgAAAAAA&#10;AAABACAAAAAhAQAAZHJzL2Uyb0RvYy54bWxQSwUGAAAAAAYABgBZAQAAqA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有）、施工图设计文件、变更设计文件（如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对于可行性研究批准立项或备案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并按专用条款的约定批准或备案初步设计概算。</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并按专用条款的约定批准或备案施工图预算。</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累计变更、签证金额一般不得突破合同约定的暂列金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材料设备暂估价，承包人应及时取得发包人的明确要求完成设计、采购或施工，也可遵守法律、政策规定通过招标或非招标方式委托分包人完成设计、采购或施工，按变更事项报发包人批准后实施，一般不得突破合同约定的相应暂估价。</w:t>
      </w:r>
    </w:p>
    <w:p>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rPr>
          <w:rFonts w:ascii="仿宋" w:hAnsi="仿宋" w:eastAsia="仿宋" w:cs="仿宋"/>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50800</wp:posOffset>
                </wp:positionV>
                <wp:extent cx="914400" cy="551815"/>
                <wp:effectExtent l="0" t="0" r="0" b="0"/>
                <wp:wrapNone/>
                <wp:docPr id="42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14400" cy="551815"/>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43.45pt;width:72pt;z-index:251957248;mso-width-relative:page;mso-height-relative:page;" filled="f" stroked="f" coordsize="21600,21600" o:gfxdata="UEsDBAoAAAAAAIdO4kAAAAAAAAAAAAAAAAAEAAAAZHJzL1BLAwQUAAAACACHTuJAIknyl9UAAAAI&#10;AQAADwAAAGRycy9kb3ducmV2LnhtbE2PQW/CMAyF70j7D5EncYOkiCHa1eUA2nVosE3aLTSmrdY4&#10;VRNo9++XnraTbb2n5+/lu9G24k69bxwjJEsFgrh0puEK4f38stiC8EGz0a1jQvghD7viYZbrzLiB&#10;3+h+CpWIIewzjVCH0GVS+rImq/3SdcRRu7re6hDPvpKm10MMt61cKbWRVjccP9S6o31N5ffpZhE+&#10;Xq9fn2t1rA72qRvcqCTbVCLOHxP1DCLQGP7MMOFHdCgi08Xd2HjRIiySbewSEKYx6atNXC4I6ToF&#10;WeTyf4HiF1BLAwQUAAAACACHTuJA/dqPtxYCAAAWBAAADgAAAGRycy9lMm9Eb2MueG1srVPNbhMx&#10;EL4j8Q6W72SzUQLtKpuqNCpCKj9SywM4Xm/WYu0xYye74QHgDThx4c5z5Tk69qYhlEsPXCzbM/7m&#10;+74Zzy9607KtQq/BljwfjTlTVkKl7brkn+6uX5xx5oOwlWjBqpLvlOcXi+fP5p0r1AQaaCuFjECs&#10;LzpX8iYEV2SZl40ywo/AKUvBGtCIQEdcZxWKjtBNm03G45dZB1g5BKm8p9vlEOQHRHwKINS1lmoJ&#10;cmOUDQMqqlYEkuQb7TxfJLZ1rWT4UNdeBdaWnJSGtFIR2q/imi3molijcI2WBwriKRQeaTJCWyp6&#10;hFqKINgG9T9QRksED3UYSTDZICQ5Qiry8SNvbhvhVNJCVnt3NN3/P1j5fvsRma5KPp1MObPCUMv3&#10;P77vf/7e//rGzqNBnfMF5d06ygz9a+hpbJJY725AfvbMwlUj7FpdIkLXKFERwTy+zE6eDjg+gqy6&#10;d1BRHbEJkID6Gk10j/xghE7N2R2bo/rAJF2e59PpmCKSQrNZfpbPUgVRPDx26MMbBYbFTcmRep/A&#10;xfbGh0hGFA8psZaFa922qf+t/euCEuNNIh/5DsxDv+oPZqyg2pEMhGGc6DPRpgH8yllHo1Ry/2Uj&#10;UHHWvrVkRWJOs5cO09mrCanA08jqNCKsJKiSB86G7VUY5nXjUK8bqjSYb+GS7Kt1khZ9HlgdeNO4&#10;JMWH0Y7zeHpOWX++8+I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knyl9UAAAAIAQAADwAAAAAA&#10;AAABACAAAAAiAAAAZHJzL2Rvd25yZXYueG1sUEsBAhQAFAAAAAgAh07iQP3aj7cWAgAAFgQAAA4A&#10;AAAAAAAAAQAgAAAAJAEAAGRycy9lMm9Eb2MueG1sUEsFBgAAAAAGAAYAWQEAAKwFA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 式和允许调整事项编制初步设计概算，设备及工器具购置费概算金额不得超过协 议书约定的相应合同价格及允许调整金额。</w:t>
      </w:r>
    </w:p>
    <w:p>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pPr>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olor w:val="auto"/>
          <w:sz w:val="24"/>
          <w:szCs w:val="24"/>
          <w:highlight w:val="none"/>
        </w:rPr>
      </w:pPr>
      <w:bookmarkStart w:id="122" w:name="_Toc8271"/>
      <w:bookmarkStart w:id="123" w:name="_Toc47694279"/>
      <w:bookmarkStart w:id="124" w:name="_Toc13788"/>
      <w:r>
        <w:rPr>
          <w:rFonts w:hint="eastAsia" w:ascii="仿宋" w:hAnsi="仿宋" w:eastAsia="仿宋" w:cs="仿宋"/>
          <w:color w:val="auto"/>
          <w:sz w:val="24"/>
          <w:szCs w:val="24"/>
          <w:highlight w:val="none"/>
        </w:rPr>
        <w:t>9</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通讯联络</w:t>
      </w:r>
      <w:bookmarkEnd w:id="122"/>
      <w:bookmarkEnd w:id="123"/>
      <w:bookmarkEnd w:id="124"/>
    </w:p>
    <w:p>
      <w:pPr>
        <w:pStyle w:val="22"/>
        <w:spacing w:line="360" w:lineRule="auto"/>
        <w:rPr>
          <w:rFonts w:ascii="仿宋" w:hAnsi="仿宋" w:eastAsia="仿宋"/>
          <w:b/>
          <w:bCs/>
          <w:color w:val="auto"/>
          <w:sz w:val="24"/>
          <w:szCs w:val="24"/>
          <w:highlight w:val="none"/>
          <w:lang w:val="en-US"/>
        </w:rPr>
      </w:pPr>
      <w:r>
        <w:rPr>
          <w:rFonts w:hint="eastAsia" w:ascii="仿宋" w:hAnsi="仿宋" w:eastAsia="仿宋" w:cs="仿宋"/>
          <w:b/>
          <w:bCs/>
          <w:color w:val="auto"/>
          <w:sz w:val="24"/>
          <w:szCs w:val="24"/>
          <w:highlight w:val="none"/>
        </w:rPr>
        <w:t>9</w:t>
      </w:r>
      <w:r>
        <w:rPr>
          <w:rFonts w:ascii="仿宋" w:hAnsi="仿宋" w:eastAsia="仿宋" w:cs="仿宋"/>
          <w:b/>
          <w:bCs/>
          <w:color w:val="auto"/>
          <w:sz w:val="24"/>
          <w:szCs w:val="24"/>
          <w:highlight w:val="none"/>
          <w:lang w:val="en-US"/>
        </w:rPr>
        <w:t>.1</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53975</wp:posOffset>
                </wp:positionV>
                <wp:extent cx="914400" cy="648970"/>
                <wp:effectExtent l="0" t="0" r="0" b="0"/>
                <wp:wrapNone/>
                <wp:docPr id="423" name="文本框 454"/>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26" o:spt="202" type="#_x0000_t202" style="position:absolute;left:0pt;margin-left:-7.5pt;margin-top:4.25pt;height:51.1pt;width:72pt;z-index:251671552;mso-width-relative:page;mso-height-relative:page;" filled="f" stroked="f" coordsize="21600,21600" o:gfxdata="UEsDBAoAAAAAAIdO4kAAAAAAAAAAAAAAAAAEAAAAZHJzL1BLAwQUAAAACACHTuJAEtnopdYAAAAJ&#10;AQAADwAAAGRycy9kb3ducmV2LnhtbE2PzU7DMBCE70i8g7VI3Fo7FYE2xOkBxBVE+ZG4beNtEhGv&#10;o9htwtuzPcFtRzOa/abczr5XJxpjF9hCtjSgiOvgOm4svL89LdagYkJ22AcmCz8UYVtdXpRYuDDx&#10;K512qVFSwrFAC21KQ6F1rFvyGJdhIBbvEEaPSeTYaDfiJOW+1ytjbrXHjuVDiwM9tFR/747ewsfz&#10;4evzxrw0jz4fpjAbzX6jrb2+ysw9qERz+gvDGV/QoRKmfTiyi6q3sMhy2ZIsrHNQZ3+1Eb2XIzN3&#10;oKtS/19Q/QJQSwMEFAAAAAgAh07iQMMf7AAYAgAAGAQAAA4AAABkcnMvZTJvRG9jLnhtbK1TS44T&#10;MRDdI3EHy3vSSej5tdIZDRMNQho+0sABHLc7bdF2mbKT7nAA5gas2LDnXDkHZXcmhGEzCzaW7Sq/&#10;eu9VeXbZm5ZtFHoNtuST0ZgzZSVU2q5K/unjzYtzznwQthItWFXyrfL8cv782axzhZpCA22lkBGI&#10;9UXnSt6E4Ios87JRRvgROGUpWAMaEeiIq6xC0RG6abPpeHyadYCVQ5DKe7pdDEG+R8SnAEJda6kW&#10;INdG2TCgompFIEm+0c7zeWJb10qG93XtVWBtyUlpSCsVof0yrtl8JooVCtdouacgnkLhkSYjtKWi&#10;B6iFCIKtUf8DZbRE8FCHkQSTDUKSI6RiMn7kzV0jnEpayGrvDqb7/wcr320+INNVyfPpS86sMNTy&#10;3ff73Y9fu5/fWH6SR4s65wvKvHOUG/pX0NPgJLne3YL87JmF60bYlbpChK5RoiKKk/gyO3o64PgI&#10;suzeQkWVxDpAAuprNNE/coQROrVne2iP6gOTdHkxyfMxRSSFTvPzi7PUvkwUD48d+vBagWFxU3Kk&#10;7idwsbn1IZIRxUNKrGXhRrdtmoDW/nVBifEmkY98B+ahX/Z7M5ZQbUkGwjBQ9J1o0wB+5ayjYSq5&#10;/7IWqDhr31iyIjGn6UuH/ORsSirwOLI8jggrCarkgbNhex2GiV071KuGKg3mW7gi+2qdpEWfB1Z7&#10;3jQwSfF+uONEHp9T1p8PP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tnopdYAAAAJAQAADwAA&#10;AAAAAAABACAAAAAiAAAAZHJzL2Rvd25yZXYueG1sUEsBAhQAFAAAAAgAh07iQMMf7AAYAgAAGAQA&#10;AA4AAAAAAAAAAQAgAAAAJQEAAGRycy9lMm9Eb2MueG1sUEsFBgAAAAAGAAYAWQEAAK8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pPr>
        <w:pStyle w:val="22"/>
        <w:spacing w:line="360" w:lineRule="auto"/>
        <w:ind w:right="-238"/>
        <w:rPr>
          <w:rFonts w:ascii="仿宋" w:hAnsi="仿宋" w:eastAsia="仿宋"/>
          <w:b/>
          <w:bCs/>
          <w:color w:val="auto"/>
          <w:sz w:val="24"/>
          <w:szCs w:val="24"/>
          <w:highlight w:val="none"/>
          <w:lang w:val="en-US"/>
        </w:rPr>
      </w:pPr>
      <w:bookmarkStart w:id="125" w:name="_Toc16622"/>
      <w:r>
        <w:rPr>
          <w:rFonts w:hint="eastAsia" w:ascii="仿宋" w:hAnsi="仿宋" w:eastAsia="仿宋" w:cs="仿宋"/>
          <w:b/>
          <w:bCs/>
          <w:color w:val="auto"/>
          <w:sz w:val="24"/>
          <w:szCs w:val="24"/>
          <w:highlight w:val="none"/>
        </w:rPr>
        <w:t>9</w:t>
      </w:r>
      <w:r>
        <w:rPr>
          <w:rFonts w:ascii="仿宋" w:hAnsi="仿宋" w:eastAsia="仿宋" w:cs="仿宋"/>
          <w:b/>
          <w:bCs/>
          <w:color w:val="auto"/>
          <w:sz w:val="24"/>
          <w:szCs w:val="24"/>
          <w:highlight w:val="none"/>
          <w:lang w:val="en-US"/>
        </w:rPr>
        <w:t>.2</w:t>
      </w:r>
      <w:bookmarkEnd w:id="125"/>
      <w:r>
        <w:rPr>
          <w:rFonts w:ascii="仿宋" w:hAnsi="仿宋" w:eastAsia="仿宋" w:cs="仿宋"/>
          <w:b/>
          <w:bCs/>
          <w:color w:val="auto"/>
          <w:sz w:val="24"/>
          <w:szCs w:val="24"/>
          <w:highlight w:val="none"/>
          <w:lang w:val="en-US"/>
        </w:rPr>
        <w:t xml:space="preserve">  </w:t>
      </w:r>
      <w:r>
        <w:rPr>
          <w:rFonts w:ascii="仿宋" w:hAnsi="仿宋" w:eastAsia="仿宋" w:cs="仿宋"/>
          <w:b/>
          <w:bCs/>
          <w:color w:val="auto"/>
          <w:sz w:val="24"/>
          <w:szCs w:val="24"/>
          <w:highlight w:val="none"/>
          <w:u w:val="dotted"/>
        </w:rPr>
        <w:t xml:space="preserve">                                                      </w:t>
      </w:r>
      <w:r>
        <w:rPr>
          <w:rFonts w:hint="eastAsia"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w:t>
      </w:r>
      <w:r>
        <w:rPr>
          <w:rFonts w:ascii="仿宋" w:hAnsi="仿宋" w:eastAsia="仿宋" w:cs="仿宋"/>
          <w:color w:val="auto"/>
          <w:highlight w:val="none"/>
          <w:lang w:eastAsia="zh-CN" w:bidi="ar-SA"/>
        </w:rPr>
        <mc:AlternateContent>
          <mc:Choice Requires="wps">
            <w:drawing>
              <wp:anchor distT="0" distB="0" distL="114300" distR="114300" simplePos="0" relativeHeight="251670528" behindDoc="0" locked="0" layoutInCell="1" allowOverlap="1">
                <wp:simplePos x="0" y="0"/>
                <wp:positionH relativeFrom="column">
                  <wp:posOffset>-95250</wp:posOffset>
                </wp:positionH>
                <wp:positionV relativeFrom="paragraph">
                  <wp:posOffset>90805</wp:posOffset>
                </wp:positionV>
                <wp:extent cx="800100" cy="297180"/>
                <wp:effectExtent l="0" t="0" r="0" b="0"/>
                <wp:wrapNone/>
                <wp:docPr id="422"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23.4pt;width:63pt;z-index:251670528;mso-width-relative:page;mso-height-relative:page;" filled="f" stroked="f" coordsize="21600,21600" o:gfxdata="UEsDBAoAAAAAAIdO4kAAAAAAAAAAAAAAAAAEAAAAZHJzL1BLAwQUAAAACACHTuJAEfI5ydYAAAAJ&#10;AQAADwAAAGRycy9kb3ducmV2LnhtbE2PzU7DMBCE75V4B2uRemtt0x/REKcHEFcQLSD15sbbJCJe&#10;R7HbhLdne6LHnRnNfpNvR9+KC/axCWRAzxUIpDK4hioDn/vX2SOImCw52wZCA78YYVvcTXKbuTDQ&#10;B152qRJcQjGzBuqUukzKWNbobZyHDom9U+i9TXz2lXS9Hbjct/JBqbX0tiH+UNsOn2ssf3Znb+Dr&#10;7XT4Xqr36sWvuiGMSpLfSGOm91o9gUg4pv8wXPEZHQpmOoYzuShaAzO94i2JjeUCxDWgNQtHA2ut&#10;QRa5vF1Q/AFQSwMEFAAAAAgAh07iQMZHevoYAgAAFwQAAA4AAABkcnMvZTJvRG9jLnhtbK1TzY7T&#10;MBC+I/EOlu80TVTY3ajpatlqEdLyIy08gOs4jUXsMWO3SXkAeANOXLjzXH0Oxk63lOWyBy6W7Rl/&#10;833fjOeXg+nYVqHXYCueT6acKSuh1nZd8Y8fbp6dc+aDsLXowKqK75Tnl4unT+a9K1UBLXS1QkYg&#10;1pe9q3gbgiuzzMtWGeEn4JSlYANoRKAjrrMaRU/opsuK6fRF1gPWDkEq7+l2OQb5AREfAwhNo6Va&#10;gtwYZcOIiqoTgST5VjvPF4lt0ygZ3jWNV4F1FSelIa1UhParuGaLuSjXKFyr5YGCeAyFB5qM0JaK&#10;HqGWIgi2Qf0PlNESwUMTJhJMNgpJjpCKfPrAm7tWOJW0kNXeHU33/w9Wvt2+R6bris+KgjMrDLV8&#10;//3b/sev/c+vLJ9Fh3rnS0q8c5Qahpcw0Nwktd7dgvzkmYXrVti1ukKEvlWiJoZ5fJmdPB1xfARZ&#10;9W+gpkJiEyABDQ2aaB8ZwgidurM7dkcNgUm6PJ+SQxSRFCouzvLz1L1MlPePHfrwSoFhcVNxpOYn&#10;cLG99SGSEeV9Sqxl4UZ3XRqAzv51QYnxJpGPfEfmYVgNBzNWUO9IBsI4T/SbaNMCfuGsp1mquP+8&#10;Eag4615bsuIin83i8KXD7PlZQQc8jaxOI8JKgqp44GzcXodxYDcO9bqlSqP5Fq7IvkYnadHnkdWB&#10;N81LUnyY7TiQp+eU9ec/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fI5ydYAAAAJAQAADwAA&#10;AAAAAAABACAAAAAiAAAAZHJzL2Rvd25yZXYueG1sUEsBAhQAFAAAAAgAh07iQMZHevoYAgAAFwQA&#10;AA4AAAAAAAAAAQAgAAAAJQEAAGRycy9lMm9Eb2MueG1sUEsFBgAAAAAGAAYAWQEAAK8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或收件人发生变更的，应提前3天以书面形式通知对方。</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pPr>
        <w:pStyle w:val="22"/>
        <w:spacing w:line="360" w:lineRule="auto"/>
        <w:ind w:right="-238"/>
        <w:rPr>
          <w:rFonts w:ascii="仿宋" w:hAnsi="仿宋" w:eastAsia="仿宋"/>
          <w:b/>
          <w:bCs/>
          <w:color w:val="auto"/>
          <w:sz w:val="24"/>
          <w:szCs w:val="24"/>
          <w:highlight w:val="none"/>
          <w:lang w:val="en-US"/>
        </w:rPr>
      </w:pPr>
      <w:r>
        <w:rPr>
          <w:rFonts w:hint="eastAsia" w:ascii="仿宋" w:hAnsi="仿宋" w:eastAsia="仿宋" w:cs="仿宋"/>
          <w:b/>
          <w:bCs/>
          <w:color w:val="auto"/>
          <w:sz w:val="24"/>
          <w:szCs w:val="24"/>
          <w:highlight w:val="none"/>
        </w:rPr>
        <w:t>9</w:t>
      </w:r>
      <w:r>
        <w:rPr>
          <w:rFonts w:ascii="仿宋" w:hAnsi="仿宋" w:eastAsia="仿宋" w:cs="仿宋"/>
          <w:b/>
          <w:bCs/>
          <w:color w:val="auto"/>
          <w:sz w:val="24"/>
          <w:szCs w:val="24"/>
          <w:highlight w:val="none"/>
          <w:lang w:val="en-US"/>
        </w:rPr>
        <w:t>.</w:t>
      </w:r>
      <w:r>
        <w:rPr>
          <w:rFonts w:hint="eastAsia" w:ascii="仿宋" w:hAnsi="仿宋" w:eastAsia="仿宋" w:cs="仿宋"/>
          <w:b/>
          <w:bCs/>
          <w:color w:val="auto"/>
          <w:sz w:val="24"/>
          <w:szCs w:val="24"/>
          <w:highlight w:val="none"/>
          <w:lang w:val="en-US"/>
        </w:rPr>
        <w:t>3</w:t>
      </w:r>
      <w:r>
        <w:rPr>
          <w:rFonts w:ascii="仿宋" w:hAnsi="仿宋" w:eastAsia="仿宋" w:cs="仿宋"/>
          <w:b/>
          <w:bCs/>
          <w:color w:val="auto"/>
          <w:sz w:val="24"/>
          <w:szCs w:val="24"/>
          <w:highlight w:val="none"/>
          <w:lang w:val="en-US"/>
        </w:rPr>
        <w:t xml:space="preserve">  </w:t>
      </w:r>
      <w:r>
        <w:rPr>
          <w:rFonts w:ascii="仿宋" w:hAnsi="仿宋" w:eastAsia="仿宋" w:cs="仿宋"/>
          <w:b/>
          <w:bCs/>
          <w:color w:val="auto"/>
          <w:sz w:val="24"/>
          <w:szCs w:val="24"/>
          <w:highlight w:val="none"/>
          <w:u w:val="dotted"/>
        </w:rPr>
        <w:t xml:space="preserve">                                                      </w:t>
      </w:r>
      <w:r>
        <w:rPr>
          <w:rFonts w:hint="eastAsia"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u w:val="dotted"/>
        </w:rPr>
        <w:t xml:space="preserve">                 </w:t>
      </w:r>
    </w:p>
    <w:p>
      <w:pPr>
        <w:pStyle w:val="40"/>
        <w:ind w:left="1850" w:leftChars="771" w:firstLine="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合同一方当事人如需变更约定通讯地址或收件人，应按合同约定方式将变更后的通讯地址或收件人通知对方当事人。未按约定方式通知变更的，原约定的通讯地址和收件人仍为有效通讯地址和收件人。</w:t>
      </w:r>
    </w:p>
    <w:p>
      <w:pPr>
        <w:pStyle w:val="40"/>
        <w:ind w:left="1850" w:leftChars="771" w:firstLine="0"/>
        <w:rPr>
          <w:color w:val="auto"/>
          <w:highlight w:val="none"/>
        </w:rPr>
      </w:pPr>
      <w:r>
        <w:rPr>
          <w:rFonts w:hint="eastAsia" w:ascii="仿宋" w:hAnsi="仿宋" w:eastAsia="仿宋" w:cs="仿宋"/>
          <w:color w:val="auto"/>
          <w:highlight w:val="none"/>
          <w:lang w:val="en-US" w:bidi="en-US"/>
        </w:rPr>
        <w:t>按照约定地址和收件人送达文件并被签收的，视为当事人签收。因当事人提供或者确认的通讯地址不准确、通讯地址变更后未及时依程序告知对方当事人和法 院、当事人或指定的收件人拒绝签收等原因，导致诉讼材料等未能被当事人实际 接收的，邮寄送达的，以文件退回之日视为送达之日；直接送达的，以送达文件留在该地址之日为送达之日。</w:t>
      </w:r>
      <w:r>
        <w:rPr>
          <w:rFonts w:ascii="仿宋" w:hAnsi="仿宋" w:eastAsia="仿宋" w:cs="仿宋"/>
          <w:color w:val="auto"/>
          <w:highlight w:val="none"/>
          <w:lang w:val="en-US"/>
        </w:rPr>
        <mc:AlternateContent>
          <mc:Choice Requires="wps">
            <w:drawing>
              <wp:anchor distT="0" distB="0" distL="114300" distR="114300" simplePos="0" relativeHeight="251964416" behindDoc="0" locked="0" layoutInCell="1" allowOverlap="1">
                <wp:simplePos x="0" y="0"/>
                <wp:positionH relativeFrom="column">
                  <wp:posOffset>-95250</wp:posOffset>
                </wp:positionH>
                <wp:positionV relativeFrom="paragraph">
                  <wp:posOffset>90805</wp:posOffset>
                </wp:positionV>
                <wp:extent cx="800100" cy="629285"/>
                <wp:effectExtent l="0" t="0" r="0" b="0"/>
                <wp:wrapNone/>
                <wp:docPr id="454" name="文本框 14"/>
                <wp:cNvGraphicFramePr/>
                <a:graphic xmlns:a="http://schemas.openxmlformats.org/drawingml/2006/main">
                  <a:graphicData uri="http://schemas.microsoft.com/office/word/2010/wordprocessingShape">
                    <wps:wsp>
                      <wps:cNvSpPr txBox="1">
                        <a:spLocks noChangeArrowheads="1"/>
                      </wps:cNvSpPr>
                      <wps:spPr bwMode="auto">
                        <a:xfrm>
                          <a:off x="804545" y="7665085"/>
                          <a:ext cx="800100" cy="629285"/>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通讯联络的法律后果</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49.55pt;width:63pt;z-index:251964416;mso-width-relative:page;mso-height-relative:page;" filled="f" stroked="f" coordsize="21600,21600" o:gfxdata="UEsDBAoAAAAAAIdO4kAAAAAAAAAAAAAAAAAEAAAAZHJzL1BLAwQUAAAACACHTuJArK5ZNNYAAAAK&#10;AQAADwAAAGRycy9kb3ducmV2LnhtbE2PQU/DMAyF70j8h8hI3LYkrEOjNN0BxBXEBki7ZY3XVjRO&#10;1WRr+fe4J7jZfk/P3yu2k+/EBYfYBjKglwoEUhVcS7WBj/3LYgMiJkvOdoHQwA9G2JbXV4XNXRjp&#10;HS+7VAsOoZhbA01KfS5lrBr0Ni5Dj8TaKQzeJl6HWrrBjhzuO3mn1L30tiX+0Ngenxqsvndnb+Dz&#10;9XT4ytRb/ezX/RgmJck/SGNub7R6BJFwSn9mmPEZHUpmOoYzuSg6Awu95i6JhWwFYjZozYfjPKwy&#10;kGUh/1cofwFQSwMEFAAAAAgAh07iQFG7pBchAgAAIgQAAA4AAABkcnMvZTJvRG9jLnhtbK1TS27b&#10;MBDdF+gdCO5r2YbsJILlII2RokD6AdIegKYoi6jEYYe0JfcA7Q266qb7nsvn6JB0UjfdZNGNQHJG&#10;b957fFxcDl3LdgqdBlPyyWjMmTISKm02Jf/44ebFOWfOC1OJFowq+V45frl8/mzR20JNoYG2UsgI&#10;xLiityVvvLdFljnZqE64EVhlqFgDdsLTFjdZhaIn9K7NpuPxPOsBK4sglXN0ukpFfkTEpwBCXWup&#10;ViC3nTI+oaJqhSdJrtHW8WVkW9dK+nd17ZRnbclJqY9fGkLrdfhmy4UoNihso+WRgngKhUeaOqEN&#10;DX2AWgkv2Bb1P1CdlggOaj+S0GVJSHSEVEzGj7y5a4RVUQtZ7eyD6e7/wcq3u/fIdFXyfJZzZkRH&#10;V374/u3w49fh51c2yYNDvXUFNd5ZavXDSxgoN1Gts7cgPzlm4LoRZqOuEKFvlKiI4ST8mZ38mnBc&#10;AFn3b6CiQWLrIQINNXbBPjKEEfr5mNjMONuX/Gw+n43PZ+mi1OCZjHUyi65QUsN8ejFN9UwU9zgW&#10;nX+loGNhUXKkHMQ5YnfrfOAlivuWMNbAjW7bmIXW/HVAjeEk6gjUkwg/rIejL2uo9qQIIUWLHhYt&#10;GsAvnPUUq5K7z1uBirP2tSFXLiZ5HnIYN/nsbEobPK2sTyvCSIIquecsLa99yu7Wot40NCndg4Er&#10;crLWUVqwPLE68qboRMXHmIdsnu5j15+n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K5ZNNYA&#10;AAAKAQAADwAAAAAAAAABACAAAAAiAAAAZHJzL2Rvd25yZXYueG1sUEsBAhQAFAAAAAgAh07iQFG7&#10;pBchAgAAIgQAAA4AAAAAAAAAAQAgAAAAJQEAAGRycy9lMm9Eb2MueG1sUEsFBgAAAAAGAAYAWQEA&#10;ALgFA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通讯联络的法律后果</w:t>
                      </w:r>
                    </w:p>
                  </w:txbxContent>
                </v:textbox>
              </v:shape>
            </w:pict>
          </mc:Fallback>
        </mc:AlternateContent>
      </w:r>
    </w:p>
    <w:p>
      <w:pPr>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olor w:val="auto"/>
          <w:sz w:val="24"/>
          <w:szCs w:val="24"/>
          <w:highlight w:val="none"/>
        </w:rPr>
      </w:pPr>
      <w:bookmarkStart w:id="126" w:name="_Toc9913"/>
      <w:bookmarkStart w:id="127" w:name="_Toc14792"/>
      <w:bookmarkStart w:id="128" w:name="_Toc47694280"/>
      <w:r>
        <w:rPr>
          <w:rFonts w:hint="eastAsia" w:ascii="仿宋" w:hAnsi="仿宋" w:eastAsia="仿宋" w:cs="仿宋"/>
          <w:color w:val="auto"/>
          <w:sz w:val="24"/>
          <w:szCs w:val="24"/>
          <w:highlight w:val="none"/>
        </w:rPr>
        <w:t>10</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分包</w:t>
      </w:r>
      <w:bookmarkEnd w:id="126"/>
      <w:bookmarkEnd w:id="127"/>
      <w:bookmarkEnd w:id="128"/>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294640</wp:posOffset>
                </wp:positionV>
                <wp:extent cx="1028700" cy="450215"/>
                <wp:effectExtent l="0" t="0" r="0" b="0"/>
                <wp:wrapNone/>
                <wp:docPr id="421"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26" o:spt="202" type="#_x0000_t202" style="position:absolute;left:0pt;margin-left:-9pt;margin-top:23.2pt;height:35.45pt;width:81pt;z-index:251672576;mso-width-relative:page;mso-height-relative:page;" filled="f" stroked="f" coordsize="21600,21600" o:gfxdata="UEsDBAoAAAAAAIdO4kAAAAAAAAAAAAAAAAAEAAAAZHJzL1BLAwQUAAAACACHTuJA8Y6+gdcAAAAK&#10;AQAADwAAAGRycy9kb3ducmV2LnhtbE2PQU/DMAyF70j8h8hI3LakEMbomu4A4gpibEjcssZrqzVO&#10;1WRr+fd4J7jZfk/P3yvWk+/EGYfYBjKQzRUIpCq4lmoD28/X2RJETJac7QKhgR+MsC6vrwqbuzDS&#10;B543qRYcQjG3BpqU+lzKWDXobZyHHom1Qxi8TbwOtXSDHTncd/JOqYX0tiX+0NgenxusjpuTN7B7&#10;O3x/afVev/iHfgyTkuSfpDG3N5lagUg4pT8zXPAZHUpm2ocTuSg6A7NsyV2SAb3QIC4Grfmw5yF7&#10;vAdZFvJ/hfIXUEsDBBQAAAAIAIdO4kBuKKlfGQIAABkEAAAOAAAAZHJzL2Uyb0RvYy54bWytU0tu&#10;2zAQ3RfoHQjua31gx6lgOUhjpCiQfoC0B6ApyiIqcdghbSk9QHuDrLrpvufyOTqkHNdNN1l0I5Cc&#10;4Zv3Hp8WF0PXsp1Cp8GUPJuknCkjodJmU/JPH69fnHPmvDCVaMGokt8pxy+Wz58teluoHBpoK4WM&#10;QIwrelvyxntbJImTjeqEm4BVhoo1YCc8bXGTVCh6Qu/aJE/Ts6QHrCyCVM7R6Wos8gMiPgUQ6lpL&#10;tQK57ZTxIyqqVniS5BptHV9GtnWtpH9f10551paclPr4pSG0XodvslyIYoPCNloeKIinUHikqRPa&#10;0NAj1Ep4wbao/4HqtERwUPuJhC4ZhURHSEWWPvLmthFWRS1ktbNH093/g5Xvdh+Q6ark0zzjzIiO&#10;nnx//33/49f+5zc2T8+CRb11BXXeWur1wysYKDhRrrM3ID87ZuCqEWajLhGhb5SoiGIWbiYnV0cc&#10;F0DW/VuoaJLYeohAQ41d8I8cYYROz3N3fB41eCbDyDQ/n6dUklSbztI8m8URoni4bdH51wo6FhYl&#10;R3r+iC52N84HNqJ4aAnDDFzrto0RaM1fB9QYTiL7QHik7of1cHBjDdUd6UAYE0X/Ey0awK+c9ZSm&#10;krsvW4GKs/aNIS9eZtNpiF/cTGfznDZ4WlmfVoSRBFVyz9m4vPJjZLcW9aahSaP7Bi7Jv1pHacHo&#10;kdWBNyUmKj6kO0TydB+7/vzR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jr6B1wAAAAoBAAAP&#10;AAAAAAAAAAEAIAAAACIAAABkcnMvZG93bnJldi54bWxQSwECFAAUAAAACACHTuJAbiipXxkCAAAZ&#10;BAAADgAAAAAAAAABACAAAAAmAQAAZHJzL2Uyb0RvYy54bWxQSwUGAAAAAAYABgBZAQAAs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rPr>
        <w:t>10</w:t>
      </w:r>
      <w:r>
        <w:rPr>
          <w:rFonts w:ascii="仿宋" w:hAnsi="仿宋" w:eastAsia="仿宋" w:cs="仿宋"/>
          <w:b/>
          <w:bCs/>
          <w:color w:val="auto"/>
          <w:sz w:val="24"/>
          <w:szCs w:val="24"/>
          <w:highlight w:val="none"/>
        </w:rPr>
        <w:t>.1</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pPr>
        <w:pStyle w:val="22"/>
        <w:adjustRightInd w:val="0"/>
        <w:snapToGrid w:val="0"/>
        <w:spacing w:line="360" w:lineRule="auto"/>
        <w:rPr>
          <w:rFonts w:ascii="仿宋" w:hAnsi="仿宋" w:eastAsia="仿宋" w:cs="仿宋"/>
          <w:b/>
          <w:bCs/>
          <w:color w:val="auto"/>
          <w:sz w:val="24"/>
          <w:szCs w:val="24"/>
          <w:highlight w:val="none"/>
        </w:rPr>
      </w:pPr>
      <w:bookmarkStart w:id="129" w:name="_Toc1657"/>
      <w:r>
        <w:rPr>
          <w:rFonts w:hint="eastAsia" w:ascii="仿宋" w:hAnsi="仿宋" w:eastAsia="仿宋" w:cs="仿宋"/>
          <w:b/>
          <w:bCs/>
          <w:color w:val="auto"/>
          <w:sz w:val="24"/>
          <w:szCs w:val="24"/>
          <w:highlight w:val="none"/>
        </w:rPr>
        <w:t>10</w:t>
      </w:r>
      <w:r>
        <w:rPr>
          <w:rFonts w:ascii="仿宋" w:hAnsi="仿宋" w:eastAsia="仿宋" w:cs="仿宋"/>
          <w:b/>
          <w:bCs/>
          <w:color w:val="auto"/>
          <w:sz w:val="24"/>
          <w:szCs w:val="24"/>
          <w:highlight w:val="none"/>
        </w:rPr>
        <w:t>.2</w:t>
      </w:r>
      <w:bookmarkEnd w:id="129"/>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承包人可以采用直接发包的方式进行分包。但以暂估价形式包括在总承包范围内的工程、货物、服务分包时，属于依法必须进行招标的项目范围且达到国家规定规模标准的，应当依法招标。</w:t>
      </w:r>
      <w:r>
        <w:rPr>
          <w:color w:val="auto"/>
          <w:highlight w:val="none"/>
          <w:lang w:eastAsia="zh-CN" w:bidi="ar-SA"/>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31750</wp:posOffset>
                </wp:positionV>
                <wp:extent cx="1028700" cy="787400"/>
                <wp:effectExtent l="0" t="0" r="0" b="0"/>
                <wp:wrapNone/>
                <wp:docPr id="420"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26" o:spt="202" type="#_x0000_t202" style="position:absolute;left:0pt;margin-left:-9pt;margin-top:2.5pt;height:62pt;width:81pt;z-index:251673600;mso-width-relative:page;mso-height-relative:page;" filled="f" stroked="f" coordsize="21600,21600" o:gfxdata="UEsDBAoAAAAAAIdO4kAAAAAAAAAAAAAAAAAEAAAAZHJzL1BLAwQUAAAACACHTuJArmDCrNUAAAAJ&#10;AQAADwAAAGRycy9kb3ducmV2LnhtbE2PT0/DMAzF70h8h8hI3LakU4e20nQHEFcQ44/EzWu8tqJx&#10;qiZby7fHO8HJz3rW8++Vu9n36kxj7AJbyJYGFHEdXMeNhfe3p8UGVEzIDvvAZOGHIuyq66sSCxcm&#10;fqXzPjVKQjgWaKFNaSi0jnVLHuMyDMTiHcPoMck6NtqNOEm47/XKmDvtsWP50OJADy3V3/uTt/Dx&#10;fPz6zM1L8+jXwxRmo9lvtbW3N5m5B5VoTn/HcMEXdKiE6RBO7KLqLSyyjXRJFtYyLn6eiziIWG0N&#10;6KrU/xtUv1BLAwQUAAAACACHTuJAcAqSBxcCAAAZBAAADgAAAGRycy9lMm9Eb2MueG1srVPNjtMw&#10;EL4j8Q6W7zRpVUiJmq6WrRYhLT/SwgM4jtNYJB4zdpuUB4A34MSFO8/V52DsdLtlueyBizX2jL/5&#10;vs/j5cXQtWyn0GkwBZ9OUs6UkVBpsyn4p4/XzxacOS9MJVowquB75fjF6umTZW9zNYMG2kohIxDj&#10;8t4WvPHe5kniZKM64SZglaFkDdgJT1vcJBWKntC7Npml6YukB6wsglTO0el6TPIjIj4GEOpaS7UG&#10;ue2U8SMqqlZ4kuQabR1fRbZ1raR/X9dOedYWnJT6uFITisuwJqulyDcobKPlkYJ4DIUHmjqhDTU9&#10;Qa2FF2yL+h+oTksEB7WfSOiSUUh0hFRM0wfe3DbCqqiFrHb2ZLr7f7Dy3e4DMl0VfD4jT4zo6MkP&#10;P74ffv4+/PrGsjQLFvXW5VR5a6nWD69goMGJcp29AfnZMQNXjTAbdYkIfaNERRSn4WZydnXEcQGk&#10;7N9CRZ3E1kMEGmrsgn/kCCN0orI/PY8aPJOhZTpbZCmlJOWyRTanOLQQ+d1ti86/VtCxEBQc6fkj&#10;utjdOD+W3pWEZgauddvSuchb89cBYYaTyD4QHqn7oRyoOkgqodqTDoRxoug/UdAAfuWsp2kquPuy&#10;Fag4a98Y8uLldD4n4j5u5s+z4DWeZ8rzjDCSoAruORvDKz+O7Nai3jTUaXTfwCX5V+so7Z7VkTdN&#10;TDTnON1hJM/3ser+R6/+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5gwqzVAAAACQEAAA8AAAAA&#10;AAAAAQAgAAAAIgAAAGRycy9kb3ducmV2LnhtbFBLAQIUABQAAAAIAIdO4kBwCpIHFwIAABkEAAAO&#10;AAAAAAAAAAEAIAAAACQBAABkcnMvZTJvRG9jLnhtbFBLBQYAAAAABgAGAFkBAACt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（2）按照合同约定的标准购买材料和工程设备；</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10</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419" name="文本框 708"/>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DB3etrGgIAABkEAAAOAAAAZHJzL2Uyb0RvYy54bWytU0Fu2zAQ&#10;vBfoHwjea8mOXTuC5SCNkaJA2hRI+wCaoiyiEpdd0pbcBzQ/6KmX3vMuv6NLynHd9JJDLwLJXc7O&#10;DEfzi66p2Vah02ByPhyknCkjodBmnfPPn65fzThzXphC1GBUznfK8YvFyxfz1mZqBBXUhUJGIMZl&#10;rc155b3NksTJSjXCDcAqQ8USsBGetrhOChQtoTd1MkrT10kLWFgEqZyj02Vf5AdEfA4glKWWagly&#10;0yjje1RUtfAkyVXaOr6IbMtSSX9blk55VueclPr4pSG0XoVvspiLbI3CVloeKIjnUHiiqRHa0NAj&#10;1FJ4wTao/4FqtERwUPqBhCbphURHSMUwfeLNXSWsilrIamePprv/Bys/bD8i00XOx8Nzzoxo6Mn3&#10;P+73Px/2v76zaToLFrXWZdR5Z6nXd2+go+BEuc7egPzimIGrSpi1ukSEtlKiIIrDcDM5udrjuACy&#10;at9DQZPExkME6kpsgn/kCCN0ep7d8XlU55kMI9PRbJpSSVLtLJ2MzyZxhMgeb1t0/q2ChoVFzpGe&#10;P6KL7Y3zgY3IHlvCMAPXuq5jBGrz1wE1hpPIPhDuqftu1R3cWEGxIx0IfaLof6JFBfiNs5bSlHP3&#10;dSNQcVa/M+TF+XA8DvGLm/FkOqINnlZWpxVhJEHl3HPWL698H9mNRb2uaFLvvoFL8q/UUVowumd1&#10;4E2JiYoP6Q6RPN3Hrj9/9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JN+cNQAAAAHAQAADwAA&#10;AAAAAAABACAAAAAiAAAAZHJzL2Rvd25yZXYueG1sUEsBAhQAFAAAAAgAh07iQMHd62saAgAAGQQA&#10;AA4AAAAAAAAAAQAgAAAAIwEAAGRycy9lMm9Eb2MueG1sUEsFBgAAAAAGAAYAWQEAAK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10</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12065</wp:posOffset>
                </wp:positionV>
                <wp:extent cx="914400" cy="495300"/>
                <wp:effectExtent l="0" t="0" r="0" b="0"/>
                <wp:wrapNone/>
                <wp:docPr id="418"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26" o:spt="202" type="#_x0000_t202" style="position:absolute;left:0pt;margin-left:-9pt;margin-top:0.95pt;height:39pt;width:72pt;z-index:251675648;mso-width-relative:page;mso-height-relative:page;" filled="f" stroked="f" coordsize="21600,21600" o:gfxdata="UEsDBAoAAAAAAIdO4kAAAAAAAAAAAAAAAAAEAAAAZHJzL1BLAwQUAAAACACHTuJA5ZzqS9UAAAAI&#10;AQAADwAAAGRycy9kb3ducmV2LnhtbE2Py07DMBBF90j8gzVI7Fo7FZQmZNIFiC2I8pDYufE0iYjH&#10;Uew24e+ZrmB5dUZ3zi23s+/VicbYBUbIlgYUcR1cxw3C+9vTYgMqJsvO9oEJ4YcibKvLi9IWLkz8&#10;SqddapSUcCwsQpvSUGgd65a8jcswEAs7hNHbJHFstBvtJOW+1ytj1trbjuVDawd6aKn+3h09wsfz&#10;4evzxrw0j/52mMJsNPtcI15fZeYeVKI5/R3DWV/UoRKnfTiyi6pHWGQb2ZIE5KDOfLWWvEe4y3PQ&#10;Van/D6h+AVBLAwQUAAAACACHTuJAbNx3pBcCAAAYBAAADgAAAGRycy9lMm9Eb2MueG1srVPNjtMw&#10;EL4j8Q6W7zRp6bI0arpatlqEtPxICw/gOk5jEXvM2G1SHgDegBMX7jxXn4Ox0+2W5bIHLtF4ZvzN&#10;932ezC9607KtQq/Blnw8yjlTVkKl7brknz5eP3vJmQ/CVqIFq0q+U55fLJ4+mXeuUBNooK0UMgKx&#10;vuhcyZsQXJFlXjbKCD8CpywVa0AjAh1xnVUoOkI3bTbJ8xdZB1g5BKm8p+xyKPIDIj4GEOpaS7UE&#10;uTHKhgEVVSsCSfKNdp4vEtu6VjK8r2uvAmtLTkpD+tIQilfxmy3molijcI2WBwriMRQeaDJCWxp6&#10;hFqKINgG9T9QRksED3UYSTDZICQ5QirG+QNvbhvhVNJCVnt3NN3/P1j5bvsBma5KPh3Tw1th6Mn3&#10;P77vf/7e//rGzvNZtKhzvqDOW0e9oX8FPS1OkuvdDcjPnlm4aoRdq0tE6BolKqI4jjezk6sDjo8g&#10;q+4tVDRJbAIkoL5GE/0jRxih0/Psjs+j+sAkJWfj6TSniqTSdHb2nOI4QRR3lx368FqBYTEoOdLr&#10;J3CxvfFhaL1ribMsXOu2pbwoWvtXgjBjJpGPfAfmoV/11B0VraDakQyEYaHod6KgAfzKWUfLVHL/&#10;ZSNQcda+sWRFYk7blw7Ts/MJqcDTyuq0IqwkqJIHzobwKgwbu3Go1w1NGsy3cEn21TpJu2d14E0L&#10;k8w5LHfcyNNz6rr/oR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Wc6kvVAAAACAEAAA8AAAAA&#10;AAAAAQAgAAAAIgAAAGRycy9kb3ducmV2LnhtbFBLAQIUABQAAAAIAIdO4kBs3HekFwIAABgEAAAO&#10;AAAAAAAAAAEAIAAAACQBAABkcnMvZTJvRG9jLnhtbFBLBQYAAAAABgAGAFkBAACt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287655</wp:posOffset>
                </wp:positionV>
                <wp:extent cx="914400" cy="495300"/>
                <wp:effectExtent l="0" t="0" r="0" b="0"/>
                <wp:wrapNone/>
                <wp:docPr id="417" name="文本框 71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26" o:spt="202" type="#_x0000_t202" style="position:absolute;left:0pt;margin-left:-9pt;margin-top:22.65pt;height:39pt;width:72pt;z-index:251676672;mso-width-relative:page;mso-height-relative:page;" filled="f" stroked="f" coordsize="21600,21600" o:gfxdata="UEsDBAoAAAAAAIdO4kAAAAAAAAAAAAAAAAAEAAAAZHJzL1BLAwQUAAAACACHTuJAi3bagtcAAAAK&#10;AQAADwAAAGRycy9kb3ducmV2LnhtbE2PzW7CMBCE75X6DtZW4gZ2CCCaxuHQiitV6Y/U2xIvSdR4&#10;HcWGhLevc2pvuzuj2W/y3WhbcaXeN441JAsFgrh0puFKw8f7fr4F4QOywdYxabiRh11xf5djZtzA&#10;b3Q9hkrEEPYZaqhD6DIpfVmTRb9wHXHUzq63GOLaV9L0OMRw28qlUhtpseH4ocaOnmsqf44Xq+Hz&#10;cP7+WqnX6sWuu8GNSrJ9lFrPHhL1BCLQGP7MMOFHdCgi08ld2HjRapgn29glaFitUxCTYbmJh9M0&#10;pCnIIpf/KxS/UEsDBBQAAAAIAIdO4kAMz0M9FwIAABgEAAAOAAAAZHJzL2Uyb0RvYy54bWytU82O&#10;0zAQviPxDpbvNE3pUjZqulq2WoS0/EgLD+A6TmMRe8zYbVIeAN6AExfuPFefg7HT7Zblsgcu0dgz&#10;+eb7vhnPL3rTsq1Cr8GWPB+NOVNWQqXtuuSfPl4/e8mZD8JWogWrSr5Tnl8snj6Zd65QE2igrRQy&#10;ArG+6FzJmxBckWVeNsoIPwKnLCVrQCMCHXGdVSg6QjdtNhmPX2QdYOUQpPKebpdDkh8Q8TGAUNda&#10;qiXIjVE2DKioWhFIkm+083yR2Na1kuF9XXsVWFtyUhrSl5pQvIrfbDEXxRqFa7Q8UBCPofBAkxHa&#10;UtMj1FIEwTao/4EyWiJ4qMNIgskGIckRUpGPH3hz2winkhay2ruj6f7/wcp32w/IdFXyaT7jzApD&#10;I9//+L7/+Xv/6xub5cmizvmCKm8d1Yb+FfS0OEmudzcgP3tm4aoRdq0uEaFrlKiIYh7NzU5+jUPx&#10;hY8gq+4tVNRJbAIkoL5GE/0jRxih03h2x/GoPjBJl+f5dDqmjKTU9PzsOcWxgyjufnbow2sFhsWg&#10;5EjTT+Bie+PDUHpXEntZuNZtmzagtX9dEGa8SeQj34F56Fc9VUcRK6h2JANhWCh6ThQ0gF8562iZ&#10;Su6/bAQqzto3lqxIzGn70mF6NpuQCjzNrE4zwkqCKnngbAivwrCxG4d63VCnwXwLl2RfrZO0e1YH&#10;3rQwyZzDcseNPD2nqvsHvf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3bagtcAAAAKAQAADwAA&#10;AAAAAAABACAAAAAiAAAAZHJzL2Rvd25yZXYueG1sUEsBAhQAFAAAAAgAh07iQAzPQz0XAgAAGAQA&#10;AA4AAAAAAAAAAQAgAAAAJgEAAGRycy9lMm9Eb2MueG1sUEsFBgAAAAAGAAYAWQEAAK8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rPr>
        <w:t>10</w:t>
      </w:r>
      <w:r>
        <w:rPr>
          <w:rFonts w:ascii="仿宋" w:hAnsi="仿宋" w:eastAsia="仿宋" w:cs="仿宋"/>
          <w:b/>
          <w:bCs/>
          <w:color w:val="auto"/>
          <w:sz w:val="24"/>
          <w:szCs w:val="24"/>
          <w:highlight w:val="none"/>
        </w:rPr>
        <w:t xml:space="preserve">.5 </w:t>
      </w:r>
      <w:r>
        <w:rPr>
          <w:rFonts w:ascii="仿宋" w:hAnsi="仿宋" w:eastAsia="仿宋" w:cs="仿宋"/>
          <w:b/>
          <w:bCs/>
          <w:color w:val="auto"/>
          <w:sz w:val="24"/>
          <w:szCs w:val="24"/>
          <w:highlight w:val="none"/>
          <w:u w:val="dotted"/>
        </w:rPr>
        <w:t xml:space="preserve">                         </w:t>
      </w:r>
      <w:r>
        <w:rPr>
          <w:rFonts w:hint="eastAsia"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pPr>
        <w:pStyle w:val="22"/>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10</w:t>
      </w:r>
      <w:r>
        <w:rPr>
          <w:rFonts w:ascii="仿宋" w:hAnsi="仿宋" w:eastAsia="仿宋" w:cs="仿宋"/>
          <w:b/>
          <w:bCs/>
          <w:color w:val="auto"/>
          <w:sz w:val="24"/>
          <w:szCs w:val="24"/>
          <w:highlight w:val="none"/>
        </w:rPr>
        <w:t xml:space="preserve">.6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-1270</wp:posOffset>
                </wp:positionV>
                <wp:extent cx="914400" cy="280035"/>
                <wp:effectExtent l="0" t="0" r="0" b="0"/>
                <wp:wrapNone/>
                <wp:docPr id="416"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22.05pt;width:72pt;z-index:251677696;mso-width-relative:page;mso-height-relative:page;" filled="f" stroked="f" coordsize="21600,21600" o:gfxdata="UEsDBAoAAAAAAIdO4kAAAAAAAAAAAAAAAAAEAAAAZHJzL1BLAwQUAAAACACHTuJAlNNoo9UAAAAI&#10;AQAADwAAAGRycy9kb3ducmV2LnhtbE2PwW7CMBBE75X4B2uRegM7KUUQ4nAA9dqq0FbqzcRLEhGv&#10;o9iQ9O+7nNrbjmY0+ybfjq4VN+xD40lDMlcgkEpvG6o0fBxfZisQIRqypvWEGn4wwLaYPOQms36g&#10;d7wdYiW4hEJmNNQxdpmUoazRmTD3HRJ7Z987E1n2lbS9GbjctTJVaimdaYg/1KbDXY3l5XB1Gj5f&#10;z99fC/VW7d1zN/hRSXJrqfXjNFEbEBHH+BeGOz6jQ8FMJ38lG0SrYZaseEvkIwVx99Ml65OGxdMa&#10;ZJHL/wOKX1BLAwQUAAAACACHTuJATJS44BYCAAAYBAAADgAAAGRycy9lMm9Eb2MueG1srVPLjtMw&#10;FN0j8Q+W9zRJ6TyImo6GqQYhDQ9p4ANcx2ksEl9z7TYZPgD+gBUb9nxXv4Nru1PKsJkFm8j2vT73&#10;nOOT+cXYd2yr0GkwFS8mOWfKSKi1WVf844frZ+ecOS9MLTowquJ3yvGLxdMn88GWagotdLVCRiDG&#10;lYOteOu9LbPMyVb1wk3AKkPFBrAXnra4zmoUA6H3XTbN89NsAKwtglTO0ekyFfkeER8DCE2jpVqC&#10;3PTK+ISKqhOeJLlWW8cXkW3TKOnfNY1TnnUVJ6U+fmkIrVfhmy3molyjsK2WewriMRQeaOqFNjT0&#10;ALUUXrAN6n+gei0RHDR+IqHPkpDoCKko8gfe3LbCqqiFrHb2YLr7f7Dy7fY9Ml1XfFaccmZET0++&#10;+/5t9+PX7udXdlYUwaLBupI6by31+vEljBScKNfZG5CfHDNw1QqzVpeIMLRK1EQx3syOriYcF0BW&#10;wxuoaZLYeIhAY4N98I8cYYROz3N3eB41eibp8EUxm+VUkVSanuf585PALRPl/WWLzr9S0LOwqDjS&#10;60dwsb1xPrXet4RZBq5118UEdOavA8IMJ5F84JuY+3E17s1YQX1HMhBSoOh3okUL+IWzgcJUcfd5&#10;I1Bx1r02ZEVkTumLm9nJ2ZRU4HFldVwRRhJUxT1naXnlU2I3FvW6pUnJfAOXZF+jo7Tgc2K1502B&#10;iebswx0SebyPXX9+6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NNoo9UAAAAIAQAADwAAAAAA&#10;AAABACAAAAAiAAAAZHJzL2Rvd25yZXYueG1sUEsBAhQAFAAAAAgAh07iQEyUuOAWAgAAGAQAAA4A&#10;AAAAAAAAAQAgAAAAJAEAAGRycy9lMm9Eb2MueG1sUEsFBgAAAAAGAAYAWQEAAK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color w:val="auto"/>
          <w:highlight w:val="none"/>
          <w:lang w:eastAsia="zh-CN"/>
        </w:rPr>
        <w:t>无论何种原因，当本合同终止时，分包人与承包人签订的分包合同也随即终止。承包人应在本合同终止前向分包人支付分包人应得款项。</w:t>
      </w:r>
    </w:p>
    <w:p>
      <w:pPr>
        <w:pStyle w:val="22"/>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10</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7</w:t>
      </w:r>
      <w:r>
        <w:rPr>
          <w:rFonts w:ascii="仿宋" w:hAnsi="仿宋" w:eastAsia="仿宋" w:cs="仿宋"/>
          <w:b/>
          <w:bCs/>
          <w:color w:val="auto"/>
          <w:sz w:val="24"/>
          <w:szCs w:val="24"/>
          <w:highlight w:val="none"/>
        </w:rPr>
        <w:t xml:space="preserve">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-1270</wp:posOffset>
                </wp:positionV>
                <wp:extent cx="914400" cy="411480"/>
                <wp:effectExtent l="0" t="0" r="0" b="0"/>
                <wp:wrapNone/>
                <wp:docPr id="415"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914400" cy="4114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32.4pt;width:72pt;z-index:251868160;mso-width-relative:page;mso-height-relative:page;" filled="f" stroked="f" coordsize="21600,21600" o:gfxdata="UEsDBAoAAAAAAIdO4kAAAAAAAAAAAAAAAAAEAAAAZHJzL1BLAwQUAAAACACHTuJAtOJ35dUAAAAI&#10;AQAADwAAAGRycy9kb3ducmV2LnhtbE2PwW7CMBBE75X6D9ZW4gZ2IhrREIdDq16LSmml3ky8JBHx&#10;OooNCX/PcmpvO5rR7JtiM7lOXHAIrScNyUKBQKq8banWsP96n69AhGjIms4TarhigE35+FCY3PqR&#10;PvGyi7XgEgq50dDE2OdShqpBZ8LC90jsHf3gTGQ51NIOZuRy18lUqUw60xJ/aEyPrw1Wp93Zafj+&#10;OP7+LNW2fnPP/egnJcm9SK1nT4lag4g4xb8w3PEZHUpmOvgz2SA6DfNkxVsiHymIu59mrA8asmUG&#10;sizk/wHlDVBLAwQUAAAACACHTuJAzg6nqBcCAAAYBAAADgAAAGRycy9lMm9Eb2MueG1srVPNjtMw&#10;EL4j8Q6W7zRNlWWXqOlq2WoR0vIjLTyA4ziJRewxY7dJeQB4A05cuPNcfQ4mTreU5bIHLpbtGX/z&#10;fd+Ml5eD6dhWoddgC57O5pwpK6HStin4xw83zy4480HYSnRgVcF3yvPL1dMny97lagEtdJVCRiDW&#10;570reBuCy5PEy1YZ4WfglKVgDWhEoCM2SYWiJ3TTJYv5/HnSA1YOQSrv6XY9BfkBER8DCHWtpVqD&#10;3Bhlw4SKqhOBJPlWO89XkW1dKxne1bVXgXUFJ6UhrlSE9uW4JqulyBsUrtXyQEE8hsIDTUZoS0WP&#10;UGsRBNug/gfKaIngoQ4zCSaZhERHSEU6f+DNXSucilrIau+Opvv/Byvfbt8j01XBs/SMMysMtXz/&#10;/dv+x6/9z6/sPE1Hi3rnc8q8c5Qbhpcw0OBEud7dgvzkmYXrVthGXSFC3ypREcX4Mjl5OuH4EaTs&#10;30BFlcQmQAQaajSjf+QII3Rqz+7YHjUEJunyRZplc4pICmVpml3E9iUiv3/s0IdXCgwbNwVH6n4E&#10;F9tbH0gGpd6njLUs3OiuixPQ2b8uKHG8ieRHvhPzMJTDwYwSqh3JQJgGir4TbVrAL5z1NEwF9583&#10;AhVn3WtLVkTmNH3xkJ2dL0gFnkbK04iwkqAKHjibttdhmtiNQ920VGky38IV2VfrKG30eWJ14E0D&#10;ExUfhnucyNNzzPrzoV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Tid+XVAAAACAEAAA8AAAAA&#10;AAAAAQAgAAAAIgAAAGRycy9kb3ducmV2LnhtbFBLAQIUABQAAAAIAIdO4kDODqeoFwIAABgEAAAO&#10;AAAAAAAAAAEAIAAAACQBAABkcnMvZTJvRG9jLnhtbFBLBQYAAAAABgAGAFkBAACt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因承包人违约或发生重大的质量、安全事故以及出现进度严重滞后的情况和工程专业化施工等的需要，发包人有权对承包人部分工作事项进行切割，做分包处理，因此而增加的一切费用由承包人承担。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olor w:val="auto"/>
          <w:sz w:val="24"/>
          <w:szCs w:val="24"/>
          <w:highlight w:val="none"/>
        </w:rPr>
      </w:pPr>
      <w:bookmarkStart w:id="130" w:name="_Toc469383987"/>
      <w:bookmarkStart w:id="131" w:name="_Toc28522"/>
      <w:bookmarkStart w:id="132" w:name="_Toc9594"/>
      <w:bookmarkStart w:id="133" w:name="_Toc47694281"/>
      <w:r>
        <w:rPr>
          <w:rFonts w:hint="eastAsia" w:ascii="仿宋" w:hAnsi="仿宋" w:eastAsia="仿宋" w:cs="仿宋"/>
          <w:color w:val="auto"/>
          <w:sz w:val="24"/>
          <w:szCs w:val="24"/>
          <w:highlight w:val="none"/>
        </w:rPr>
        <w:t>11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现场查勘</w:t>
      </w:r>
      <w:bookmarkEnd w:id="130"/>
      <w:bookmarkEnd w:id="131"/>
      <w:bookmarkEnd w:id="132"/>
      <w:bookmarkEnd w:id="133"/>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414" name="文本框 712"/>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qQOiLRcCAAAYBAAADgAAAGRycy9lMm9Eb2MueG1srVPN&#10;ctMwEL4zwztodCeOg0upJ06nNFOGmfIzU3gARZZjDZZWrJTY5QHgDThx4c5z5TlYyWkayqUHLp7V&#10;7urb7/u0np8PpmNbhV6DrXg+mXKmrIRa23XFP328evaSMx+ErUUHVlX8Vnl+vnj6ZN67Us2gha5W&#10;yAjE+rJ3FW9DcGWWedkqI/wEnLJUbACNCHTEdVaj6AnddNlsOn2R9YC1Q5DKe8ouxyLfI+JjAKFp&#10;tFRLkBujbBhRUXUikCTfauf5IrFtGiXD+6bxKrCu4qQ0pC8NoXgVv9liLso1CtdquacgHkPhgSYj&#10;tKWhB6ilCIJtUP8DZbRE8NCEiQSTjUKSI6Qinz7w5qYVTiUtZLV3B9P9/4OV77YfkOm64kVecGaF&#10;oSff/fi++/l79+sbO81n0aLe+ZI6bxz1huEVDLQ4Sa531yA/e2bhshV2rS4QoW+VqIliHm9mR1dH&#10;HB9BVv1bqGmS2ARIQEODJvpHjjBCp+e5PTyPGgKTlDzLi2JKFUml4uzkOcVxgijvLjv04bUCw2JQ&#10;caTXT+Bie+3D2HrXEmdZuNJdR3lRdvavBGHGTCIf+Y7Mw7AaqDsqWkF9SzIQxoWi34mCFvArZz0t&#10;U8X9l41AxVn3xpIViTltXzoUJ6czUoHHldVxRVhJUBUPnI3hZRg3duNQr1uaNJpv4YLsa3SSds9q&#10;z5sWJpmzX+64kcfn1HX/Q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agSY/YAAAACgEAAA8A&#10;AAAAAAAAAQAgAAAAIgAAAGRycy9kb3ducmV2LnhtbFBLAQIUABQAAAAIAIdO4kCpA6ItFwIAABgE&#10;AAAOAAAAAAAAAAEAIAAAACcBAABkcnMvZTJvRG9jLnhtbFBLBQYAAAAABgAGAFkBAACwBQ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rPr>
        <w:t>11</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发包人应按照第6条和第22</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款第（1）点规定向承包人提供《发包人要求》和项目基础资料。</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11</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679744" behindDoc="0" locked="0" layoutInCell="1" allowOverlap="1">
                <wp:simplePos x="0" y="0"/>
                <wp:positionH relativeFrom="column">
                  <wp:posOffset>-53340</wp:posOffset>
                </wp:positionH>
                <wp:positionV relativeFrom="paragraph">
                  <wp:posOffset>120650</wp:posOffset>
                </wp:positionV>
                <wp:extent cx="914400" cy="500380"/>
                <wp:effectExtent l="0" t="0" r="0" b="0"/>
                <wp:wrapNone/>
                <wp:docPr id="413"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26" o:spt="202" type="#_x0000_t202" style="position:absolute;left:0pt;margin-left:-4.2pt;margin-top:9.5pt;height:39.4pt;width:72pt;z-index:251679744;mso-width-relative:page;mso-height-relative:page;" filled="f" stroked="f" coordsize="21600,21600" o:gfxdata="UEsDBAoAAAAAAIdO4kAAAAAAAAAAAAAAAAAEAAAAZHJzL1BLAwQUAAAACACHTuJAcGpdPtUAAAAI&#10;AQAADwAAAGRycy9kb3ducmV2LnhtbE2PzU7DMBCE70h9B2uRemvt/ichTg8griAKVOLmxtskIl5H&#10;sduEt2d7guPOjGa/yfeja8UV+9B40rCYKxBIpbcNVRo+3p9nCYgQDVnTekINPxhgX0zucpNZP9Ab&#10;Xg+xElxCITMa6hi7TMpQ1uhMmPsOib2z752JfPaVtL0ZuNy1cqnUVjrTEH+oTYePNZbfh4vT8Ply&#10;/jqu1Wv15Dbd4EclyaVS6+n9Qj2AiDjGvzDc8BkdCmY6+QvZIFoNs2TNSdZTnnTzV5stiJOGdJeA&#10;LHL5f0DxC1BLAwQUAAAACACHTuJA8fKvhRgCAAAYBAAADgAAAGRycy9lMm9Eb2MueG1srVPBctMw&#10;EL0zwz9odCd20pQWT5xOaaYMMwU6U/gARZZjDZZWrJTY4QPgDzhx4d7vynewktMQyqUHLh5pd/X2&#10;vbfr2UVvWrZR6DXYko9HOWfKSqi0XZX808frF+ec+SBsJVqwquRb5fnF/PmzWecKNYEG2kohIxDr&#10;i86VvAnBFVnmZaOM8CNwylKyBjQi0BVXWYWiI3TTZpM8f5l1gJVDkMp7ii6GJN8j4lMAoa61VAuQ&#10;a6NsGFBRtSKQJN9o5/k8sa1rJcOHuvYqsLbkpDSkLzWh8zJ+s/lMFCsUrtFyT0E8hcIjTUZoS00P&#10;UAsRBFuj/gfKaIngoQ4jCSYbhCRHSMU4f+TNXSOcSlrIau8Opvv/Byvfb26R6ark0/EJZ1YYGvnu&#10;x/fdz/vdr2/sjIJkUed8QZV3jmpD/xp6Wpwk17sbkJ89s3DVCLtSl4jQNUpURHEcX2ZHTwccH0GW&#10;3TuoqJNYB0hAfY0m+keOMEKn8WwP41F9YJKCr8bTaU4ZSanTPD85T+PLRPHw2KEPbxQYFg8lR5p+&#10;AhebGx8iGVE8lMReFq5126YNaO1fASqMkUQ+8h2Yh37Z781YQrUlGQjDQtHvRIcG8CtnHS1Tyf2X&#10;tUDFWfvWkhWJOW1fukxPzyakAo8zy+OMsJKgSh44G45XYdjYtUO9aqjTYL6FS7Kv1kla9HlgtedN&#10;C5MU75c7buTxPVX9+aH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al0+1QAAAAgBAAAPAAAA&#10;AAAAAAEAIAAAACIAAABkcnMvZG93bnJldi54bWxQSwECFAAUAAAACACHTuJA8fKvhRgCAAAYBAAA&#10;DgAAAAAAAAABACAAAAAkAQAAZHJzL2Uyb0RvYy54bWxQSwUGAAAAAAYABgBZAQAAr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rPr>
        <w:t>承包人已依据发包人提供的项目基础资料和自己对现场查勘来编制投标文件或报价文件，应对发包人提供项目基础资料的理解、推断和应用负责。因承包人未 能充分查勘、了解以下情况或未能充分估计以下情况所可能产生后果的，承包人承担由此增加的费用和（或）延误的工期。承包人的投标文件或报价文件应被认 为已经考虑了工程现场及其周围环境的影响，包括但不限于以下内容：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（1）现场地质情况及地形地貌特征；</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（2）水文和气候条件；</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（3）为实施、完成并保修合同工程所需的临时工程和措施项目；</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（4）为实施、完成并保修合同工程所需的工程材料采购和加工、工程设备的采购，及所需的施工设备、周转性材料、人员和管理等；</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（5）场地内外的交通情况及水、电、食宿供应条件；</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（6）可能对投标或报价有影响或起作用的其他情况。</w:t>
      </w:r>
    </w:p>
    <w:p>
      <w:pPr>
        <w:pStyle w:val="22"/>
        <w:adjustRightInd w:val="0"/>
        <w:snapToGrid w:val="0"/>
        <w:spacing w:line="360" w:lineRule="auto"/>
        <w:rPr>
          <w:rFonts w:ascii="仿宋" w:hAnsi="仿宋" w:eastAsia="仿宋"/>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olor w:val="auto"/>
          <w:sz w:val="24"/>
          <w:szCs w:val="24"/>
          <w:highlight w:val="none"/>
        </w:rPr>
      </w:pPr>
      <w:bookmarkStart w:id="134" w:name="_Toc32180"/>
      <w:bookmarkStart w:id="135" w:name="_Toc469383988"/>
      <w:bookmarkStart w:id="136" w:name="_Toc47694282"/>
      <w:bookmarkStart w:id="137" w:name="_Toc20149"/>
      <w:r>
        <w:rPr>
          <w:rFonts w:hint="eastAsia" w:ascii="仿宋" w:hAnsi="仿宋" w:eastAsia="仿宋" w:cs="仿宋"/>
          <w:color w:val="auto"/>
          <w:sz w:val="24"/>
          <w:szCs w:val="24"/>
          <w:highlight w:val="none"/>
        </w:rPr>
        <w:t>12</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招标错失的修正</w:t>
      </w:r>
      <w:bookmarkEnd w:id="134"/>
      <w:bookmarkEnd w:id="135"/>
      <w:bookmarkEnd w:id="136"/>
      <w:bookmarkEnd w:id="137"/>
    </w:p>
    <w:p>
      <w:pPr>
        <w:pStyle w:val="22"/>
        <w:adjustRightInd w:val="0"/>
        <w:snapToGrid w:val="0"/>
        <w:spacing w:before="240" w:beforeLines="100"/>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241300</wp:posOffset>
                </wp:positionV>
                <wp:extent cx="914400" cy="792480"/>
                <wp:effectExtent l="0" t="0" r="0" b="0"/>
                <wp:wrapNone/>
                <wp:docPr id="412"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pPr>
                              <w:pStyle w:val="22"/>
                              <w:tabs>
                                <w:tab w:val="left" w:pos="2160"/>
                              </w:tabs>
                              <w:spacing w:before="192" w:beforeLines="80"/>
                            </w:pPr>
                            <w:r>
                              <w:rPr>
                                <w:rFonts w:hint="eastAsia" w:ascii="楷体_GB2312" w:hAnsi="宋体" w:eastAsia="楷体_GB2312" w:cs="楷体_GB2312"/>
                                <w:b/>
                                <w:bCs/>
                                <w:color w:val="000000"/>
                                <w:sz w:val="18"/>
                                <w:szCs w:val="18"/>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26" o:spt="202" type="#_x0000_t202" style="position:absolute;left:0pt;margin-left:-4.8pt;margin-top:19pt;height:62.4pt;width:72pt;z-index:251680768;mso-width-relative:page;mso-height-relative:page;" filled="f" stroked="f" coordsize="21600,21600" o:gfxdata="UEsDBAoAAAAAAIdO4kAAAAAAAAAAAAAAAAAEAAAAZHJzL1BLAwQUAAAACACHTuJAFcIro9cAAAAJ&#10;AQAADwAAAGRycy9kb3ducmV2LnhtbE2PzW7CMBCE75V4B2srcQMbSKOQxuFA1StV6Y/Um4mXJGq8&#10;jmJD0rfvcmpvO5rR7DfFbnKduOIQWk8aVksFAqnytqVaw/vb8yIDEaIhazpPqOEHA+zK2V1hcutH&#10;esXrMdaCSyjkRkMTY59LGaoGnQlL3yOxd/aDM5HlUEs7mJHLXSfXSqXSmZb4Q2N63DdYfR8vTsPH&#10;4fz1maiX+sk99KOflCS3lVrP71fqEUTEKf6F4YbP6FAy08lfyAbRaVhsU05q2GQ86eZvkgTEiY90&#10;nYEsC/l/QfkLUEsDBBQAAAAIAIdO4kBSrl+zGAIAABgEAAAOAAAAZHJzL2Uyb0RvYy54bWytU82O&#10;0zAQviPxDpbvNE0V6G7UdLVstQhp+ZEWHsB1nMYi9pix22R5AHgDTly481x9DsZOt5Tlsgculu0Z&#10;f/N934wXF4Pp2E6h12Arnk+mnCkrodZ2U/GPH66fnXHmg7C16MCqit8pzy+WT58seleqGbTQ1QoZ&#10;gVhf9q7ibQiuzDIvW2WEn4BTloINoBGBjrjJahQ9oZsum02nL7IesHYIUnlPt6sxyA+I+BhAaBot&#10;1Qrk1igbRlRUnQgkybfaeb5MbJtGyfCuabwKrKs4KQ1ppSK0X8c1Wy5EuUHhWi0PFMRjKDzQZIS2&#10;VPQItRJBsC3qf6CMlggemjCRYLJRSHKEVOTTB97ctsKppIWs9u5ouv9/sPLt7j0yXVe8yGecWWGo&#10;5fvv3/Y/fu1/fmXzvIgW9c6XlHnrKDcML2GgwUlyvbsB+ckzC1etsBt1iQh9q0RNFPP4Mjt5OuL4&#10;CLLu30BNlcQ2QAIaGjTRP3KEETq15+7YHjUEJunyPC+KKUUkhebns+IstS8T5f1jhz68UmBY3FQc&#10;qfsJXOxufIhkRHmfEmtZuNZdlyags39dUGK8SeQj35F5GNbDwYw11HckA2EcKPpOtGkBv3DW0zBV&#10;3H/eClScda8tWZGY0/SlQ/F8PiMVeBpZn0aElQRV8cDZuL0K48RuHepNS5VG8y1ckn2NTtKizyOr&#10;A28amKT4MNxxIk/PKevPh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XCK6PXAAAACQEAAA8A&#10;AAAAAAAAAQAgAAAAIgAAAGRycy9kb3ducmV2LnhtbFBLAQIUABQAAAAIAIdO4kBSrl+zGAIAABgE&#10;AAAOAAAAAAAAAAEAIAAAACYBAABkcnMvZTJvRG9jLnhtbFBLBQYAAAAABgAGAFkBAACwBQAAAAA=&#10;">
                <v:fill on="f" focussize="0,0"/>
                <v:stroke on="f"/>
                <v:imagedata o:title=""/>
                <o:lock v:ext="edit" aspectratio="f"/>
                <v:textbox>
                  <w:txbxContent>
                    <w:p>
                      <w:pPr>
                        <w:pStyle w:val="22"/>
                        <w:tabs>
                          <w:tab w:val="left" w:pos="2160"/>
                        </w:tabs>
                        <w:spacing w:before="192" w:beforeLines="80"/>
                      </w:pPr>
                      <w:r>
                        <w:rPr>
                          <w:rFonts w:hint="eastAsia" w:ascii="楷体_GB2312" w:hAnsi="宋体" w:eastAsia="楷体_GB2312" w:cs="楷体_GB2312"/>
                          <w:b/>
                          <w:bCs/>
                          <w:color w:val="000000"/>
                          <w:sz w:val="18"/>
                          <w:szCs w:val="18"/>
                        </w:rPr>
                        <w:t>合同条款及格式完备性和义务</w:t>
                      </w:r>
                    </w:p>
                  </w:txbxContent>
                </v:textbox>
              </v:shape>
            </w:pict>
          </mc:Fallback>
        </mc:AlternateContent>
      </w:r>
      <w:r>
        <w:rPr>
          <w:rFonts w:hint="eastAsia" w:ascii="仿宋" w:hAnsi="仿宋" w:eastAsia="仿宋" w:cs="仿宋"/>
          <w:b/>
          <w:bCs/>
          <w:color w:val="auto"/>
          <w:sz w:val="24"/>
          <w:szCs w:val="24"/>
          <w:highlight w:val="none"/>
        </w:rPr>
        <w:t>12</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发包人招标文件中的合同条款及格式，应被认为是正确的和公平的，并已包括了发包人履行本合同的全部义务，包括但不限于以下内容：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）支付工程款及其他应付款项的义务；</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）完成本合同第22</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款约定工作的义务；</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）修正不正确合同条款及格式的义务；</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）澄清并改正被认定有失公平的合同条款的义务；</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）协助承包人实施、完成并保修合同工程的义务。</w:t>
      </w:r>
    </w:p>
    <w:p>
      <w:pPr>
        <w:pStyle w:val="22"/>
        <w:tabs>
          <w:tab w:val="left" w:pos="2160"/>
        </w:tabs>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81792" behindDoc="0" locked="0" layoutInCell="1" allowOverlap="1">
                <wp:simplePos x="0" y="0"/>
                <wp:positionH relativeFrom="column">
                  <wp:posOffset>-86995</wp:posOffset>
                </wp:positionH>
                <wp:positionV relativeFrom="paragraph">
                  <wp:posOffset>129540</wp:posOffset>
                </wp:positionV>
                <wp:extent cx="914400" cy="829310"/>
                <wp:effectExtent l="0" t="0" r="0" b="0"/>
                <wp:wrapNone/>
                <wp:docPr id="411"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wps:spPr>
                      <wps:txbx>
                        <w:txbxContent>
                          <w:p>
                            <w:pPr>
                              <w:pStyle w:val="22"/>
                              <w:tabs>
                                <w:tab w:val="left" w:pos="2160"/>
                              </w:tabs>
                              <w:spacing w:before="192" w:beforeLines="80"/>
                            </w:pPr>
                            <w:r>
                              <w:rPr>
                                <w:rFonts w:hint="eastAsia" w:ascii="楷体_GB2312" w:hAnsi="宋体" w:eastAsia="楷体_GB2312" w:cs="楷体_GB2312"/>
                                <w:b/>
                                <w:bCs/>
                                <w:color w:val="000000"/>
                                <w:sz w:val="18"/>
                                <w:szCs w:val="18"/>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26" o:spt="202" type="#_x0000_t202" style="position:absolute;left:0pt;margin-left:-6.85pt;margin-top:10.2pt;height:65.3pt;width:72pt;z-index:251681792;mso-width-relative:page;mso-height-relative:page;" filled="f" stroked="f" coordsize="21600,21600" o:gfxdata="UEsDBAoAAAAAAIdO4kAAAAAAAAAAAAAAAAAEAAAAZHJzL1BLAwQUAAAACACHTuJASMvDp9cAAAAK&#10;AQAADwAAAGRycy9kb3ducmV2LnhtbE2PwW7CMAyG75P2DpGRdoO4FMbWNeWwaddNY4C0W2hMW9E4&#10;VRNo9/YLp3Gz5U+/vz9fj7YVF+p941hBMkMQxKUzDVcKtt/v0ycQPmg2unVMCn7Jw7q4v8t1ZtzA&#10;X3TZhErEEPaZVlCH0GVS+rImq/3MdcTxdnS91SGufSVNr4cYbls5R3yUVjccP9S6o9eaytPmbBXs&#10;Po4/+wV+Vm922Q1uRMn2WSr1MEnwBUSgMfzDcNWP6lBEp4M7s/GiVTBN0lVEFcxxAeIKpJiCOMRh&#10;mSDIIpe3FYo/UEsDBBQAAAAIAIdO4kBHKtR9GAIAABgEAAAOAAAAZHJzL2Uyb0RvYy54bWytU8Fu&#10;EzEQvSPxD5bvZLMhpe0qm6o0KkIqUKnwAY7Xm7VYe8zYyW74APgDTly497vyHYy9aQjl0gMXy/aM&#10;37z3Zjy76E3LNgq9BlvyfDTmTFkJlbarkn/6eP3ijDMfhK1EC1aVfKs8v5g/fzbrXKEm0EBbKWQE&#10;Yn3RuZI3Ibgiy7xslBF+BE5ZCtaARgQ64iqrUHSEbtpsMh6/yjrAyiFI5T3dLoYg3yPiUwChrrVU&#10;C5Bro2wYUFG1IpAk32jn+TyxrWslw4e69iqwtuSkNKSVitB+GddsPhPFCoVrtNxTEE+h8EiTEdpS&#10;0QPUQgTB1qj/gTJaIniow0iCyQYhyRFSkY8feXPXCKeSFrLau4Pp/v/ByvebW2S6Kvk0zzmzwlDL&#10;dz++737e7359Y6f5SbSoc76gzDtHuaF/DT0NTpLr3Q3Iz55ZuGqEXalLROgaJSqimMeX2dHTAcdH&#10;kGX3DiqqJNYBElBfo4n+kSOM0Kk920N7VB+YpMvzfDodU0RS6Gxy/jJP7ctE8fDYoQ9vFBgWNyVH&#10;6n4CF5sbHyIZUTykxFoWrnXbpglo7V8XlBhvEvnId2Ae+mW/N2MJ1ZZkIAwDRd+JNg3gV846GqaS&#10;+y9rgYqz9q0lKxJzmr50mJ6cTkgFHkeWxxFhJUGVPHA2bK/CMLFrh3rVUKXBfAuXZF+tk7To88Bq&#10;z5sGJineD3ecyONzyvrzoe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Lw6fXAAAACgEAAA8A&#10;AAAAAAAAAQAgAAAAIgAAAGRycy9kb3ducmV2LnhtbFBLAQIUABQAAAAIAIdO4kBHKtR9GAIAABgE&#10;AAAOAAAAAAAAAAEAIAAAACYBAABkcnMvZTJvRG9jLnhtbFBLBQYAAAAABgAGAFkBAACwBQAAAAA=&#10;">
                <v:fill on="f" focussize="0,0"/>
                <v:stroke on="f"/>
                <v:imagedata o:title=""/>
                <o:lock v:ext="edit" aspectratio="f"/>
                <v:textbox>
                  <w:txbxContent>
                    <w:p>
                      <w:pPr>
                        <w:pStyle w:val="22"/>
                        <w:tabs>
                          <w:tab w:val="left" w:pos="2160"/>
                        </w:tabs>
                        <w:spacing w:before="192" w:beforeLines="80"/>
                      </w:pPr>
                      <w:r>
                        <w:rPr>
                          <w:rFonts w:hint="eastAsia" w:ascii="楷体_GB2312" w:hAnsi="宋体" w:eastAsia="楷体_GB2312" w:cs="楷体_GB2312"/>
                          <w:b/>
                          <w:bCs/>
                          <w:color w:val="000000"/>
                          <w:sz w:val="18"/>
                          <w:szCs w:val="18"/>
                        </w:rPr>
                        <w:t>工程量清单或报价格式的准确性和修正</w:t>
                      </w:r>
                    </w:p>
                  </w:txbxContent>
                </v:textbox>
              </v:shape>
            </w:pict>
          </mc:Fallback>
        </mc:AlternateContent>
      </w:r>
      <w:r>
        <w:rPr>
          <w:rFonts w:hint="eastAsia" w:ascii="仿宋" w:hAnsi="仿宋" w:eastAsia="仿宋" w:cs="仿宋"/>
          <w:b/>
          <w:bCs/>
          <w:color w:val="auto"/>
          <w:sz w:val="24"/>
          <w:szCs w:val="24"/>
          <w:highlight w:val="none"/>
        </w:rPr>
        <w:t>12</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招标文件提供的工程量清单或报价格式及其投资估算、设计概算等资料仅供参考，投标人应根据招标人提供的项目基础资料及现场查勘进行核实修正，并按发包人招标文件提供的报价格式自主报价。当出现下列情形之一的，发包人应及时予以修正，并相应调整合同价格：</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）发包人提供的可行性研究报告或初步设计发生实质性变化的；</w:t>
      </w:r>
    </w:p>
    <w:p>
      <w:pPr>
        <w:pStyle w:val="22"/>
        <w:widowControl w:val="0"/>
        <w:adjustRightInd w:val="0"/>
        <w:snapToGrid w:val="0"/>
        <w:spacing w:line="360" w:lineRule="auto"/>
        <w:ind w:left="1850" w:leftChars="771"/>
        <w:jc w:val="both"/>
        <w:rPr>
          <w:color w:val="auto"/>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）出现第69</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3款规定调整合同价格事项的。</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olor w:val="auto"/>
          <w:sz w:val="24"/>
          <w:szCs w:val="24"/>
          <w:highlight w:val="none"/>
        </w:rPr>
      </w:pPr>
      <w:bookmarkStart w:id="138" w:name="_Toc469383989"/>
      <w:bookmarkStart w:id="139" w:name="_Toc25907"/>
      <w:bookmarkStart w:id="140" w:name="_Toc22016"/>
      <w:bookmarkStart w:id="141" w:name="_Toc47694283"/>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3</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投标文件的完备性</w:t>
      </w:r>
      <w:bookmarkEnd w:id="138"/>
      <w:bookmarkEnd w:id="139"/>
      <w:bookmarkEnd w:id="140"/>
      <w:bookmarkEnd w:id="141"/>
    </w:p>
    <w:p>
      <w:pPr>
        <w:rPr>
          <w:rFonts w:ascii="仿宋" w:hAnsi="仿宋" w:eastAsia="仿宋" w:cs="仿宋"/>
          <w:b/>
          <w:bCs/>
          <w:color w:val="auto"/>
          <w:highlight w:val="none"/>
          <w:lang w:eastAsia="zh-CN"/>
        </w:rPr>
      </w:pPr>
      <w:bookmarkStart w:id="142" w:name="_Toc1958"/>
      <w:r>
        <w:rPr>
          <w:color w:val="auto"/>
          <w:highlight w:val="none"/>
          <w:lang w:eastAsia="zh-CN" w:bidi="ar-SA"/>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166370</wp:posOffset>
                </wp:positionV>
                <wp:extent cx="914400" cy="812800"/>
                <wp:effectExtent l="0" t="0" r="0" b="0"/>
                <wp:wrapNone/>
                <wp:docPr id="410"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wps:spPr>
                      <wps:txbx>
                        <w:txbxContent>
                          <w:p>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26" o:spt="202" type="#_x0000_t202" style="position:absolute;left:0pt;margin-left:-9pt;margin-top:13.1pt;height:64pt;width:72pt;z-index:251682816;mso-width-relative:page;mso-height-relative:page;" filled="f" stroked="f" coordsize="21600,21600" o:gfxdata="UEsDBAoAAAAAAIdO4kAAAAAAAAAAAAAAAAAEAAAAZHJzL1BLAwQUAAAACACHTuJA1/7EbNcAAAAK&#10;AQAADwAAAGRycy9kb3ducmV2LnhtbE2PzU7DMBCE70i8g7VI3Fo7VhuVEKcHEFcqyo/EzY23SUS8&#10;jmK3Sd+e7Qluuzuj2W/K7ex7ccYxdoEMZEsFAqkOrqPGwMf7y2IDIiZLzvaB0MAFI2yr25vSFi5M&#10;9IbnfWoEh1AsrIE2paGQMtYtehuXYUBi7RhGbxOvYyPdaCcO973USuXS2474Q2sHfGqx/tmfvIHP&#10;1+P310rtmme/HqYwK0n+QRpzf5epRxAJ5/Rnhis+o0PFTIdwIhdFb2CRbbhLMqBzDeJq0DkfDjys&#10;VxpkVcr/FapfUEsDBBQAAAAIAIdO4kC/wS0TFgIAABgEAAAOAAAAZHJzL2Uyb0RvYy54bWytU0tu&#10;2zAQ3RfoHQjua1mGm7iC5SCNkaJA+gHSHoCmKIuoyGGHtCX3AO0Nsuqm+57L5+iQchw33WTRjTCc&#10;Gb5573E0v+hNy7YKvQZb8nw05kxZCZW265J//nT9YsaZD8JWogWrSr5Tnl8snj+bd65QE2igrRQy&#10;ArG+6FzJmxBckWVeNsoIPwKnLBVrQCMCHXGdVSg6QjdtNhmPz7IOsHIIUnlP2eVQ5AdEfAog1LWW&#10;aglyY5QNAyqqVgSS5BvtPF8ktnWtZPhQ114F1paclIb0pSEUr+I3W8xFsUbhGi0PFMRTKDzSZIS2&#10;NPQItRRBsA3qf6CMlgge6jCSYLJBSHKEVOTjR97cNsKppIWs9u5ouv9/sPL99iMyXZV8mpMnVhh6&#10;8v3dj/3P3/tf39l5fhYt6pwvqPPWUW/oX0NPi5PkencD8otnFq4aYdfqEhG6RomKKObxZnZydcDx&#10;EWTVvYOKJolNgATU12iif+QII3Sisjs+j+oDk5R8lU+nY6pIKs3yyYziOEEU95cd+vBGgWExKDnS&#10;6ydwsb3xYWi9b4mzLFzrtqW8KFr7V4IwYyaRj3wH5qFf9dQdFa2g2pEMhGGh6HeioAH8xllHy1Ry&#10;/3UjUHHWvrVkRWJO25cO05fnE1KBp5XVaUVYSVAlD5wN4VUYNnbjUK8bmjSYb+GS7Kt1kvbA6sCb&#10;FiaZc1juuJGn59T18EM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sRs1wAAAAoBAAAPAAAA&#10;AAAAAAEAIAAAACIAAABkcnMvZG93bnJldi54bWxQSwECFAAUAAAACACHTuJAv8EtExYCAAAYBAAA&#10;DgAAAAAAAAABACAAAAAmAQAAZHJzL2Uyb0RvYy54bWxQSwUGAAAAAAYABgBZAQAArgUAAAAA&#10;">
                <v:fill on="f" focussize="0,0"/>
                <v:stroke on="f"/>
                <v:imagedata o:title=""/>
                <o:lock v:ext="edit" aspectratio="f"/>
                <v:textbox>
                  <w:txbxContent>
                    <w:p>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42"/>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承包人投标文件中的工程量清单及所填单价和合价，应被认为是正确的和完备的，</w:t>
      </w:r>
      <w:r>
        <w:rPr>
          <w:rFonts w:hint="eastAsia" w:ascii="仿宋" w:hAnsi="仿宋" w:eastAsia="仿宋"/>
          <w:color w:val="auto"/>
          <w:sz w:val="24"/>
          <w:szCs w:val="24"/>
          <w:highlight w:val="none"/>
        </w:rPr>
        <w:t>并已包括了承包人履行本合同的全部义务</w:t>
      </w:r>
      <w:r>
        <w:rPr>
          <w:rFonts w:hint="eastAsia" w:ascii="仿宋" w:hAnsi="仿宋" w:eastAsia="仿宋" w:cs="仿宋"/>
          <w:color w:val="auto"/>
          <w:sz w:val="24"/>
          <w:szCs w:val="24"/>
          <w:highlight w:val="none"/>
        </w:rPr>
        <w:t>，包括但不限于以下内容：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）完成总承包范围和工程内容及处理意外事项的义务；</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（2）修复工作缺陷及完成工程质量保修的一切义务。</w:t>
      </w:r>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09"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Eiq9ZxgCAAAYBAAADgAAAGRycy9lMm9Eb2MueG1srVPLjtMw&#10;FN0j8Q+W9zRp1VIaNR0NUw1CGh7SwAe4jtNYxL7m2m0yfAD8ASs27PmufgfXTqeUYTMLNpHte33u&#10;Occny4vetGyv0GuwJR+Pcs6UlVBpuy35xw/Xz15w5oOwlWjBqpLfKc8vVk+fLDtXqAk00FYKGYFY&#10;X3Su5E0IrsgyLxtlhB+BU5aKNaARgba4zSoUHaGbNpvk+fOsA6wcglTe0+l6KPIjIj4GEOpaS7UG&#10;uTPKhgEVVSsCSfKNdp6vEtu6VjK8q2uvAmtLTkpD+tIQWm/iN1stRbFF4RotjxTEYyg80GSEtjT0&#10;BLUWQbAd6n+gjJYIHuowkmCyQUhyhFSM8wfe3DbCqaSFrPbuZLr/f7Dy7f49Ml2VfJovOLPC0JMf&#10;vn87/Ph1+PmVzcfzaFHnfEGdt456Q/8SegpOkuvdDchPnlm4aoTdqktE6BolKqI4jjezs6sDjo8g&#10;m+4NVDRJ7AIkoL5GE/0jRxih0/PcnZ5H9YFJOlyMp9OcKpJK09lsspilCaK4v+zQh1cKDIuLkiO9&#10;fgIX+xsfIhlR3LfEWRauddumBLT2rwNqjCeJfOQ7MA/9pj+asYHqjmQgDIGi34kWDeAXzjoKU8n9&#10;551AxVn72pIViTmlL22ms/mEVOB5ZXNeEVYSVMkDZ8PyKgyJ3TnU24YmDeZbuCT7ap2kRZ8HVkfe&#10;FJik+BjumMjzfer680O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v4xD1QAAAAgBAAAPAAAA&#10;AAAAAAEAIAAAACIAAABkcnMvZG93bnJldi54bWxQSwECFAAUAAAACACHTuJAEiq9ZxgCAAAYBAAA&#10;DgAAAAAAAAABACAAAAAkAQAAZHJzL2Uyb0RvYy54bWxQSwUGAAAAAAYABgBZAQAAr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3</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08" name="文本框 718"/>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q9KqCRgCAAAYBAAADgAAAGRycy9lMm9Eb2MueG1srVPNbhMx&#10;EL4j8Q6W72Q3UULbVTZVaVSEVH6kwgM4Xm/WYu0xYye74QHgDXriwp3nynMw9qYhlEsPXCzbM/7m&#10;+74Zzy9707KtQq/Blnw8yjlTVkKl7brknz7evDjnzAdhK9GCVSXfKc8vF8+fzTtXqAk00FYKGYFY&#10;X3Su5E0IrsgyLxtlhB+BU5aCNaARgY64zioUHaGbNpvk+cusA6wcglTe0+1yCPIDIj4FEOpaS7UE&#10;uTHKhgEVVSsCSfKNdp4vEtu6VjK8r2uvAmtLTkpDWqkI7VdxzRZzUaxRuEbLAwXxFAqPNBmhLRU9&#10;Qi1FEGyD+h8ooyWChzqMJJhsEJIcIRXj/JE3d41wKmkhq707mu7/H6x8t/2ATFcln+bUeCsMtXx/&#10;/33/49f+5zd2Nj6PFnXOF5R55yg39K+gp8FJcr27BfnZMwvXjbBrdYUIXaNERRTH8WV28nTA8RFk&#10;1b2FiiqJTYAE1Ndoon/kCCN0as/u2B7VBybp8mI8neYUkRSazmaTi1mqIIqHxw59eK3AsLgpOVL3&#10;E7jY3voQyYjiISXWsnCj2zZNQGv/uqDEeJPIR74D89Cv+oMZK6h2JANhGCj6TrRpAL9y1tEwldx/&#10;2QhUnLVvLFmRmNP0pcN0djYhFXgaWZ1GhJUEVfLA2bC9DsPEbhzqdUOVBvMtXJF9tU7Sos8DqwNv&#10;Gpik+DDccSJPzynrz4d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v4xD1QAAAAgBAAAPAAAA&#10;AAAAAAEAIAAAACIAAABkcnMvZG93bnJldi54bWxQSwECFAAUAAAACACHTuJAq9KqCRgCAAAYBAAA&#10;DgAAAAAAAAABACAAAAAkAQAAZHJzL2Uyb0RvYy54bWxQSwUGAAAAAAYABgBZAQAAr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rPr>
        <w:t>承包人投标文件中出现算术性错误，导致其算术修正后的实际总价与报价总金额不一致时，合同双方当事人可按照国家、省有关规定予以修正，并相应调整合同价格，调整后的合同价格原则上不得超过已立项批准或备案的投资估算（适用于可行性研究报告批准立项或备案后招标发包）或设计概算（适用于初步设计批准或备案后招标发包）中相应价格。</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43" w:name="_Toc21844"/>
      <w:bookmarkStart w:id="144" w:name="_Toc47694284"/>
      <w:bookmarkStart w:id="145" w:name="_Toc8026"/>
      <w:r>
        <w:rPr>
          <w:rFonts w:ascii="仿宋" w:hAnsi="仿宋" w:eastAsia="仿宋" w:cs="仿宋"/>
          <w:bCs w:val="0"/>
          <w:color w:val="auto"/>
          <w:sz w:val="24"/>
          <w:szCs w:val="24"/>
          <w:highlight w:val="none"/>
        </w:rPr>
        <w:t>1</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文物和地下障碍物</w:t>
      </w:r>
      <w:bookmarkEnd w:id="143"/>
      <w:bookmarkEnd w:id="144"/>
      <w:bookmarkEnd w:id="145"/>
    </w:p>
    <w:p>
      <w:pPr>
        <w:pStyle w:val="22"/>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4</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407"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NzbEE0XAgAAGAQAAA4AAABkcnMvZTJvRG9jLnhtbK1TzY7T&#10;MBC+I/EOlu80aemyNGq6WrZahLT8SAsP4DpOYxF7zNhtUh4A3oATF+48V5+DsdPtluWyBy7ReGb8&#10;zfd9nswvetOyrUKvwZZ8PMo5U1ZCpe265J8+Xj97yZkPwlaiBatKvlOeXyyePpl3rlATaKCtFDIC&#10;sb7oXMmbEFyRZV42ygg/AqcsFWtAIwIdcZ1VKDpCN202yfMXWQdYOQSpvKfscijyAyI+BhDqWku1&#10;BLkxyoYBFVUrAknyjXaeLxLbulYyvK9rrwJrS05KQ/rSEIpX8Zst5qJYo3CNlgcK4jEUHmgyQlsa&#10;eoRaiiDYBvU/UEZLBA91GEkw2SAkOUIqxvkDb24b4VTSQlZ7dzTd/z9Y+W77AZmuSj7NzzmzwtCT&#10;73983//8vf/1jZ2PZ9GizvmCOm8d9Yb+FfS0OEmudzcgP3tm4aoRdq0uEaFrlKiI4jjezE6uDjg+&#10;gqy6t1DRJLEJkID6Gk30jxxhhE7Pszs+j+oDk5ScjafTnCqSStPZ2XOK4wRR3F126MNrBYbFoORI&#10;r5/AxfbGh6H1riXOsnCt25byomjtXwnCjJlEPvIdmId+1VN3VLSCakcyEIaFot+JggbwK2cdLVPJ&#10;/ZeNQMVZ+8aSFYk5bV86TM/OJ6QCTyur04qwkqBKHjgbwqswbOzGoV43NGkw38Il2VfrJO2e1YE3&#10;LUwy57DccSNPz6nr/ode/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Ye621gAAAAkBAAAPAAAA&#10;AAAAAAEAIAAAACIAAABkcnMvZG93bnJldi54bWxQSwECFAAUAAAACACHTuJA3NsQTRcCAAAYBAAA&#10;DgAAAAAAAAABACAAAAAlAQAAZHJzL2Uyb0RvYy54bWxQSwUGAAAAAAYABgBZAQAAr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小时内报告当地文物管理部门，合同双方当事人应按照文物管理部门的要求采取妥善保护措施。发包人承担由此增加的费用和（或）工期延误，并向承包人支付合理利润。</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如发现文物后隐瞒不报或报告不及时，导致上述文物丢失或遭受破坏的，由责任方赔偿损失，并承担相应的法律责任。</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lang w:val="en-US"/>
        </w:rPr>
        <w:t>1</w:t>
      </w:r>
      <w:r>
        <w:rPr>
          <w:rFonts w:hint="eastAsia" w:ascii="仿宋" w:hAnsi="仿宋" w:eastAsia="仿宋" w:cs="仿宋"/>
          <w:b/>
          <w:bCs/>
          <w:color w:val="auto"/>
          <w:sz w:val="24"/>
          <w:szCs w:val="24"/>
          <w:highlight w:val="none"/>
        </w:rPr>
        <w:t>4</w:t>
      </w:r>
      <w:r>
        <w:rPr>
          <w:rFonts w:ascii="仿宋" w:hAnsi="仿宋" w:eastAsia="仿宋" w:cs="仿宋"/>
          <w:b/>
          <w:bCs/>
          <w:color w:val="auto"/>
          <w:sz w:val="24"/>
          <w:szCs w:val="24"/>
          <w:highlight w:val="none"/>
          <w:lang w:val="en-US"/>
        </w:rPr>
        <w:t>.2</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r>
        <w:rPr>
          <w:rFonts w:hint="eastAsia"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-1270</wp:posOffset>
                </wp:positionV>
                <wp:extent cx="914400" cy="495300"/>
                <wp:effectExtent l="0" t="0" r="0" b="0"/>
                <wp:wrapNone/>
                <wp:docPr id="406" name="文本框 72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26" o:spt="202" type="#_x0000_t202" style="position:absolute;left:0pt;margin-left:-9pt;margin-top:-0.1pt;height:39pt;width:72pt;z-index:251686912;mso-width-relative:page;mso-height-relative:page;" filled="f" stroked="f" coordsize="21600,21600" o:gfxdata="UEsDBAoAAAAAAIdO4kAAAAAAAAAAAAAAAAAEAAAAZHJzL1BLAwQUAAAACACHTuJAdjp5QdYAAAAI&#10;AQAADwAAAGRycy9kb3ducmV2LnhtbE2PzW7CMBCE75V4B2uRegM7UQtpGocDqNei0h+pNxMvSdR4&#10;HcWGhLfvcmpvO5rR7DfFZnKduOAQWk8akqUCgVR521Kt4eP9ZZGBCNGQNZ0n1HDFAJtydleY3PqR&#10;3vByiLXgEgq50dDE2OdShqpBZ8LS90jsnfzgTGQ51NIOZuRy18lUqZV0piX+0Jgetw1WP4ez0/D5&#10;evr+elD7euce+9FPSpJ7klrfzxP1DCLiFP/CcMNndCiZ6ejPZIPoNCySjLdEPlIQNz9dsT5qWK8z&#10;kGUh/w8ofwFQSwMEFAAAAAgAh07iQKiMfpoWAgAAGAQAAA4AAABkcnMvZTJvRG9jLnhtbK1TS27b&#10;MBDdF+gdCO5rya6TJoLlII2RokD6AdIegKYoi6jIYYe0JfcA7Q266qb7nMvn6JByHDfdZNGNMOSM&#10;3rz3Zji76E3LNgq9Blvy8SjnTFkJlbarkn/+dP3ijDMfhK1EC1aVfKs8v5g/fzbrXKEm0EBbKWQE&#10;Yn3RuZI3Ibgiy7xslBF+BE5ZStaARgQ64iqrUHSEbtpskuenWQdYOQSpvKfbxZDke0R8CiDUtZZq&#10;AXJtlA0DKqpWBJLkG+08nye2da1k+FDXXgXWlpyUhvSlJhQv4zebz0SxQuEaLfcUxFMoPNJkhLbU&#10;9AC1EEGwNep/oIyWCB7qMJJgskFIcoRUjPNH3tw2wqmkhaz27mC6/3+w8v3mIzJdlXyan3JmhaGR&#10;737+2P262/3+zl5NkkWd8wVV3jqqDf1r6GlxklzvbkB+8czCVSPsSl0iQtcoURHFcTQ3O/o1DsUX&#10;PoIsu3dQUSexDpCA+hpN9I8cYYRO49kexqP6wCRdno+n05wyklLT85OXFMcOorj/2aEPbxQYFoOS&#10;I00/gYvNjQ9D6X1J7GXhWrdt2oDW/nVBmPEmkY98B+ahX/ZUHUUsodqSDIRhoeg5UdAAfuOso2Uq&#10;uf+6Fqg4a99asiIxp+1Lh+lJdJXhcWZ5nBFWElTJA2dDeBWGjV071KuGOg3mW7gk+2qdpD2w2vOm&#10;hUnm7Jc7buTxOVU9POj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Y6eUHWAAAACAEAAA8AAAAA&#10;AAAAAQAgAAAAIgAAAGRycy9kb3ducmV2LnhtbFBLAQIUABQAAAAIAIdO4kCojH6aFgIAABgEAAAO&#10;AAAAAAAAAAEAIAAAACUBAABkcnMvZTJvRG9jLnhtbFBLBQYAAAAABgAGAFkBAACt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rPr>
        <w:t>本合同已明确指出的地下障碍物（发包人招标文件提供的工程量清单有列明或提供的地质资料已明确反映的），应视为承包人在投标报价时已预见其对施工的影响，并已在合同价格中考虑。</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小时内以书面形式通知监理人和发包人，并提出处置方案。监理人在收到处置方案后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小时内予以确认或提出修正方案，并发出施工指令。承包人应按照监理人指令进行施工。发包人应承担由此增加的费用和（或）延误的工期，并向承包人支付合理利润。</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46" w:name="_Toc11530"/>
      <w:bookmarkStart w:id="147" w:name="_Toc47694285"/>
      <w:bookmarkStart w:id="148" w:name="_Toc14346"/>
      <w:r>
        <w:rPr>
          <w:rFonts w:ascii="仿宋" w:hAnsi="仿宋" w:eastAsia="仿宋" w:cs="仿宋"/>
          <w:bCs w:val="0"/>
          <w:color w:val="auto"/>
          <w:sz w:val="24"/>
          <w:szCs w:val="24"/>
          <w:highlight w:val="none"/>
        </w:rPr>
        <w:t>1</w:t>
      </w:r>
      <w:r>
        <w:rPr>
          <w:rFonts w:hint="eastAsia" w:ascii="仿宋" w:hAnsi="仿宋" w:eastAsia="仿宋" w:cs="仿宋"/>
          <w:bCs w:val="0"/>
          <w:color w:val="auto"/>
          <w:sz w:val="24"/>
          <w:szCs w:val="24"/>
          <w:highlight w:val="none"/>
        </w:rPr>
        <w:t>5</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事故处理</w:t>
      </w:r>
      <w:bookmarkEnd w:id="146"/>
      <w:bookmarkEnd w:id="147"/>
      <w:bookmarkEnd w:id="148"/>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5</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31750</wp:posOffset>
                </wp:positionV>
                <wp:extent cx="1028700" cy="523875"/>
                <wp:effectExtent l="0" t="0" r="0" b="0"/>
                <wp:wrapNone/>
                <wp:docPr id="405"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26" o:spt="202" type="#_x0000_t202" style="position:absolute;left:0pt;margin-left:-9pt;margin-top:2.5pt;height:41.25pt;width:81pt;z-index:251687936;mso-width-relative:page;mso-height-relative:page;" filled="f" stroked="f" coordsize="21600,21600" o:gfxdata="UEsDBAoAAAAAAIdO4kAAAAAAAAAAAAAAAAAEAAAAZHJzL1BLAwQUAAAACACHTuJAbFFH59UAAAAI&#10;AQAADwAAAGRycy9kb3ducmV2LnhtbE2PQU/DMAyF70j8h8hI3LakqIVS6u4A4gpiAyRuWeu1FY1T&#10;Ndla/j3eCU629Z6ev1duFjeoE02h94yQrA0o4to3PbcI77vnVQ4qRMuNHTwTwg8F2FSXF6UtGj/z&#10;G522sVUSwqGwCF2MY6F1qDtyNqz9SCzawU/ORjmnVjeTnSXcDfrGmFvtbM/yobMjPXZUf2+PDuHj&#10;5fD1mZrX9sll4+wXo9nda8Trq8Q8gIq0xD8znPEFHSph2vsjN0ENCKskly4RIZNx1tNUlj1CfpeB&#10;rkr9v0D1C1BLAwQUAAAACACHTuJAbQ6WpRgCAAAZBAAADgAAAGRycy9lMm9Eb2MueG1srVPLjtMw&#10;FN0j8Q+W9zRpaGmJmo6GqQYhDQ9p4ANcx2ksEl9z7TYpH8D8ASs27PmufgfXTqeUYTMLNpHte33u&#10;Occni4u+bdhOodNgCj4epZwpI6HUZlPwTx+vn805c16YUjRgVMH3yvGL5dMni87mKoMamlIhIxDj&#10;8s4WvPbe5kniZK1a4UZglaFiBdgKT1vcJCWKjtDbJsnS9EXSAZYWQSrn6HQ1FPkRER8DCFWlpVqB&#10;3LbK+AEVVSM8SXK1to4vI9uqUtK/ryqnPGsKTkp9/NIQWq/DN1kuRL5BYWstjxTEYyg80NQKbWjo&#10;CWolvGBb1P9AtVoiOKj8SEKbDEKiI6RinD7w5rYWVkUtZLWzJ9Pd/4OV73YfkOmy4JN0ypkRLT35&#10;4fvd4cevw89vbJaNg0WddTl13lrq9f0r6Ck4Ua6zNyA/O2bgqhZmoy4RoauVKIlivJmcXR1wXABZ&#10;d2+hpEli6yEC9RW2wT9yhBE6Pc/+9Dyq90yGkWk2n6VUklSbZs/ns2kgl4j8/rZF518raFlYFBzp&#10;+SO62N04P7Tet4RhBq5108QINOavA8IMJ5F9IDxQ9/26P7qxhnJPOhCGRNH/RIsa8CtnHaWp4O7L&#10;VqDirHljyIuX48kkxC9uJtNZRhs8r6zPK8JIgiq452xYXvkhsluLelPTpMF9A5fkX6WjtGD0wOrI&#10;mxITzTmmO0TyfB+7/vzR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sUUfn1QAAAAgBAAAPAAAA&#10;AAAAAAEAIAAAACIAAABkcnMvZG93bnJldi54bWxQSwECFAAUAAAACACHTuJAbQ6WpRgCAAAZBAAA&#10;DgAAAAAAAAABACAAAAAkAQAAZHJzL2Uyb0RvYy54bWxQSwUGAAAAAAYABgBZAQAArgUAAAAA&#10;">
                <v:fill on="f" focussize="0,0"/>
                <v:stroke on="f"/>
                <v:imagedata o:title=""/>
                <o:lock v:ext="edit" aspectratio="f"/>
                <v:textbox>
                  <w:txbxContent>
                    <w:p>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hint="eastAsia" w:ascii="仿宋" w:hAnsi="仿宋" w:eastAsia="仿宋" w:cs="仿宋"/>
          <w:color w:val="auto"/>
          <w:sz w:val="24"/>
          <w:szCs w:val="24"/>
          <w:highlight w:val="none"/>
        </w:rPr>
        <w:t>合同履行期间，合同工程发生质量与安全事故，承包人立即通知监理人和发包人。</w:t>
      </w:r>
    </w:p>
    <w:p>
      <w:pPr>
        <w:pStyle w:val="22"/>
        <w:adjustRightInd w:val="0"/>
        <w:snapToGrid w:val="0"/>
        <w:spacing w:line="480" w:lineRule="auto"/>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404" name="文本框 722"/>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Ktj4S8ZAgAAGQQAAA4AAABkcnMvZTJvRG9jLnhtbK1TzY7T&#10;MBC+I/EOlu80aVRoN2q6WrZahLT8SAsP4DpOY5F4zNhtUh4A3oATF+48V5+DsZMtZbnsgYtle8bf&#10;fN834+Vl3zZsr9BpMAWfTlLOlJFQarMt+McPN88WnDkvTCkaMKrgB+X45erpk2Vnc5VBDU2pkBGI&#10;cXlnC157b/MkcbJWrXATsMpQsAJshacjbpMSRUfobZNkafoi6QBLiyCVc3S7HoJ8RMTHAEJVaanW&#10;IHetMn5ARdUIT5Jcra3jq8i2qpT076rKKc+agpNSH1cqQvtNWJPVUuRbFLbWcqQgHkPhgaZWaENF&#10;T1Br4QXbof4HqtUSwUHlJxLaZBASHSEV0/SBN3e1sCpqIaudPZnu/h+sfLt/j0yXBZ+lM86MaKnl&#10;x+/fjj9+HX9+ZfMsCxZ11uWUeWcp1/cvoafBiXKdvQX5yTED17UwW3WFCF2tREkUp+FlcvZ0wHEB&#10;ZNO9gZIqiZ2HCNRX2Ab/yBFG6NSew6k9qvdMhpJptpinFJIUyy7m00XsXyLy+9cWnX+loGVhU3Ck&#10;9kd0sb91PrAR+X1KKGbgRjdNHIHG/HVBieEmsg+EB+q+3/SjGxsoD6QDYZgo+k+0qQG/cNbRNBXc&#10;fd4JVJw1rw15cTGdzcL4xcPs+TyjA55HNucRYSRBFdxzNmyv/TCyO4t6W1OlwX0DV+RfpaO0YPTA&#10;auRNExMVj9MdRvL8HLP+/O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WcmWXWAAAACQEAAA8A&#10;AAAAAAAAAQAgAAAAIgAAAGRycy9kb3ducmV2LnhtbFBLAQIUABQAAAAIAIdO4kCrY+EvGQIAABkE&#10;AAAOAAAAAAAAAAEAIAAAACU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val="en-US"/>
        </w:rPr>
        <w:t>1</w:t>
      </w:r>
      <w:r>
        <w:rPr>
          <w:rFonts w:hint="eastAsia" w:ascii="仿宋" w:hAnsi="仿宋" w:eastAsia="仿宋" w:cs="仿宋"/>
          <w:b/>
          <w:bCs/>
          <w:color w:val="auto"/>
          <w:sz w:val="24"/>
          <w:szCs w:val="24"/>
          <w:highlight w:val="none"/>
        </w:rPr>
        <w:t>5</w:t>
      </w:r>
      <w:r>
        <w:rPr>
          <w:rFonts w:ascii="仿宋" w:hAnsi="仿宋" w:eastAsia="仿宋" w:cs="仿宋"/>
          <w:b/>
          <w:bCs/>
          <w:color w:val="auto"/>
          <w:sz w:val="24"/>
          <w:szCs w:val="24"/>
          <w:highlight w:val="none"/>
          <w:lang w:val="en-US"/>
        </w:rPr>
        <w:t>.2</w:t>
      </w:r>
      <w:r>
        <w:rPr>
          <w:rFonts w:ascii="仿宋" w:hAnsi="仿宋" w:eastAsia="仿宋" w:cs="仿宋"/>
          <w:b/>
          <w:bCs/>
          <w:color w:val="auto"/>
          <w:sz w:val="24"/>
          <w:szCs w:val="24"/>
          <w:highlight w:val="none"/>
        </w:rPr>
        <w:t xml:space="preserve">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合同双方当事人应按照国家规定时限如实上报政府有关部门，配合政府有关部门的调查和处理，由此发生的费用和（或）延误的工期由事故责任方承担。</w:t>
      </w:r>
    </w:p>
    <w:p>
      <w:pPr>
        <w:pStyle w:val="22"/>
        <w:adjustRightInd w:val="0"/>
        <w:snapToGrid w:val="0"/>
        <w:spacing w:line="48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373380</wp:posOffset>
                </wp:positionV>
                <wp:extent cx="1028700" cy="297180"/>
                <wp:effectExtent l="0" t="0" r="0" b="0"/>
                <wp:wrapNone/>
                <wp:docPr id="403"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26" o:spt="202" type="#_x0000_t202" style="position:absolute;left:0pt;margin-left:-9pt;margin-top:29.4pt;height:23.4pt;width:81pt;z-index:251689984;mso-width-relative:page;mso-height-relative:page;" filled="f" stroked="f" coordsize="21600,21600" o:gfxdata="UEsDBAoAAAAAAIdO4kAAAAAAAAAAAAAAAAAEAAAAZHJzL1BLAwQUAAAACACHTuJAafztOtcAAAAK&#10;AQAADwAAAGRycy9kb3ducmV2LnhtbE2PQU/DMAyF70j8h8hIu21Jp3YqpekOoF2HGAOJW9Z4bUXj&#10;VE22ln+Pd4Kb7ff0/L1yO7teXHEMnScNyUqBQKq97ajRcHzfLXMQIRqypveEGn4wwLa6vytNYf1E&#10;b3g9xEZwCIXCaGhjHAopQ92iM2HlByTWzn50JvI6NtKOZuJw18u1UhvpTEf8oTUDPrdYfx8uTsPH&#10;/vz1marX5sVlw+RnJck9Sq0XD4l6AhFxjn9muOEzOlTMdPIXskH0GpZJzl2ihiznCjdDmvLhxIPK&#10;NiCrUv6vUP0CUEsDBBQAAAAIAIdO4kAFdJ7lGgIAABkEAAAOAAAAZHJzL2Uyb0RvYy54bWytU8GO&#10;0zAQvSPxD5bvNGm20G7UdLVstQhpgZUWPsB1nMYi8Zix26R8APwBJy7c97v6HYydbinLZQ9cLNsz&#10;fvPem/H8om8btlXoNJiCj0cpZ8pIKLVZF/zTx+sXM86cF6YUDRhV8J1y/GLx/Nm8s7nKoIamVMgI&#10;xLi8swWvvbd5kjhZq1a4EVhlKFgBtsLTEddJiaIj9LZJsjR9lXSApUWQyjm6XQ5BfkDEpwBCVWmp&#10;liA3rTJ+QEXVCE+SXK2t44vItqqU9B+qyinPmoKTUh9XKkL7VViTxVzkaxS21vJAQTyFwiNNrdCG&#10;ih6hlsILtkH9D1SrJYKDyo8ktMkgJDpCKsbpI2/uamFV1EJWO3s03f0/WPl+e4tMlwWfpGecGdFS&#10;y/c/vu9/3u9/fWPT7CxY1FmXU+adpVzfv4aeBifKdfYG5GfHDFzVwqzVJSJ0tRIlURyHl8nJ0wHH&#10;BZBV9w5KqiQ2HiJQX2Eb/CNHGKFTe3bH9qjeMxlKptlsmlJIUiw7n45nsX+JyB9eW3T+jYKWhU3B&#10;kdof0cX2xvnARuQPKaGYgWvdNHEEGvPXBSWGm8g+EB6o+37VH9xYQbkjHQjDRNF/ok0N+JWzjqap&#10;4O7LRqDirHlryIvz8WQSxi8eJi+nGR3wNLI6jQgjCargnrNhe+WHkd1Y1OuaKg3uG7gk/yodpQWj&#10;B1YH3jQxUfFhusNInp5j1p8fv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fztOtcAAAAKAQAA&#10;DwAAAAAAAAABACAAAAAiAAAAZHJzL2Rvd25yZXYueG1sUEsBAhQAFAAAAAgAh07iQAV0nuUaAgAA&#10;GQQAAA4AAAAAAAAAAQAgAAAAJg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val="en-US"/>
        </w:rPr>
        <w:t>1</w:t>
      </w:r>
      <w:r>
        <w:rPr>
          <w:rFonts w:hint="eastAsia" w:ascii="仿宋" w:hAnsi="仿宋" w:eastAsia="仿宋" w:cs="仿宋"/>
          <w:b/>
          <w:bCs/>
          <w:color w:val="auto"/>
          <w:sz w:val="24"/>
          <w:szCs w:val="24"/>
          <w:highlight w:val="none"/>
        </w:rPr>
        <w:t>5</w:t>
      </w:r>
      <w:r>
        <w:rPr>
          <w:rFonts w:ascii="仿宋" w:hAnsi="仿宋" w:eastAsia="仿宋" w:cs="仿宋"/>
          <w:b/>
          <w:bCs/>
          <w:color w:val="auto"/>
          <w:sz w:val="24"/>
          <w:szCs w:val="24"/>
          <w:highlight w:val="none"/>
          <w:lang w:val="en-US"/>
        </w:rPr>
        <w:t>.3</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合同双方当事人对事故责任有争议时，应按照政府有关部门的认定处理。</w:t>
      </w:r>
    </w:p>
    <w:p>
      <w:pPr>
        <w:pStyle w:val="22"/>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49" w:name="_Toc16844"/>
      <w:bookmarkStart w:id="150" w:name="_Toc28782"/>
      <w:bookmarkStart w:id="151" w:name="_Toc47694286"/>
      <w:r>
        <w:rPr>
          <w:rFonts w:ascii="仿宋" w:hAnsi="仿宋" w:eastAsia="仿宋" w:cs="仿宋"/>
          <w:bCs w:val="0"/>
          <w:color w:val="auto"/>
          <w:sz w:val="24"/>
          <w:szCs w:val="24"/>
          <w:highlight w:val="none"/>
        </w:rPr>
        <w:t>1</w:t>
      </w:r>
      <w:r>
        <w:rPr>
          <w:rFonts w:hint="eastAsia" w:ascii="仿宋" w:hAnsi="仿宋" w:eastAsia="仿宋" w:cs="仿宋"/>
          <w:bCs w:val="0"/>
          <w:color w:val="auto"/>
          <w:sz w:val="24"/>
          <w:szCs w:val="24"/>
          <w:highlight w:val="none"/>
        </w:rPr>
        <w:t>6</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交通运输</w:t>
      </w:r>
      <w:bookmarkEnd w:id="149"/>
      <w:bookmarkEnd w:id="150"/>
      <w:bookmarkEnd w:id="151"/>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286385</wp:posOffset>
                </wp:positionV>
                <wp:extent cx="1028700" cy="523875"/>
                <wp:effectExtent l="0" t="0" r="0" b="0"/>
                <wp:wrapNone/>
                <wp:docPr id="402"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26" o:spt="202" type="#_x0000_t202" style="position:absolute;left:0pt;margin-left:-9pt;margin-top:22.55pt;height:41.25pt;width:81pt;z-index:251691008;mso-width-relative:page;mso-height-relative:page;" filled="f" stroked="f" coordsize="21600,21600" o:gfxdata="UEsDBAoAAAAAAIdO4kAAAAAAAAAAAAAAAAAEAAAAZHJzL1BLAwQUAAAACACHTuJAb8BhZ9g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ek8AXE3pCkfzjzM&#10;lguQRS7/Vyh+AVBLAwQUAAAACACHTuJA+dm+AxoCAAAZBAAADgAAAGRycy9lMm9Eb2MueG1srVPL&#10;jtMwFN0j8Q+W9zRpaGmJmo6GqQYhDQ9p4ANcx2ksEl9z7TYpH8D8ASs27PmufgfXTqeUYTMLNpHt&#10;e33uOccni4u+bdhOodNgCj4epZwpI6HUZlPwTx+vn805c16YUjRgVMH3yvGL5dMni87mKoMamlIh&#10;IxDj8s4WvPbe5kniZK1a4UZglaFiBdgKT1vcJCWKjtDbJsnS9EXSAZYWQSrn6HQ1FPkRER8DCFWl&#10;pVqB3LbK+AEVVSM8SXK1to4vI9uqUtK/ryqnPGsKTkp9/NIQWq/DN1kuRL5BYWstjxTEYyg80NQK&#10;bWjoCWolvGBb1P9AtVoiOKj8SEKbDEKiI6RinD7w5rYWVkUtZLWzJ9Pd/4OV73YfkOmy4JM048yI&#10;lp788P3u8OPX4ec3NssmwaLOupw6by31+v4V9BScKNfZG5CfHTNwVQuzUZeI0NVKlERxHG4mZ1cH&#10;HBdA1t1bKGmS2HqIQH2FbfCPHGGETs+zPz2P6j2TYWSazWcplSTVptnz+WwaR4j8/rZF518raFlY&#10;FBzp+SO62N04H9iI/L4lDDNwrZsmRqAxfx1QYziJ7APhgbrv1/3RjTWUe9KBMCSK/ida1IBfOeso&#10;TQV3X7YCFWfNG0NevBxPJiF+cTOZzjLa4HllfV4RRhJUwT1nw/LKD5HdWtSbmiYN7hu4JP8qHaUF&#10;owdWR96UmKj4mO4QyfN97PrzR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AYWfYAAAACgEA&#10;AA8AAAAAAAAAAQAgAAAAIgAAAGRycy9kb3ducmV2LnhtbFBLAQIUABQAAAAIAIdO4kD52b4DGgIA&#10;ABkEAAAOAAAAAAAAAAEAIAAAACcBAABkcnMvZTJvRG9jLnhtbFBLBQYAAAAABgAGAFkBAACzBQAA&#10;AAA=&#10;">
                <v:fill on="f" focussize="0,0"/>
                <v:stroke on="f"/>
                <v:imagedata o:title=""/>
                <o:lock v:ext="edit" aspectratio="f"/>
                <v:textbox>
                  <w:txbxContent>
                    <w:p>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rPr>
        <w:t>.1</w:t>
      </w:r>
    </w:p>
    <w:p>
      <w:pPr>
        <w:pStyle w:val="2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pPr>
        <w:pStyle w:val="22"/>
        <w:widowControl w:val="0"/>
        <w:tabs>
          <w:tab w:val="left" w:pos="1202"/>
        </w:tabs>
        <w:adjustRightInd w:val="0"/>
        <w:snapToGrid w:val="0"/>
        <w:spacing w:line="360" w:lineRule="auto"/>
        <w:ind w:left="1850" w:leftChars="771"/>
        <w:jc w:val="both"/>
        <w:rPr>
          <w:color w:val="auto"/>
          <w:highlight w:val="none"/>
        </w:rPr>
      </w:pPr>
      <w:r>
        <w:rPr>
          <w:rFonts w:ascii="仿宋" w:hAnsi="仿宋" w:eastAsia="仿宋" w:cs="仿宋"/>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22"/>
        <w:tabs>
          <w:tab w:val="left" w:pos="1202"/>
        </w:tabs>
        <w:adjustRightInd w:val="0"/>
        <w:snapToGrid w:val="0"/>
        <w:spacing w:line="360" w:lineRule="auto"/>
        <w:ind w:left="1350" w:leftChars="1" w:hanging="1348" w:hangingChars="674"/>
        <w:rPr>
          <w:rFonts w:ascii="仿宋" w:hAnsi="仿宋" w:eastAsia="仿宋" w:cs="仿宋"/>
          <w:color w:val="auto"/>
          <w:sz w:val="24"/>
          <w:szCs w:val="24"/>
          <w:highlight w:val="none"/>
          <w:u w:val="dotted"/>
        </w:rPr>
      </w:pPr>
      <w:r>
        <w:rPr>
          <w:color w:val="auto"/>
          <w:highlight w:val="none"/>
          <w:lang w:val="en-US"/>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401" name="文本框 725"/>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YfyUZRoCAAAZBAAADgAAAGRycy9lMm9Eb2MueG1srVPL&#10;jtMwFN0j8Q+W9zRpaGmJmo6GqQYhDQ9p4ANcx2ksEl9z7TYpH8D8ASs27PmufgfXTqeUYTMLNpHt&#10;e33uOccni4u+bdhOodNgCj4epZwpI6HUZlPwTx+vn805c16YUjRgVMH3yvGL5dMni87mKoMamlIh&#10;IxDj8s4WvPbe5kniZK1a4UZglaFiBdgKT1vcJCWKjtDbJsnS9EXSAZYWQSrn6HQ1FPkRER8DCFWl&#10;pVqB3LbK+AEVVSM8SXK1to4vI9uqUtK/ryqnPGsKTkp9/NIQWq/DN1kuRL5BYWstjxTEYyg80NQK&#10;bWjoCWolvGBb1P9AtVoiOKj8SEKbDEKiI6RinD7w5rYWVkUtZLWzJ9Pd/4OV73YfkOmy4JN0zJkR&#10;LT354fvd4cevw89vbJZNg0WddTl13lrq9f0r6Ck4Ua6zNyA/O2bgqhZmoy4RoauVKIniONxMzq4O&#10;OC6ArLu3UNIksfUQgfoK2+AfOcIInZ5nf3oe1Xsmw8g0m89SKkmqTbPn81kkl4j8/rZF518raFlY&#10;FBzp+SO62N04H9iI/L4lDDNwrZsmRqAxfx1QYziJ7APhgbrv1/3RjTWUe9KBMCSK/ida1IBfOeso&#10;TQV3X7YCFWfNG0NevBxPJiF+cTOZzjLa4HllfV4RRhJUwT1nw/LKD5HdWtSbmiYN7hu4JP8qHaUF&#10;owdWR96UmKj4mO4QyfN97PrzR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SeK5nYAAAACgEA&#10;AA8AAAAAAAAAAQAgAAAAIgAAAGRycy9kb3ducmV2LnhtbFBLAQIUABQAAAAIAIdO4kBh/JRlGgIA&#10;ABkEAAAOAAAAAAAAAAEAIAAAACcBAABkcnMvZTJvRG9jLnhtbFBLBQYAAAAABgAGAFkBAACzBQAA&#10;AAA=&#10;">
                <v:fill on="f" focussize="0,0"/>
                <v:stroke on="f"/>
                <v:imagedata o:title=""/>
                <o:lock v:ext="edit" aspectratio="f"/>
                <v:textbox>
                  <w:txbxContent>
                    <w:p>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val="en-US"/>
        </w:rPr>
        <w:t>1</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除专用条款另有约定外，承包人应负责修建、维修、养护和管理施工场地内所需的临时道路和交通设施，包括维修、养护和管理发包人提供的道路和交通设施，并承担相应费用。</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承包人修建的临时道路和交通设施应免费提供发包人使用。</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400"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KeR4+8ZAgAAGQQAAA4AAABkcnMvZTJvRG9jLnhtbK1TwW4T&#10;MRC9I/EPlu9kN6vQpKtsqtKoCKlApcIHOF5v1mLXY8ZOdsMHwB/0xIU735Xv6NibhlAuPXCxxp7x&#10;m/eex/OLvm3YVqHTYAo+HqWcKSOh1GZd8M+frl/NOHNemFI0YFTBd8rxi8XLF/PO5iqDGppSISMQ&#10;4/LOFrz23uZJ4mStWuFGYJWhZAXYCk9bXCclio7Q2ybJ0vQs6QBLiyCVc3S6HJL8gIjPAYSq0lIt&#10;QW5aZfyAiqoRniS5WlvHF5FtVSnpP1aVU541BSelPq7UhOJVWJPFXORrFLbW8kBBPIfCE02t0Iaa&#10;HqGWwgu2Qf0PVKslgoPKjyS0ySAkOkIqxukTb+5qYVXUQlY7ezTd/T9Y+WF7i0yXBZ+k5IkRLT35&#10;/v7H/ufv/a/vbJqdBYs663KqvLNU6/s30NPgRLnO3oD84piBq1qYtbpEhK5WoiSK43AzObk64LgA&#10;sureQ0mdxMZDBOorbIN/5AgjdKKyOz6P6j2ToWWazaaBpaRcdj4dz+L7JSJ/vG3R+bcKWhaCgiM9&#10;f0QX2xvnAxuRP5aEZgauddPEEWjMXwdUGE4i+0B4oO77VX9wYwXljnQgDBNF/4mCGvAbZx1NU8Hd&#10;141AxVnzzpAX5+PJhIj7uJm8nma0wdPM6jQjjCSognvOhvDKDyO7sajXNXUa3DdwSf5VOkoLRg+s&#10;DrxpYqLiw3SHkTzdx6o/P3r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WcmWXWAAAACQEAAA8A&#10;AAAAAAAAAQAgAAAAIgAAAGRycy9kb3ducmV2LnhtbFBLAQIUABQAAAAIAIdO4kCnkePvGQIAABkE&#10;AAAOAAAAAAAAAAEAIAAAACU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val="en-US"/>
        </w:rPr>
        <w:t>1</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.3</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val="en-US"/>
        </w:rPr>
      </w:pPr>
      <w:r>
        <w:rPr>
          <w:rFonts w:hint="eastAsia" w:ascii="仿宋" w:hAnsi="仿宋" w:eastAsia="仿宋" w:cs="仿宋"/>
          <w:color w:val="auto"/>
          <w:sz w:val="24"/>
          <w:szCs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99"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BeU6uGgIAABkEAAAOAAAAZHJzL2Uyb0RvYy54bWytU82O&#10;0zAQviPxDpbvNGkp7TZqulq2WoS0/EgLD+A6TmOReMzYbVIeAN6AExfuPFefg7GTLWW57IGLZXvG&#10;33zfN+PlZdfUbK/QaTA5H49SzpSRUGizzfnHDzfPLjhzXphC1GBUzg/K8cvV0yfL1mZqAhXUhUJG&#10;IMZlrc155b3NksTJSjXCjcAqQ8ESsBGejrhNChQtoTd1MknTWdICFhZBKufodt0H+YCIjwGEstRS&#10;rUHuGmV8j4qqFp4kuUpbx1eRbVkq6d+VpVOe1TknpT6uVIT2m7Amq6XItihspeVAQTyGwgNNjdCG&#10;ip6g1sILtkP9D1SjJYKD0o8kNEkvJDpCKsbpA2/uKmFV1EJWO3sy3f0/WPl2/x6ZLnL+fLHgzIiG&#10;Wn78/u3449fx51c2n8yDRa11GWXeWcr13UvoaHCiXGdvQX5yzMB1JcxWXSFCWylREMVxeJmcPe1x&#10;XADZtG+goEpi5yECdSU2wT9yhBE6tedwao/qPJOhZDq5mKcUkhSbzmbpIvYvEdn9a4vOv1LQsLDJ&#10;OVL7I7rY3zof2IjsPiUUM3Cj6zqOQG3+uqDEcBPZB8I9dd9tusGNDRQH0oHQTxT9J9pUgF84a2ma&#10;cu4+7wQqzurXhrxYjKfTMH7xMH0xn9ABzyOb84gwkqBy7jnrt9e+H9mdRb2tqFLvvoEr8q/UUVow&#10;umc18KaJiYqH6Q4jeX6OWX9+9O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9Iqt9cAAAAKAQAA&#10;DwAAAAAAAAABACAAAAAiAAAAZHJzL2Rvd25yZXYueG1sUEsBAhQAFAAAAAgAh07iQEF5Tq4aAgAA&#10;GQQAAA4AAAAAAAAAAQAgAAAAJg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ascii="仿宋" w:hAnsi="仿宋" w:eastAsia="仿宋" w:cs="仿宋"/>
          <w:b/>
          <w:bCs/>
          <w:color w:val="auto"/>
          <w:sz w:val="24"/>
          <w:szCs w:val="24"/>
          <w:highlight w:val="none"/>
          <w:lang w:val="en-US"/>
        </w:rPr>
        <w:t>1</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.4</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398"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RZZ0cGgIAABkEAAAOAAAAZHJzL2Uyb0RvYy54bWytU82O&#10;0zAQviPxDpbvNGkp/YmarpatFiEtsNLCA7iO01gkHjN2m5QHgDfgxIX7Plefg7HTLWW57IGLZXvG&#10;33zfN+PFRdfUbKfQaTA5Hw5SzpSRUGizyfmnj9cvZpw5L0whajAq53vl+MXy+bNFazM1ggrqQiEj&#10;EOOy1ua88t5mSeJkpRrhBmCVoWAJ2AhPR9wkBYqW0Js6GaXpJGkBC4sglXN0u+qD/IiITwGEstRS&#10;rUBuG2V8j4qqFp4kuUpbx5eRbVkq6T+UpVOe1TknpT6uVIT267Amy4XINihspeWRgngKhUeaGqEN&#10;FT1BrYQXbIv6H6hGSwQHpR9IaJJeSHSEVAzTR97cVcKqqIWsdvZkuvt/sPL97haZLnL+ck6NN6Kh&#10;lh9+fD/8vD/8+samo1mwqLUuo8w7S7m+ew0dDU6U6+wNyM+OGbiqhNmoS0RoKyUKojgML5Ozpz2O&#10;CyDr9h0UVElsPUSgrsQm+EeOMEKn9uxP7VGdZzKUTEezaUohSbHxZJLOY/8SkT28tuj8GwUNC5uc&#10;I7U/oovdjfOBjcgeUkIxA9e6ruMI1OavC0oMN5F9INxT9926O7qxhmJPOhD6iaL/RJsK8CtnLU1T&#10;zt2XrUDFWf3WkBfz4Xgcxi8exq+mIzrgeWR9HhFGElTOPWf99sr3I7u1qDcVVerdN3BJ/pU6SgtG&#10;96yOvGliouLjdIeRPD/HrD8/ev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9Iqt9cAAAAKAQAA&#10;DwAAAAAAAAABACAAAAAiAAAAZHJzL2Rvd25yZXYueG1sUEsBAhQAFAAAAAgAh07iQJFlnRwaAgAA&#10;GQQAAA4AAAAAAAAAAQAgAAAAJg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ascii="仿宋" w:hAnsi="仿宋" w:eastAsia="仿宋" w:cs="仿宋"/>
          <w:b/>
          <w:bCs/>
          <w:color w:val="auto"/>
          <w:sz w:val="24"/>
          <w:szCs w:val="24"/>
          <w:highlight w:val="none"/>
          <w:lang w:val="en-US"/>
        </w:rPr>
        <w:t>1</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.5</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因承包人运输造成施工场地内外公共道路和桥梁损坏的，由承包人承担修复损坏的全部费用和可能引起的赔偿。</w:t>
      </w: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397" name="文本框 729"/>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w:pict>
              <v:shape id="文本框 729"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AyWrA9GwIAABkEAAAOAAAAZHJzL2Uyb0RvYy54bWytU0tu&#10;2zAQ3RfoHQjua8mfxrZgOUhjpCiQfoC0B6ApyiIqcdghbck9QHODrrrpvufyOTqkHNdNN1l0Q5Cc&#10;4Zv33gwXl11Ts51Cp8HkfDhIOVNGQqHNJuefPt68mHHmvDCFqMGonO+V45fL588Wrc3UCCqoC4WM&#10;QIzLWpvzynubJYmTlWqEG4BVhoIlYCM8HXGTFChaQm/qZJSmF0kLWFgEqZyj21Uf5EdEfAoglKWW&#10;agVy2yjje1RUtfAkyVXaOr6MbMtSSf++LJ3yrM45KfVxpSK0X4c1WS5EtkFhKy2PFMRTKDzS1Aht&#10;qOgJaiW8YFvU/0A1WiI4KP1AQpP0QqIjpGKYPvLmrhJWRS1ktbMn093/g5Xvdh+Q6SLn4/mUMyMa&#10;avnh+/3hx6/Dz29sOpoHi1rrMsq8s5Tru1fQ0eBEuc7egvzsmIHrSpiNukKEtlKiIIrD8DI5e9rj&#10;uACybt9CQZXE1kME6kpsgn/kCCN0as/+1B7VeSZDyXQ0m6YUkhS7SGfjcexfIrKH1xadf62gYWGT&#10;c6T2R3Sxu3U+sBHZQ0ooZuBG13Ucgdr8dUGJ4SayD4R76r5bd0c31lDsSQdCP1H0n2hTAX7lrKVp&#10;yrn7shWoOKvfGPJiPpxMwvjFw+TldEQHPI+szyPCSILKuees3177fmS3FvWmokq9+wauyL9SR2nB&#10;6J7VkTdNTFR8nO4wkufnmPXnR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imnUnXAAAACgEA&#10;AA8AAAAAAAAAAQAgAAAAIgAAAGRycy9kb3ducmV2LnhtbFBLAQIUABQAAAAIAIdO4kAyWrA9GwIA&#10;ABkEAAAOAAAAAAAAAAEAIAAAACY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ascii="仿宋" w:hAnsi="仿宋" w:eastAsia="仿宋" w:cs="仿宋"/>
          <w:b/>
          <w:bCs/>
          <w:color w:val="auto"/>
          <w:sz w:val="24"/>
          <w:szCs w:val="24"/>
          <w:highlight w:val="none"/>
          <w:lang w:val="en-US"/>
        </w:rPr>
        <w:t>1</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.6</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本条内容适用于水路运输和航空运输，其中“道路”包括河道、航线、船闸、机场、码头、堤防以及水路或航空运输中其他相似结构物；“车辆”包括船舶和飞机等。</w:t>
      </w:r>
    </w:p>
    <w:p>
      <w:pPr>
        <w:pStyle w:val="22"/>
        <w:tabs>
          <w:tab w:val="left" w:pos="1202"/>
        </w:tabs>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52" w:name="_Toc9176"/>
      <w:bookmarkStart w:id="153" w:name="_Toc47694287"/>
      <w:bookmarkStart w:id="154" w:name="_Toc27974"/>
      <w:r>
        <w:rPr>
          <w:rFonts w:ascii="仿宋" w:hAnsi="仿宋" w:eastAsia="仿宋" w:cs="仿宋"/>
          <w:bCs w:val="0"/>
          <w:color w:val="auto"/>
          <w:sz w:val="24"/>
          <w:szCs w:val="24"/>
          <w:highlight w:val="none"/>
        </w:rPr>
        <w:t>1</w:t>
      </w:r>
      <w:r>
        <w:rPr>
          <w:rFonts w:hint="eastAsia" w:ascii="仿宋" w:hAnsi="仿宋" w:eastAsia="仿宋" w:cs="仿宋"/>
          <w:bCs w:val="0"/>
          <w:color w:val="auto"/>
          <w:sz w:val="24"/>
          <w:szCs w:val="24"/>
          <w:highlight w:val="none"/>
        </w:rPr>
        <w:t>7</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专项批准事项的签认</w:t>
      </w:r>
      <w:bookmarkEnd w:id="152"/>
      <w:bookmarkEnd w:id="153"/>
      <w:bookmarkEnd w:id="154"/>
    </w:p>
    <w:p>
      <w:pPr>
        <w:pStyle w:val="22"/>
        <w:tabs>
          <w:tab w:val="left" w:pos="1202"/>
        </w:tabs>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396"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BbGqthkCAAAYBAAADgAAAGRycy9lMm9Eb2MueG1srVNL&#10;btswEN0X6B0I7mvJjj+JYDlIY6QokH6AtAegKcoiKnHYIW3JPUBzg6666b7n8jk6pBzHTTdZdEOQ&#10;nOGb994M55ddU7OtQqfB5Hw4SDlTRkKhzTrnnz/dvDrnzHlhClGDUTnfKccvFy9fzFubqRFUUBcK&#10;GYEYl7U255X3NksSJyvVCDcAqwwFS8BGeDriOilQtITe1MkoTadJC1hYBKmco9tlH+QHRHwOIJSl&#10;lmoJctMo43tUVLXwJMlV2jq+iGzLUkn/oSyd8qzOOSn1caUitF+FNVnMRbZGYSstDxTEcyg80dQI&#10;bajoEWopvGAb1P9ANVoiOCj9QEKT9EKiI6RimD7x5q4SVkUtZLWzR9Pd/4OV77cfkeki52cXU86M&#10;aKjl+x/3+5+/97++s9lZtKi1LqPMO0u5vnsNHQ1OlOvsLcgvjhm4roRZqytEaCslCqI4DOYmJ09D&#10;U1zmAsiqfQcFVRIbDxGoK7EJ/pEjjNCpPbtje1TnmaTLi+F4nFJEUuh8NplOJ7GCyB4eW3T+jYKG&#10;hU3OkbofwcX21vlARmQPKaGWgRtd13ECavPXBSWGm0g+8O2Z+27VUXYQsYJiRzIQ+oGi70SbCvAb&#10;Zy0NU87d141AxVn91pAVkTlNXzyMJ7MRqcDTyOo0IowkqJx7zvrtte8ndmNRryuq1Jtv4IrsK3WU&#10;9sjqwJsGJio+DHeYyNNzzHr80I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HBLGNgAAAAKAQAA&#10;DwAAAAAAAAABACAAAAAiAAAAZHJzL2Rvd25yZXYueG1sUEsBAhQAFAAAAAgAh07iQAWxqrYZAgAA&#10;GAQAAA4AAAAAAAAAAQAgAAAAJw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7</w:t>
      </w:r>
      <w:r>
        <w:rPr>
          <w:rFonts w:ascii="仿宋" w:hAnsi="仿宋" w:eastAsia="仿宋" w:cs="仿宋"/>
          <w:b/>
          <w:bCs/>
          <w:color w:val="auto"/>
          <w:sz w:val="24"/>
          <w:szCs w:val="24"/>
          <w:highlight w:val="none"/>
        </w:rPr>
        <w:t>.1</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合同履行期间，合同工程发生第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6</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7</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8</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7</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款规定对发生的专项批准事项予以签认，并及时将发生事项的相关资料整理、归档，同时按第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6</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7</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8</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款规定职权将其中一份送设计顾问人、监理人和（或）造价咨询人留存。</w:t>
      </w:r>
    </w:p>
    <w:p>
      <w:pPr>
        <w:pStyle w:val="22"/>
        <w:tabs>
          <w:tab w:val="left" w:pos="2160"/>
        </w:tabs>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lang w:val="en-US"/>
        </w:rPr>
        <w:t>1</w:t>
      </w:r>
      <w:r>
        <w:rPr>
          <w:rFonts w:hint="eastAsia" w:ascii="仿宋" w:hAnsi="仿宋" w:eastAsia="仿宋" w:cs="仿宋"/>
          <w:b/>
          <w:bCs/>
          <w:color w:val="auto"/>
          <w:sz w:val="24"/>
          <w:szCs w:val="24"/>
          <w:highlight w:val="none"/>
        </w:rPr>
        <w:t>7</w:t>
      </w:r>
      <w:r>
        <w:rPr>
          <w:rFonts w:ascii="仿宋" w:hAnsi="仿宋" w:eastAsia="仿宋" w:cs="仿宋"/>
          <w:b/>
          <w:bCs/>
          <w:color w:val="auto"/>
          <w:sz w:val="24"/>
          <w:szCs w:val="24"/>
          <w:highlight w:val="none"/>
          <w:lang w:val="en-US"/>
        </w:rPr>
        <w:t>.2</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395"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N/jtJoYAgAAGAQAAA4AAABkcnMvZTJvRG9jLnhtbK1TS27bMBDd&#10;F+gdCO5r2Y7tJILlII2RokD6AdIegKYoi6jEYYe0JfcA7Q266qb7nsvn6JB0XDfdZNGNQHKGb957&#10;fJpf9W3DtgqdBlPw0WDImTISSm3WBf/44fbFBWfOC1OKBowq+E45frV4/mze2VyNoYamVMgIxLi8&#10;swWvvbd5ljlZq1a4AVhlqFgBtsLTFtdZiaIj9LbJxsPhLOsAS4sglXN0ukxFfkDEpwBCVWmpliA3&#10;rTI+oaJqhCdJrtbW8UVkW1VK+ndV5ZRnTcFJqY9fGkLrVfhmi7nI1yhsreWBgngKhUeaWqENDT1C&#10;LYUXbIP6H6hWSwQHlR9IaLMkJDpCKkbDR97c18KqqIWsdvZouvt/sPLt9j0yXRb87HLKmREtPfn+&#10;+7f9j1/7n1/Z+dkoWNRZl1PnvaVe37+EnoIT5Tp7B/KTYwZuamHW6hoRulqJkijGm9nJ1YTjAsiq&#10;ewMlTRIbDxGor7AN/pEjjNDpeXbH51G9Z5IOL0eTyZAqkkoX59PZbBq4ZSJ/uGzR+VcKWhYWBUd6&#10;/QgutnfOp9aHljDLwK1umpiAxvx1QJjhJJIPfBNz36/6gxkrKHckAyEFin4nWtSAXzjrKEwFd583&#10;AhVnzWtDVkTmlL64mUzPx6QCTyur04owkqAK7jlLyxufEruxqNc1TUrmG7gm+yodpQWfE6sDbwpM&#10;NOcQ7pDI033s+vND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qRuYtMAAAAGAQAADwAAAAAA&#10;AAABACAAAAAiAAAAZHJzL2Rvd25yZXYueG1sUEsBAhQAFAAAAAgAh07iQN/jtJoYAgAAGAQAAA4A&#10;AAAAAAAAAQAgAAAAIgEAAGRycy9lMm9Eb2MueG1sUEsFBgAAAAAGAAYAWQEAAKwFA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6</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7</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8</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9</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规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55" w:name="_Toc13636"/>
      <w:bookmarkStart w:id="156" w:name="_Toc2062"/>
      <w:bookmarkStart w:id="157" w:name="_Toc47694288"/>
      <w:r>
        <w:rPr>
          <w:rFonts w:ascii="仿宋" w:hAnsi="仿宋" w:eastAsia="仿宋" w:cs="仿宋"/>
          <w:bCs w:val="0"/>
          <w:color w:val="auto"/>
          <w:sz w:val="24"/>
          <w:szCs w:val="24"/>
          <w:highlight w:val="none"/>
        </w:rPr>
        <w:t>1</w:t>
      </w:r>
      <w:r>
        <w:rPr>
          <w:rFonts w:hint="eastAsia" w:ascii="仿宋" w:hAnsi="仿宋" w:eastAsia="仿宋" w:cs="仿宋"/>
          <w:bCs w:val="0"/>
          <w:color w:val="auto"/>
          <w:sz w:val="24"/>
          <w:szCs w:val="24"/>
          <w:highlight w:val="none"/>
        </w:rPr>
        <w:t>8</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专利技术和知识产权</w:t>
      </w:r>
      <w:bookmarkEnd w:id="155"/>
      <w:bookmarkEnd w:id="156"/>
      <w:bookmarkEnd w:id="157"/>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8</w:t>
      </w:r>
      <w:r>
        <w:rPr>
          <w:rFonts w:ascii="仿宋" w:hAnsi="仿宋" w:eastAsia="仿宋" w:cs="仿宋"/>
          <w:b/>
          <w:bCs/>
          <w:color w:val="auto"/>
          <w:sz w:val="24"/>
          <w:szCs w:val="24"/>
          <w:highlight w:val="none"/>
        </w:rPr>
        <w:t>.1</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94"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Lk4IGoZAgAAGAQAAA4AAABkcnMvZTJvRG9jLnhtbK1TS27b&#10;MBDdF+gdCO5ryY7TJILlII2RokD6AdIegKYoi6jIYYe0JfcAzQ266qb7nsvn6JByXDfdZNGNQHKG&#10;b957fJpd9qZlG4Vegy35eJRzpqyESttVyT99vHlxzpkPwlaiBatKvlWeX86fP5t1rlATaKCtFDIC&#10;sb7oXMmbEFyRZV42ygg/AqcsFWtAIwJtcZVVKDpCN202yfOXWQdYOQSpvKfTxVDke0R8CiDUtZZq&#10;AXJtlA0DKqpWBJLkG+08nye2da1keF/XXgXWlpyUhvSlIbRexm82n4lihcI1Wu4piKdQeKTJCG1p&#10;6AFqIYJga9T/QBktETzUYSTBZIOQ5AipGOePvLlrhFNJC1nt3cF0//9g5bvNB2S6KvnJxZQzKww9&#10;+e77/e7Hr93Pb+zsZBIt6pwvqPPOUW/oX0FPwUlyvbsF+dkzC9eNsCt1hQhdo0RFFMfxZnZ0dcDx&#10;EWTZvYWKJol1gATU12iif+QII3R6nu3heVQfmKTDi/F0mlNFUml6Nj7PT9MEUTxcdujDawWGxUXJ&#10;kV4/gYvNrQ+RjCgeWuIsCze6bVMCWvvXATXGk0Q+8h2Yh37Z781YQrUlGQhDoOh3okUD+JWzjsJU&#10;cv9lLVBx1r6xZEViTulLm+np2YRU4HFleVwRVhJUyQNnw/I6DIldO9SrhiYN5lu4IvtqnaRFnwdW&#10;e94UmKR4H+6YyON96vrzQ8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ptk6TWAAAACAEAAA8A&#10;AAAAAAAAAQAgAAAAIgAAAGRycy9kb3ducmV2LnhtbFBLAQIUABQAAAAIAIdO4kC5OCBqGQIAABgE&#10;AAAOAAAAAAAAAAEAIAAAACU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rPr>
        <w:t>承包人在勘察、设计、施工并保修合同工程过程中，如因采用勘察设计方法、施工工艺或使用施工设备及自身供应的材料和工程设备，而发生侵犯他人设计图纸、商标、图案、工艺、材料、设备专利权或知识产权的行为，并引起索赔或诉讼，则一切与此有关的损失、赔偿、诉讼等责任，均由承包人承担。但由于遵守发包人提供的项目基础资料、标准与规范、技术说明和发包人要求而造成的侵权，则属例外。</w:t>
      </w:r>
    </w:p>
    <w:p>
      <w:pPr>
        <w:pStyle w:val="22"/>
        <w:adjustRightInd w:val="0"/>
        <w:snapToGrid w:val="0"/>
        <w:spacing w:line="360" w:lineRule="auto"/>
        <w:rPr>
          <w:rFonts w:ascii="仿宋" w:hAnsi="仿宋" w:eastAsia="仿宋"/>
          <w:b/>
          <w:bCs/>
          <w:color w:val="auto"/>
          <w:sz w:val="24"/>
          <w:szCs w:val="24"/>
          <w:highlight w:val="none"/>
        </w:rPr>
      </w:pPr>
      <w:bookmarkStart w:id="158" w:name="_Toc8205"/>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8</w:t>
      </w:r>
      <w:r>
        <w:rPr>
          <w:rFonts w:ascii="仿宋" w:hAnsi="仿宋" w:eastAsia="仿宋" w:cs="仿宋"/>
          <w:b/>
          <w:bCs/>
          <w:color w:val="auto"/>
          <w:sz w:val="24"/>
          <w:szCs w:val="24"/>
          <w:highlight w:val="none"/>
        </w:rPr>
        <w:t>.2</w:t>
      </w:r>
      <w:bookmarkEnd w:id="158"/>
      <w:r>
        <w:rPr>
          <w:rFonts w:ascii="仿宋" w:hAnsi="仿宋" w:eastAsia="仿宋" w:cs="仿宋"/>
          <w:b/>
          <w:bCs/>
          <w:color w:val="auto"/>
          <w:sz w:val="24"/>
          <w:szCs w:val="24"/>
          <w:highlight w:val="none"/>
          <w:u w:val="dotted"/>
        </w:rPr>
        <w:t xml:space="preserve">                                                                        </w:t>
      </w:r>
      <w:r>
        <w:rPr>
          <w:rFonts w:hint="eastAsia" w:ascii="仿宋" w:hAnsi="仿宋" w:eastAsia="仿宋" w:cs="仿宋"/>
          <w:b/>
          <w:bCs/>
          <w:color w:val="auto"/>
          <w:sz w:val="24"/>
          <w:szCs w:val="24"/>
          <w:highlight w:val="none"/>
          <w:u w:val="dotted"/>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393" name="文本框 733"/>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Egc9a8ZAgAAGAQAAA4AAABkcnMvZTJvRG9jLnhtbK1TS27b&#10;MBDdF+gdCO5ryZ/UiWA5SGOkKJB+gLQHoCnKIipx2CFtyT1Ac4Ouuum+5/I5OqQU1003WXQjkJzh&#10;m/cenxaXXVOznUKnweR8PEo5U0ZCoc0m558+3rw458x5YQpRg1E53yvHL5fPny1am6kJVFAXChmB&#10;GJe1NueV9zZLEicr1Qg3AqsMFUvARnja4iYpULSE3tTJJE1fJi1gYRGkco5OV32RD4j4FEAoSy3V&#10;CuS2Ucb3qKhq4UmSq7R1fBnZlqWS/n1ZOuVZnXNS6uOXhtB6Hb7JciGyDQpbaTlQEE+h8EhTI7Sh&#10;oUeolfCCbVH/A9VoieCg9CMJTdILiY6QinH6yJu7SlgVtZDVzh5Nd/8PVr7bfUCmi5xPL6acGdHQ&#10;kx++3x9+/Dr8/Mbm02mwqLUuo847S72+ewUdBSfKdfYW5GfHDFxXwmzUFSK0lRIFURyHm8nJ1R7H&#10;BZB1+xYKmiS2HiJQV2IT/CNHGKHT8+yPz6M6zyQdXoxns5Qqkkqz+fg8PYsTRPZw2aLzrxU0LCxy&#10;jvT6EVzsbp0PZET20BJmGbjRdR0TUJu/DqgxnETygW/P3HfrbjBjDcWeZCD0gaLfiRYV4FfOWgpT&#10;zt2XrUDFWf3GkBWROaUvbmZn8wmpwNPK+rQijCSonHvO+uW17xO7tag3FU3qzTdwRfaVOkoLPves&#10;Bt4UmKh4CHdI5Ok+dv35o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ptk6TWAAAACAEAAA8A&#10;AAAAAAAAAQAgAAAAIgAAAGRycy9kb3ducmV2LnhtbFBLAQIUABQAAAAIAIdO4kBIHPWvGQIAABgE&#10;AAAOAAAAAAAAAAEAIAAAACU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rPr>
        <w:t>承包人在投标或报价文件中采用专利技术的，其发生的费用已包含在投标报价内。承包人的技术秘密和第99条规定的保密信息、资料等，发包人应严格按照第99条规定不得为合同以外的目的泄露给第三方。</w:t>
      </w:r>
    </w:p>
    <w:p>
      <w:pPr>
        <w:pStyle w:val="22"/>
        <w:adjustRightInd w:val="0"/>
        <w:snapToGrid w:val="0"/>
        <w:spacing w:line="360" w:lineRule="auto"/>
        <w:rPr>
          <w:rFonts w:ascii="仿宋" w:hAnsi="仿宋" w:eastAsia="仿宋"/>
          <w:color w:val="auto"/>
          <w:sz w:val="24"/>
          <w:szCs w:val="24"/>
          <w:highlight w:val="none"/>
        </w:rPr>
      </w:pPr>
      <w:bookmarkStart w:id="159" w:name="_Toc29104"/>
      <w:r>
        <w:rPr>
          <w:b/>
          <w:bCs/>
          <w:color w:val="auto"/>
          <w:sz w:val="24"/>
          <w:szCs w:val="24"/>
          <w:highlight w:val="none"/>
          <w:lang w:val="en-US"/>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392"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pPr>
                              <w:rPr>
                                <w:rFonts w:ascii="楷体_GB2312" w:hAnsi="宋体" w:eastAsia="楷体_GB2312"/>
                                <w:b/>
                                <w:bCs/>
                                <w:color w:val="000000"/>
                                <w:sz w:val="18"/>
                                <w:szCs w:val="18"/>
                              </w:rPr>
                            </w:pPr>
                            <w:bookmarkStart w:id="1054" w:name="OLE_LINK3"/>
                            <w:bookmarkStart w:id="1055" w:name="OLE_LINK4"/>
                            <w:r>
                              <w:rPr>
                                <w:rFonts w:hint="eastAsia" w:ascii="楷体_GB2312" w:hAnsi="宋体" w:eastAsia="楷体_GB2312" w:cs="楷体_GB2312"/>
                                <w:b/>
                                <w:bCs/>
                                <w:color w:val="000000"/>
                                <w:sz w:val="18"/>
                                <w:szCs w:val="18"/>
                              </w:rPr>
                              <w:t>版权和知识产权</w:t>
                            </w:r>
                            <w:bookmarkEnd w:id="1054"/>
                            <w:bookmarkEnd w:id="1055"/>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BGwSIJGAIAABgEAAAOAAAAZHJzL2Uyb0RvYy54bWytU81u&#10;EzEQviPxDpbvZJN0oc0qm6o0KkIqP1LhARyvN2ux9pixk93wAPAGnLhw57nyHIy9aQjl0gMXy/aM&#10;v/m+b8bzy960bKvQa7Aln4zGnCkrodJ2XfKPH26eXXDmg7CVaMGqku+U55eLp0/mnSvUFBpoK4WM&#10;QKwvOlfyJgRXZJmXjTLCj8ApS8Ea0IhAR1xnFYqO0E2bTcfjF1kHWDkEqbyn2+UQ5AdEfAwg1LWW&#10;aglyY5QNAyqqVgSS5BvtPF8ktnWtZHhX114F1paclIa0UhHar+KaLeaiWKNwjZYHCuIxFB5oMkJb&#10;KnqEWoog2Ab1P1BGSwQPdRhJMNkgJDlCKibjB97cNcKppIWs9u5ouv9/sPLt9j0yXZX8bDblzApD&#10;Ld9//7b/8Wv/8ys7P8ujRZ3zBWXeOcoN/UvoaXCSXO9uQX7yzMJ1I+xaXSFC1yhREcVJfJmdPB1w&#10;fARZdW+gokpiEyAB9TWa6B85wgid2rM7tkf1gUm6nE3yfEwRSaF8dn6Rp/Zlorh/7NCHVwoMi5uS&#10;I3U/gYvtrQ+RjCjuU2ItCze6bdMEtPavC0qMN4l85DswD/2qP5ixgmpHMhCGgaLvRJsG8AtnHQ1T&#10;yf3njUDFWfvakhWJOU1fOuTPz6ekAk8jq9OIsJKgSh44G7bXYZjYjUO9bqjSYL6FK7Kv1kla9Hlg&#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1ehpHXAAAACgEAAA8A&#10;AAAAAAAAAQAgAAAAIgAAAGRycy9kb3ducmV2LnhtbFBLAQIUABQAAAAIAIdO4kBGwSIJGAIAABgE&#10;AAAOAAAAAAAAAAEAIAAAACY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bookmarkStart w:id="1054" w:name="OLE_LINK3"/>
                      <w:bookmarkStart w:id="1055" w:name="OLE_LINK4"/>
                      <w:r>
                        <w:rPr>
                          <w:rFonts w:hint="eastAsia" w:ascii="楷体_GB2312" w:hAnsi="宋体" w:eastAsia="楷体_GB2312" w:cs="楷体_GB2312"/>
                          <w:b/>
                          <w:bCs/>
                          <w:color w:val="000000"/>
                          <w:sz w:val="18"/>
                          <w:szCs w:val="18"/>
                        </w:rPr>
                        <w:t>版权和知识产权</w:t>
                      </w:r>
                      <w:bookmarkEnd w:id="1054"/>
                      <w:bookmarkEnd w:id="1055"/>
                    </w:p>
                  </w:txbxContent>
                </v:textbox>
              </v:shape>
            </w:pict>
          </mc:Fallback>
        </mc:AlternateContent>
      </w:r>
      <w:r>
        <w:rPr>
          <w:rFonts w:ascii="仿宋" w:hAnsi="仿宋" w:eastAsia="仿宋" w:cs="仿宋"/>
          <w:b/>
          <w:bCs/>
          <w:color w:val="auto"/>
          <w:sz w:val="24"/>
          <w:szCs w:val="24"/>
          <w:highlight w:val="none"/>
          <w:lang w:val="en-US"/>
        </w:rPr>
        <w:t>1</w:t>
      </w:r>
      <w:r>
        <w:rPr>
          <w:rFonts w:hint="eastAsia" w:ascii="仿宋" w:hAnsi="仿宋" w:eastAsia="仿宋" w:cs="仿宋"/>
          <w:b/>
          <w:bCs/>
          <w:color w:val="auto"/>
          <w:sz w:val="24"/>
          <w:szCs w:val="24"/>
          <w:highlight w:val="none"/>
        </w:rPr>
        <w:t>8</w:t>
      </w:r>
      <w:r>
        <w:rPr>
          <w:rFonts w:ascii="仿宋" w:hAnsi="仿宋" w:eastAsia="仿宋" w:cs="仿宋"/>
          <w:b/>
          <w:bCs/>
          <w:color w:val="auto"/>
          <w:sz w:val="24"/>
          <w:szCs w:val="24"/>
          <w:highlight w:val="none"/>
          <w:lang w:val="en-US"/>
        </w:rPr>
        <w:t>.3</w:t>
      </w:r>
      <w:bookmarkEnd w:id="159"/>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rPr>
      </w:pPr>
      <w:bookmarkStart w:id="160" w:name="OLE_LINK7"/>
      <w:r>
        <w:rPr>
          <w:rFonts w:hint="eastAsia" w:ascii="仿宋" w:hAnsi="仿宋" w:eastAsia="仿宋" w:cs="仿宋"/>
          <w:color w:val="auto"/>
          <w:sz w:val="24"/>
          <w:szCs w:val="24"/>
          <w:highlight w:val="none"/>
        </w:rPr>
        <w:t>18.3.1 除专用合同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18.3.2 </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除专用合同条件另有约定外，由承包人（或以承包人名义）为实施工程所编制的文件、承包人完成的设计工作成果和建造完成的建筑物，就合同当事人之间而言，其著作权和其他知识产权应归发包人享有，承包人享有署名权。发包人可因实施工程的运行、调试、维修、改造等目的而复制、使用此类文件。未经发包人书面同意，承包人不得以任何方式复制、备份、转让和利用，不得在其他项目中使用上述文件或将之提供给任何第三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18.3.3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18.3.4合同当事人双方均有权在不损害对方利益和保密约定的前提下，在自己宣传用的印刷品或其他出版物上，或申报奖项时等情形下公布有关项目的文字和图片材料。</w:t>
      </w:r>
    </w:p>
    <w:bookmarkEnd w:id="160"/>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olor w:val="auto"/>
          <w:sz w:val="24"/>
          <w:szCs w:val="24"/>
          <w:highlight w:val="none"/>
          <w:u w:val="single"/>
        </w:rPr>
        <w:t></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61" w:name="_Toc47694289"/>
      <w:bookmarkStart w:id="162" w:name="_Toc20470"/>
      <w:bookmarkStart w:id="163" w:name="_Toc14976"/>
      <w:r>
        <w:rPr>
          <w:rFonts w:ascii="仿宋" w:hAnsi="仿宋" w:eastAsia="仿宋" w:cs="仿宋"/>
          <w:bCs w:val="0"/>
          <w:color w:val="auto"/>
          <w:sz w:val="24"/>
          <w:szCs w:val="24"/>
          <w:highlight w:val="none"/>
        </w:rPr>
        <w:t>1</w:t>
      </w:r>
      <w:r>
        <w:rPr>
          <w:rFonts w:hint="eastAsia" w:ascii="仿宋" w:hAnsi="仿宋" w:eastAsia="仿宋" w:cs="仿宋"/>
          <w:bCs w:val="0"/>
          <w:color w:val="auto"/>
          <w:sz w:val="24"/>
          <w:szCs w:val="24"/>
          <w:highlight w:val="none"/>
        </w:rPr>
        <w:t>9</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 xml:space="preserve"> 联合体</w:t>
      </w:r>
      <w:bookmarkEnd w:id="161"/>
      <w:bookmarkEnd w:id="162"/>
      <w:bookmarkEnd w:id="163"/>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9</w:t>
      </w:r>
      <w:r>
        <w:rPr>
          <w:rFonts w:ascii="仿宋" w:hAnsi="仿宋" w:eastAsia="仿宋" w:cs="仿宋"/>
          <w:b/>
          <w:bCs/>
          <w:color w:val="auto"/>
          <w:sz w:val="24"/>
          <w:szCs w:val="24"/>
          <w:highlight w:val="none"/>
        </w:rPr>
        <w:t>.1</w:t>
      </w: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263525</wp:posOffset>
                </wp:positionV>
                <wp:extent cx="914400" cy="497840"/>
                <wp:effectExtent l="0" t="0" r="0" b="0"/>
                <wp:wrapNone/>
                <wp:docPr id="391"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20.75pt;height:39.2pt;width:72pt;z-index:251867136;mso-width-relative:page;mso-height-relative:page;" filled="f" stroked="f" coordsize="21600,21600" o:gfxdata="UEsDBAoAAAAAAIdO4kAAAAAAAAAAAAAAAAAEAAAAZHJzL1BLAwQUAAAACACHTuJAqcy2PNcAAAAK&#10;AQAADwAAAGRycy9kb3ducmV2LnhtbE2PQU/DMAyF70j8h8iTuG1Jpm1aS9MdQFxBjIHELWu8tlrj&#10;VE22ln+Pd4Kb7ff0/L1iN/lOXHGIbSADeqFAIFXBtVQbOHy8zLcgYrLkbBcIDfxghF15f1fY3IWR&#10;3vG6T7XgEIq5NdCk1OdSxqpBb+Mi9EisncLgbeJ1qKUb7MjhvpNLpTbS25b4Q2N7fGqwOu8v3sDn&#10;6+n7a6Xe6me/7scwKUk+k8Y8zLR6BJFwSn9muOEzOpTMdAwXclF0BuZ6y12SgZVeg7gZlhs+HHnQ&#10;WQayLOT/CuUvUEsDBBQAAAAIAIdO4kBJ5mkxGAIAABgEAAAOAAAAZHJzL2Uyb0RvYy54bWytU81u&#10;EzEQviPxDpbvZJN0oc0qm6o0KkIqP1LhARyvN2ux9pixk93wAPAGnLhw57nyHIy9aQjl0gMXy/aM&#10;v/m+b8bzy960bKvQa7Aln4zGnCkrodJ2XfKPH26eXXDmg7CVaMGqku+U55eLp0/mnSvUFBpoK4WM&#10;QKwvOlfyJgRXZJmXjTLCj8ApS8Ea0IhAR1xnFYqO0E2bTcfjF1kHWDkEqbyn2+UQ5AdEfAwg1LWW&#10;aglyY5QNAyqqVgSS5BvtPF8ktnWtZHhX114F1paclIa0UhHar+KaLeaiWKNwjZYHCuIxFB5oMkJb&#10;KnqEWoog2Ab1P1BGSwQPdRhJMNkgJDlCKibjB97cNcKppIWs9u5ouv9/sPLt9j0yXZX8bDbhzApD&#10;Ld9//7b/8Wv/8ys7P8ujRZ3zBWXeOcoN/UvoaXCSXO9uQX7yzMJ1I+xaXSFC1yhREcVJfJmdPB1w&#10;fARZdW+gokpiEyAB9TWa6B85wgid2rM7tkf1gUm6nE3yfEwRSaF8dn6Rp/Zlorh/7NCHVwoMi5uS&#10;I3U/gYvtrQ+RjCjuU2ItCze6bdMEtPavC0qMN4l85DswD/2qP5ixgmpHMhCGgaLvRJsG8AtnHQ1T&#10;yf3njUDFWfvakhWJOU1fOuTPz6ekAk8jq9OIsJKgSh44G7bXYZjYjUO9bqjSYL6FK7Kv1kla9Hlg&#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nMtjzXAAAACgEAAA8A&#10;AAAAAAAAAQAgAAAAIgAAAGRycy9kb3ducmV2LnhtbFBLAQIUABQAAAAIAIdO4kBJ5mkxGAIAABgE&#10;AAAOAAAAAAAAAAEAIAAAACY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19.1.1 如果承包人是联合体，联合体成员视为具有符合本合同工程建设规模要求的工程建设类设计、施工等资质、资信和履约能力的法人组成。</w: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19.1.2联合体牵头人须由联合体成员中具有符合项目规模要求的工程设计资质或施工资质一方担任。专用条款中应明确以设计单位或施工单位为牵头人时各方的管理责任。</w: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19.1.3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19.1.4联合体成员应共同与发包人签订合同协议书。联合体成员都应认真履行其 共同的和各自的责任，在合同约定的时间内完成本合同工程总承包范围内的全部工作。</w: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rPr>
        <w:t>19.1.5</w:t>
      </w:r>
      <w:r>
        <w:rPr>
          <w:rFonts w:hint="eastAsia" w:ascii="仿宋" w:hAnsi="仿宋" w:eastAsia="仿宋" w:cs="仿宋"/>
          <w:bCs/>
          <w:color w:val="auto"/>
          <w:sz w:val="24"/>
          <w:szCs w:val="24"/>
          <w:highlight w:val="none"/>
        </w:rPr>
        <w:t>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19.1.6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19.1.7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19.1.8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 不免除联合体牵头人及各成员作为承包人应承担的所有责任。</w: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19.1.9承包人代表及专业负责人的任命与授权，应符合第29.1款的约定，具体人选应在专用条款中约定。</w: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19.1.10未经发包人事先书面同意，联合体的组成、结构和联合体协议书不得随意变动。</w: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19.1.11联合体牵头人及成员组成联合体，应团结合作，全面履行本合同赋予的权利和义务，实现共同利益，但不得推诿扯皮或合伙欺骗、损害发包人及社会公众利益。</w:t>
      </w:r>
    </w:p>
    <w:p>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19.1.12联合体牵头人及各成员之间的任何法律和经济纠纷属于承包人一方的内部纠纷，不属于本合同双方当事人之间的纠纷，发包人均不承担任何责任和义务。</w:t>
      </w:r>
    </w:p>
    <w:p>
      <w:pPr>
        <w:rPr>
          <w:color w:val="auto"/>
          <w:highlight w:val="none"/>
          <w:lang w:eastAsia="zh-CN"/>
        </w:rPr>
      </w:pPr>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90" name="文本框 1262"/>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26" o:spt="202" type="#_x0000_t202" style="position:absolute;left:0pt;margin-left:-9pt;margin-top:19.35pt;height:39pt;width:72pt;z-index:251940864;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E/f8RcCAAAZBAAADgAAAGRycy9lMm9Eb2MueG1srVPB&#10;bhMxEL0j8Q+W72STNC3NKpuqNCpCKhSp8AGO15u1WHvM2Mlu+AD6B5y4cOe78h2MvWkayqUHLqvx&#10;zPjNe8+zs4vONGyj0GuwBR8NhpwpK6HUdlXwz5+uX51z5oOwpWjAqoJvlecX85cvZq3L1RhqaEqF&#10;jECsz1tX8DoEl2eZl7Uywg/AKUvFCtCIQEdcZSWKltBNk42Hw7OsBSwdglTeU3bRF/keEZ8DCFWl&#10;pVqAXBtlQ4+KqhGBJPlaO8/niW1VKRluq8qrwJqCk9KQvjSE4mX8ZvOZyFcoXK3lnoJ4DoUnmozQ&#10;loYeoBYiCLZG/Q+U0RLBQxUGEkzWC0mOkIrR8Ik3d7VwKmkhq707mO7/H6z8sPmITJcFP5mSJ1YY&#10;evLdj/vdz9+7X9/ZaHw2jh61zufUeueoOXRvoKPNSXq9uwH5xTMLV7WwK3WJCG2tREkcR/FmdnS1&#10;x/ERZNm+h5JGiXWABNRVaKKBZAkjdOKyPbyP6gKTlJyOJpMhVSSVJtPTE4rjBJE/XHbow1sFhsWg&#10;4EjPn8DF5saHvvWhJc6ycK2bhvIib+xfCcKMmUQ+8u2Zh27ZUXdUtIRySzIQ+o2i/4mCGvAbZy1t&#10;U8H917VAxVnzzpIViTmtXzpMTl+PSQUeV5bHFWElQRU8cNaHV6Ff2bVDvappUm++hUuyr9JJ2iOr&#10;PW/amGTOfrvjSh6fU9fjHz3/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ux4gbYAAAACgEAAA8A&#10;AAAAAAAAAQAgAAAAIgAAAGRycy9kb3ducmV2LnhtbFBLAQIUABQAAAAIAIdO4kD4T9/xFwIAABkE&#10;AAAOAAAAAAAAAAEAIAAAACc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9</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r>
        <w:rPr>
          <w:rFonts w:hint="eastAsia"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合体作为承包人，均由联合体主办方及其授权的承包人代表负责组织联合体各成员全面履行合同，负责与发包人及监理人、造价咨询人、设计顾问人（如有）等相关方之间的工作联系和文件往来，履行合同的有关文件由承包人代表签署。未经发包人事先书面同意，承包人代表不得随意变动。</w:t>
      </w:r>
    </w:p>
    <w:p>
      <w:pPr>
        <w:pStyle w:val="22"/>
        <w:adjustRightInd w:val="0"/>
        <w:snapToGrid w:val="0"/>
        <w:spacing w:line="360" w:lineRule="auto"/>
        <w:rPr>
          <w:rFonts w:ascii="仿宋" w:hAnsi="仿宋" w:eastAsia="仿宋"/>
          <w:b/>
          <w:bCs/>
          <w:color w:val="auto"/>
          <w:sz w:val="24"/>
          <w:szCs w:val="24"/>
          <w:highlight w:val="none"/>
        </w:rPr>
      </w:pPr>
      <w:bookmarkStart w:id="164" w:name="_Toc29075"/>
      <w:r>
        <w:rPr>
          <w:color w:val="auto"/>
          <w:sz w:val="24"/>
          <w:szCs w:val="24"/>
          <w:highlight w:val="none"/>
          <w:lang w:val="en-US"/>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389"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26" o:spt="202" type="#_x0000_t202" style="position:absolute;left:0pt;margin-left:-9pt;margin-top:19.35pt;height:39pt;width:72pt;z-index:251941888;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N+VdCBgCAAAZBAAADgAAAGRycy9lMm9Eb2MueG1srVNL&#10;btswEN0X6B0I7mv5lzQWLAdpjBQF0g+Q9gA0RVlERQ47pC25B2hv0FU33fdcPkeHlOO46SaLboTh&#10;zPDNe4+j+WVnGrZV6DXYgo8GQ86UlVBquy74p483Ly4480HYUjRgVcF3yvPLxfNn89blagw1NKVC&#10;RiDW560reB2Cy7PMy1oZ4QfglKViBWhEoCOusxJFS+imycbD4XnWApYOQSrvKbvsi/yAiE8BhKrS&#10;Ui1BboyyoUdF1YhAknytneeLxLaqlAzvq8qrwJqCk9KQvjSE4lX8Zou5yNcoXK3lgYJ4CoVHmozQ&#10;loYeoZYiCLZB/Q+U0RLBQxUGEkzWC0mOkIrR8JE3d7VwKmkhq707mu7/H6x8t/2ATJcFn1zMOLPC&#10;0JPvf3zf//y9//WNjcbnk+hR63xOrXeOmkP3CjranKTXu1uQnz2zcF0Lu1ZXiNDWSpTEcRRvZidX&#10;exwfQVbtWyhplNgESEBdhSYaSJYwQqf32R3fR3WBSUrORtPpkCqSStPZ2YTiOEHk95cd+vBagWEx&#10;KDjS8ydwsb31oW+9b4mzLNzopqG8yBv7V4IwYyaRj3x75qFbddQdFa2g3JEMhH6j6H+ioAb8yllL&#10;21Rw/2UjUHHWvLFkRWJO65cO07OXY1KBp5XVaUVYSVAFD5z14XXoV3bjUK9rmtSbb+GK7Kt0kvbA&#10;6sCbNiaZc9juuJKn59T18Ec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seIG2AAAAAoBAAAP&#10;AAAAAAAAAAEAIAAAACIAAABkcnMvZG93bnJldi54bWxQSwECFAAUAAAACACHTuJAN+VdCBgCAAAZ&#10;BAAADgAAAAAAAAABACAAAAAnAQAAZHJzL2Uyb0RvYy54bWxQSwUGAAAAAAYABgBZAQAAs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rPr>
        <w:t>9</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3</w:t>
      </w:r>
      <w:bookmarkEnd w:id="164"/>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r>
        <w:rPr>
          <w:rFonts w:hint="eastAsia"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19.3.2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19.3.3联合体牵头人及授权的承包人代表应及时组织各成员单位认真履行合同，遵守联合体内部管理制度，按时签署、报送各类工作计划、工作成果、进度报表、支付申请等各类资料及合理化建议。</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19.3.4牵头人收到发包人及监理人、设计顾问人、造价咨询人等相关方的各类书面文件，应在收到后24小时内抄送联合体所有成员；收到的各类口头指令，应按合同相关约定及时组织进行书面确认。</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19.3.5联合体各成员需要报送发包人及监理人、设计顾问人、造价咨询人等相关方的各类书面文件（包括勘察设计类、BIM技术应用类、施工类、设备及工器具 购置类等），必须得到联合体牵头人及授权的承包人代表认可签署，并由牵头人报送。</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19.3.6若联合体任一成员提出可能有益于发包人或公众的优化设计方案或合理化建议，无论联合体成员是否达成统一意见，牵头人必须及时报送发包人，不得 瞒报迟报，意见提出者也可直接报送发包人。若收到的优化设计方案或合理化建 议得到采纳产生预期经济效益或节约投资，发包人将按合同约定给予适当的经济 奖励或补偿。因牵头人反对而不上报，发包人有权对牵头人进行一定的经济处罚。奖励或处罚金额或比例，由当事人在专用条款中约定。</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19.3.7除联合体牵头人或成员报送的优化设计方案或合理化建议外，发包人及各相关方收到牵头人及授权的承包人代表签署报送的各类文件，无论联合体内部意见是否统一，均视为联合体内部成员之间已得到认可。</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65" w:name="_Toc47694290"/>
      <w:bookmarkStart w:id="166" w:name="_Toc13980"/>
      <w:bookmarkStart w:id="167" w:name="_Toc29194"/>
      <w:r>
        <w:rPr>
          <w:rFonts w:hint="eastAsia" w:ascii="仿宋" w:hAnsi="仿宋" w:eastAsia="仿宋" w:cs="仿宋"/>
          <w:bCs w:val="0"/>
          <w:color w:val="auto"/>
          <w:sz w:val="24"/>
          <w:szCs w:val="24"/>
          <w:highlight w:val="none"/>
        </w:rPr>
        <w:t>20</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保障</w:t>
      </w:r>
      <w:bookmarkEnd w:id="165"/>
      <w:bookmarkEnd w:id="166"/>
      <w:bookmarkEnd w:id="167"/>
    </w:p>
    <w:p>
      <w:pPr>
        <w:pStyle w:val="22"/>
        <w:tabs>
          <w:tab w:val="left" w:pos="1202"/>
        </w:tabs>
        <w:adjustRightInd w:val="0"/>
        <w:snapToGrid w:val="0"/>
        <w:spacing w:line="360" w:lineRule="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20</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02272" behindDoc="0" locked="0" layoutInCell="1" allowOverlap="1">
                <wp:simplePos x="0" y="0"/>
                <wp:positionH relativeFrom="column">
                  <wp:posOffset>-66040</wp:posOffset>
                </wp:positionH>
                <wp:positionV relativeFrom="paragraph">
                  <wp:posOffset>8890</wp:posOffset>
                </wp:positionV>
                <wp:extent cx="914400" cy="594360"/>
                <wp:effectExtent l="0" t="0" r="0" b="0"/>
                <wp:wrapNone/>
                <wp:docPr id="388" name="文本框 737"/>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26" o:spt="202" type="#_x0000_t202" style="position:absolute;left:0pt;margin-left:-5.2pt;margin-top:0.7pt;height:46.8pt;width:72pt;z-index:251702272;mso-width-relative:page;mso-height-relative:page;" filled="f" stroked="f" coordsize="21600,21600" o:gfxdata="UEsDBAoAAAAAAIdO4kAAAAAAAAAAAAAAAAAEAAAAZHJzL1BLAwQUAAAACACHTuJAOZji3dUAAAAI&#10;AQAADwAAAGRycy9kb3ducmV2LnhtbE2PTU/DMAyG70j8h8hI3Lak7EOsNN0BxBXEBkjcvMZrKxqn&#10;arK1/Hu8E5ws63n1+nGxnXynzjTENrCFbG5AEVfBtVxbeN8/z+5BxYTssAtMFn4owra8viowd2Hk&#10;NzrvUq2khGOOFpqU+lzrWDXkMc5DTyzsGAaPSdah1m7AUcp9p++MWWuPLcuFBnt6bKj63p28hY+X&#10;49fn0rzWT37Vj2Eymv1GW3t7k5kHUImm9BeGi76oQylOh3BiF1VnYZaZpUQFyLjwxWIN6mBhszKg&#10;y0L/f6D8BVBLAwQUAAAACACHTuJAHj5ZCBgCAAAYBAAADgAAAGRycy9lMm9Eb2MueG1srVPNbhMx&#10;EL4j8Q6W72Tz16ZdZVOVRkVI5UcqPIDj9WYt1h4zdrIbHgDegBMX7jxXnoOxNw2hXHrgYtme8Tff&#10;9814ftWZhm0Veg224KPBkDNlJZTargv+8cPtiwvOfBC2FA1YVfCd8vxq8fzZvHW5GkMNTamQEYj1&#10;eesKXofg8izzslZG+AE4ZSlYARoR6IjrrETRErppsvFweJ61gKVDkMp7ul32QX5AxKcAQlVpqZYg&#10;N0bZ0KOiakQgSb7WzvNFYltVSoZ3VeVVYE3BSWlIKxWh/Squ2WIu8jUKV2t5oCCeQuGRJiO0paJH&#10;qKUIgm1Q/wNltETwUIWBBJP1QpIjpGI0fOTNfS2cSlrIau+Opvv/Byvfbt8j02XBJxfUeCsMtXz/&#10;/dv+x6/9z69sNplFi1rnc8q8d5QbupfQ0eAkud7dgfzkmYWbWti1ukaEtlaiJIqj+DI7edrj+Aiy&#10;at9ASZXEJkAC6io00T9yhBE6tWd3bI/qApN0eTmaTocUkRQ6u5xOzlP7MpE/PHbowysFhsVNwZG6&#10;n8DF9s6HSEbkDymxloVb3TRpAhr71wUlxptEPvLtmYdu1R3MWEG5IxkI/UDRd6JNDfiFs5aGqeD+&#10;80ag4qx5bcmKxJymLx2mZ7MxqcDTyOo0IqwkqIIHzvrtTegnduNQr2uq1Jtv4Zrsq3SSFn3uWR14&#10;08AkxYfhjhN5ek5Zfz70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mOLd1QAAAAgBAAAPAAAA&#10;AAAAAAEAIAAAACIAAABkcnMvZG93bnJldi54bWxQSwECFAAUAAAACACHTuJAHj5ZCBgCAAAYBAAA&#10;DgAAAAAAAAABACAAAAAkAQAAZHJzL2Uyb0RvYy54bWxQSwUGAAAAAAYABgBZAQAAr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pPr>
        <w:pStyle w:val="22"/>
        <w:tabs>
          <w:tab w:val="left" w:pos="1202"/>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387"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26" o:spt="202" type="#_x0000_t202" style="position:absolute;left:0pt;margin-left:-9pt;margin-top:18.95pt;height:42.1pt;width:72pt;z-index:251703296;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gev0DhgCAAAYBAAADgAAAGRycy9lMm9Eb2MueG1srVPN&#10;bhMxEL4j8Q6W72Tz1yassqlKoyKk8iMVHsDxerMWa48ZO9ktD0DfgBMX7jxXnoOxNw2hXHrgYtme&#10;8Tff9814cdGZhu0Ueg224KPBkDNlJZTabgr+6eP1izlnPghbigasKvid8vxi+fzZonW5GkMNTamQ&#10;EYj1eesKXofg8izzslZG+AE4ZSlYARoR6IibrETRErppsvFweJ61gKVDkMp7ul31QX5AxKcAQlVp&#10;qVYgt0bZ0KOiakQgSb7WzvNlYltVSob3VeVVYE3BSWlIKxWh/Tqu2XIh8g0KV2t5oCCeQuGRJiO0&#10;paJHqJUIgm1R/wNltETwUIWBBJP1QpIjpGI0fOTNbS2cSlrIau+Opvv/Byvf7T4g02XBJ/MZZ1YY&#10;avn++/3+x6/9z29sNplHi1rnc8q8dZQbulfQ0eAkud7dgPzsmYWrWtiNukSEtlaiJIqj+DI7edrj&#10;+Aiybt9CSZXENkAC6io00T9yhBE6tefu2B7VBSbp8uVoOh1SRFLobDI9n6X2ZSJ/eOzQh9cKDIub&#10;giN1P4GL3Y0PkYzIH1JiLQvXumnSBDT2rwtKjDeJfOTbMw/dujuYsYbyjmQg9ANF34k2NeBXzloa&#10;poL7L1uBirPmjSUrEnOavnSYns3GpAJPI+vTiLCSoAoeOOu3V6Gf2K1DvampUm++hUuyr9JJWvS5&#10;Z3XgTQOTFB+GO07k6Tll/fnQ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5Bn2AAAAAoBAAAP&#10;AAAAAAAAAAEAIAAAACIAAABkcnMvZG93bnJldi54bWxQSwECFAAUAAAACACHTuJAgev0DhgCAAAY&#10;BAAADgAAAAAAAAABACAAAAAnAQAAZHJzL2Uyb0RvYy54bWxQSwUGAAAAAAYABgBZAQAAs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rPr>
        <w:t>20</w:t>
      </w:r>
      <w:r>
        <w:rPr>
          <w:rFonts w:ascii="仿宋" w:hAnsi="仿宋" w:eastAsia="仿宋" w:cs="仿宋"/>
          <w:b/>
          <w:bCs/>
          <w:color w:val="auto"/>
          <w:sz w:val="24"/>
          <w:szCs w:val="24"/>
          <w:highlight w:val="none"/>
          <w:lang w:val="en-US"/>
        </w:rPr>
        <w:t>.2</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承包人应保障发包人不承担因承包人移动或使用施工场地外的施工设备和临时设施所造成的损害而引起的赔偿。</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68" w:name="_Toc13793"/>
      <w:bookmarkStart w:id="169" w:name="_Toc5826"/>
      <w:bookmarkStart w:id="170" w:name="_Toc47694291"/>
      <w:r>
        <w:rPr>
          <w:rFonts w:hint="eastAsia" w:ascii="仿宋" w:hAnsi="仿宋" w:eastAsia="仿宋" w:cs="仿宋"/>
          <w:bCs w:val="0"/>
          <w:color w:val="auto"/>
          <w:sz w:val="24"/>
          <w:szCs w:val="24"/>
          <w:highlight w:val="none"/>
        </w:rPr>
        <w:t>21</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财产</w:t>
      </w:r>
      <w:bookmarkEnd w:id="168"/>
      <w:bookmarkEnd w:id="169"/>
      <w:bookmarkEnd w:id="170"/>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sz w:val="24"/>
          <w:szCs w:val="24"/>
          <w:highlight w:val="none"/>
          <w:lang w:val="en-US"/>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386"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9pt;margin-top:0pt;height:57.05pt;width:72pt;z-index:251704320;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Dpbg0hgCAAAYBAAADgAAAGRycy9lMm9Eb2MueG1srVNLjhMx&#10;EN0jcQfLe9L5zqeVzmiYaBDS8JEGDuC43WmLtsuUnXSHA8ANWLFhz7lyDsruTAjDZhZsWrar/Oq9&#10;59fzq840bKvQa7AFHw2GnCkrodR2XfCPH25fXHDmg7ClaMCqgu+U51eL58/mrcvVGGpoSoWMQKzP&#10;W1fwOgSXZ5mXtTLCD8ApS8UK0IhAW1xnJYqW0E2TjYfDs6wFLB2CVN7T6bIv8gMiPgUQqkpLtQS5&#10;McqGHhVVIwJJ8rV2ni8S26pSMryrKq8CawpOSkP60hBar+I3W8xFvkbhai0PFMRTKDzSZIS2NPQI&#10;tRRBsA3qf6CMlggeqjCQYLJeSHKEVIyGj7y5r4VTSQtZ7d3RdP//YOXb7Xtkuiz45OKMMysMPfn+&#10;+7f9j1/7n1/Z+eQyWtQ6n1PnvaPe0L2EjoKT5Hp3B/KTZxZuamHX6hoR2lqJkiiO4s3s5GqP4yPI&#10;qn0DJU0SmwAJqKvQRP/IEUbo9Dy74/OoLjBJh5ej6XRIFUml8/F0NpmlCSJ/uOzQh1cKDIuLgiO9&#10;fgIX2zsfIhmRP7TEWRZuddOkBDT2rwNqjCeJfOTbMw/dqjuYsYJyRzIQ+kDR70SLGvALZy2FqeD+&#10;80ag4qx5bcmKxJzSlzbT2fmYVOBpZXVaEVYSVMEDZ/3yJvSJ3TjU65om9eZbuCb7Kp2kRZ97Vgfe&#10;FJik+BDumMjTfer680M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Usi51QAAAAgBAAAPAAAA&#10;AAAAAAEAIAAAACIAAABkcnMvZG93bnJldi54bWxQSwECFAAUAAAACACHTuJADpbg0hgCAAAYBAAA&#10;DgAAAAAAAAABACAAAAAkAQAAZHJzL2Uyb0RvYy54bWxQSwUGAAAAAAYABgBZAQAArgU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rPr>
        <w:t>合同工程所需的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材料和工程设备、施工设备和雇员的运输工具除外。</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385"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26" o:spt="202" type="#_x0000_t202" style="position:absolute;left:0pt;margin-left:-9pt;margin-top:22.25pt;height:36.25pt;width:72pt;z-index:251705344;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AJJ9VuGQIAABgEAAAOAAAAZHJzL2Uyb0RvYy54bWytU0tu&#10;2zAQ3RfoHQjua8mOHaeC5SCNkaJA+gHSHoCmKImoxGGHtCX3AO0Nuuqm+57L5+iQchw33WTRDUFy&#10;hm/eezNcXPZtw7YKnQaT8/Eo5UwZCYU2Vc4/fbx5ccGZ88IUogGjcr5Tjl8unz9bdDZTE6ihKRQy&#10;AjEu62zOa+9tliRO1qoVbgRWGQqWgK3wdMQqKVB0hN42ySRNz5MOsLAIUjlHt6shyA+I+BRAKEst&#10;1QrkplXGD6ioGuFJkqu1dXwZ2Zalkv59WTrlWZNzUurjSkVovw5rslyIrEJhay0PFMRTKDzS1Apt&#10;qOgRaiW8YBvU/0C1WiI4KP1IQpsMQqIjpGKcPvLmrhZWRS1ktbNH093/g5Xvth+Q6SLnZxczzoxo&#10;qeX7H9/3P3/vf31j82m0qLMuo8w7S7m+fwU9DU6U6+wtyM+OGbiuhanUFSJ0tRIFURwHc5OTp6Ep&#10;LnMBZN29hYIqiY2HCNSX2Ab/yBFG6NSe3bE9qvdM0uXL8XSaUkRSaHqens1nsYLI7h9bdP61gpaF&#10;Tc6Ruh/BxfbW+UBGZPcpoZaBG900cQIa89cFJYabSD7wHZj7ft1TdhCxhmJHMhCGgaLvRJsa8Ctn&#10;HQ1Tzt2XjUDFWfPGkBWROU1fPExn8wmpwNPI+jQijCSonHvOhu21HyZ2Y1FXNVUazDdwRfaVOkp7&#10;YHXgTQMTFR+GO0zk6TlmPXzo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GjUt1wAAAAoBAAAP&#10;AAAAAAAAAAEAIAAAACIAAABkcnMvZG93bnJldi54bWxQSwECFAAUAAAACACHTuJACSfVbhkCAAAY&#10;BAAADgAAAAAAAAABACAAAAAmAQAAZHJzL2Uyb0RvYy54bWxQSwUGAAAAAAYABgBZAQAAs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如果发包人依据第92</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款规定的情形解除合同，则合同工程和临时工程，应认为是发包人的财产。</w:t>
      </w:r>
    </w:p>
    <w:p>
      <w:pPr>
        <w:spacing w:line="480" w:lineRule="auto"/>
        <w:rPr>
          <w:rFonts w:ascii="仿宋" w:hAnsi="仿宋" w:eastAsia="仿宋"/>
          <w:b/>
          <w:bCs/>
          <w:color w:val="auto"/>
          <w:highlight w:val="none"/>
          <w:lang w:eastAsia="zh-CN"/>
        </w:rPr>
      </w:pPr>
      <w:bookmarkStart w:id="171" w:name="_Toc6120"/>
      <w:r>
        <w:rPr>
          <w:rFonts w:ascii="仿宋" w:hAnsi="仿宋" w:eastAsia="仿宋" w:cs="仿宋"/>
          <w:b/>
          <w:bCs/>
          <w:color w:val="auto"/>
          <w:highlight w:val="none"/>
          <w:lang w:eastAsia="zh-CN" w:bidi="ar-SA"/>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384"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26" o:spt="202" type="#_x0000_t202" style="position:absolute;left:0pt;margin-left:-9pt;margin-top:22.25pt;height:42.85pt;width:72pt;z-index:251706368;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YNnFkBcCAAAYBAAADgAAAGRycy9lMm9Eb2MueG1srVPL&#10;jtMwFN0j8Q+W9zRtSZmZqOlomGoQ0vCQBj7AdZzGIvY1126T8gHwB6zYsOe7+h3c2J1Shs0s2ES2&#10;7/W55xyfzC9707KtQq/BlnwyGnOmrIRK23XJP364eXbOmQ/CVqIFq0q+U55fLp4+mXeuUFNooK0U&#10;MgKxvuhcyZsQXJFlXjbKCD8CpywVa0AjAm1xnVUoOkI3bTYdj19kHWDlEKTynk6XqcgPiPgYQKhr&#10;LdUS5MYoGxIqqlYEkuQb7TxfRLZ1rWR4V9deBdaWnJSG+KUhtF4N32wxF8UahWu0PFAQj6HwQJMR&#10;2tLQI9RSBME2qP+BMloieKjDSILJkpDoCKmYjB94c9cIp6IWstq7o+n+/8HKt9v3yHRV8ufnOWdW&#10;GHry/fdv+x+/9j+/srN8MljUOV9Q552j3tC/hJ6CE+V6dwvyk2cWrhth1+oKEbpGiYooxpvZydWE&#10;4weQVfcGKpokNgEiUF+jGfwjRxih0/Psjs+j+sAkHV5M8nxMFUmlWZ5PLmYDt0wU95cd+vBKgWHD&#10;ouRIrx/BxfbWh9R63zLMsnCj2zYmoLV/HRDmcBLJD3wT89Cv+oMZK6h2JAMhBYp+J1o0gF846yhM&#10;JfefNwIVZ+1rS1ZE5pS+uMlnZ1NSgaeV1WlFWElQJQ+cpeV1SIndONTrhiYl8y1ckX21jtIGnxOr&#10;A28KTDTnEO4hkaf72PXnh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W7AVzYAAAACgEAAA8A&#10;AAAAAAAAAQAgAAAAIgAAAGRycy9kb3ducmV2LnhtbFBLAQIUABQAAAAIAIdO4kBg2cWQFwIAABgE&#10;AAAOAAAAAAAAAAEAIAAAACc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1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如果承包人依据第92</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pStyle w:val="22"/>
        <w:adjustRightInd w:val="0"/>
        <w:snapToGrid w:val="0"/>
        <w:spacing w:line="360" w:lineRule="auto"/>
        <w:rPr>
          <w:rFonts w:ascii="仿宋" w:hAnsi="仿宋" w:eastAsia="仿宋"/>
          <w:b/>
          <w:bCs/>
          <w:color w:val="auto"/>
          <w:kern w:val="2"/>
          <w:sz w:val="24"/>
          <w:szCs w:val="24"/>
          <w:highlight w:val="none"/>
          <w:lang w:val="en-US"/>
        </w:rPr>
      </w:pPr>
      <w:r>
        <w:rPr>
          <w:rFonts w:ascii="仿宋" w:hAnsi="仿宋" w:eastAsia="仿宋" w:cs="仿宋"/>
          <w:b/>
          <w:bCs/>
          <w:color w:val="auto"/>
          <w:sz w:val="24"/>
          <w:szCs w:val="24"/>
          <w:highlight w:val="none"/>
          <w:u w:val="single"/>
        </w:rPr>
        <w:t xml:space="preserve">                                                                             </w:t>
      </w:r>
    </w:p>
    <w:p>
      <w:pPr>
        <w:spacing w:line="360" w:lineRule="auto"/>
        <w:jc w:val="center"/>
        <w:outlineLvl w:val="1"/>
        <w:rPr>
          <w:rFonts w:ascii="仿宋" w:hAnsi="仿宋" w:eastAsia="仿宋"/>
          <w:b/>
          <w:bCs/>
          <w:color w:val="auto"/>
          <w:highlight w:val="none"/>
          <w:lang w:eastAsia="zh-CN"/>
        </w:rPr>
      </w:pPr>
      <w:bookmarkStart w:id="172" w:name="_Toc9074"/>
      <w:bookmarkStart w:id="173" w:name="_Toc4986"/>
      <w:bookmarkStart w:id="174" w:name="_Toc47694292"/>
      <w:r>
        <w:rPr>
          <w:rFonts w:hint="eastAsia" w:ascii="仿宋" w:hAnsi="仿宋" w:eastAsia="仿宋" w:cs="仿宋"/>
          <w:b/>
          <w:bCs/>
          <w:color w:val="auto"/>
          <w:highlight w:val="none"/>
          <w:lang w:eastAsia="zh-CN"/>
        </w:rPr>
        <w:t>二、合同主体</w:t>
      </w:r>
      <w:bookmarkEnd w:id="172"/>
      <w:bookmarkEnd w:id="173"/>
      <w:bookmarkEnd w:id="174"/>
    </w:p>
    <w:p>
      <w:pPr>
        <w:pStyle w:val="5"/>
        <w:tabs>
          <w:tab w:val="left" w:pos="420"/>
        </w:tabs>
        <w:spacing w:before="120" w:beforeLines="50" w:after="120" w:afterLines="50" w:line="360" w:lineRule="auto"/>
        <w:rPr>
          <w:rFonts w:ascii="仿宋" w:hAnsi="仿宋" w:eastAsia="仿宋"/>
          <w:color w:val="auto"/>
          <w:sz w:val="24"/>
          <w:szCs w:val="24"/>
          <w:highlight w:val="none"/>
        </w:rPr>
      </w:pPr>
      <w:bookmarkStart w:id="175" w:name="_Toc31182"/>
      <w:bookmarkStart w:id="176" w:name="_Toc1509"/>
      <w:bookmarkStart w:id="177" w:name="_Toc47694293"/>
      <w:r>
        <w:rPr>
          <w:rFonts w:hint="eastAsia" w:ascii="仿宋" w:hAnsi="仿宋" w:eastAsia="仿宋" w:cs="仿宋"/>
          <w:color w:val="auto"/>
          <w:sz w:val="24"/>
          <w:szCs w:val="24"/>
          <w:highlight w:val="none"/>
        </w:rPr>
        <w:t>22</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w:t>
      </w:r>
      <w:bookmarkEnd w:id="175"/>
      <w:bookmarkEnd w:id="176"/>
      <w:bookmarkEnd w:id="177"/>
    </w:p>
    <w:p>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pPr>
        <w:widowControl w:val="0"/>
        <w:tabs>
          <w:tab w:val="left" w:pos="162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83"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26" o:spt="202" type="#_x0000_t202" style="position:absolute;left:0pt;margin-left:-9pt;margin-top:0.35pt;height:33.85pt;width:72pt;z-index:251707392;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KBzujRkCAAAYBAAADgAAAGRycy9lMm9Eb2MueG1srVNLbtsw&#10;EN0X6B0I7mvZjtPYguUgjZGiQPoB0h6ApiiLqMhhh7Ql9wDNDbrqpvuey+fokHJcN91k0Y1AcoZv&#10;3nt8ml92pmFbhV6DLfhoMORMWQmltuuCf/p482LKmQ/ClqIBqwq+U55fLp4/m7cuV2OooSkVMgKx&#10;Pm9dwesQXJ5lXtbKCD8ApywVK0AjAm1xnZUoWkI3TTYeDl9mLWDpEKTynk6XfZEfEPEpgFBVWqol&#10;yI1RNvSoqBoRSJKvtfN8kdhWlZLhfVV5FVhTcFIa0peG0HoVv9liLvI1CldreaAgnkLhkSYjtKWh&#10;R6ilCIJtUP8DZbRE8FCFgQST9UKSI6RiNHzkzV0tnEpayGrvjqb7/wcr320/INNlwc+mZ5xZYejJ&#10;99/v9z9+7X9+YxeTcbSodT6nzjtHvaF7BR0FJ8n17hbkZ88sXNfCrtUVIrS1EiVRHMWb2cnVHsdH&#10;kFX7FkqaJDYBElBXoYn+kSOM0Ol5dsfnUV1gkg5no8lkSBVJpcl4Np2dpwkif7js0IfXCgyLi4Ij&#10;vX4CF9tbHyIZkT+0xFkWbnTTpAQ09q8DaowniXzk2zMP3ao7mLGCckcyEPpA0e9EixrwK2cthang&#10;/stGoOKseWPJisSc0pc2k/OLManA08rqtCKsJKiCB8765XXoE7txqNc1TerNt3BF9lU6SYs+96wO&#10;vCkwSfEh3DGRp/vU9eeH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RaKZNUAAAAHAQAADwAA&#10;AAAAAAABACAAAAAiAAAAZHJzL2Rvd25yZXYueG1sUEsBAhQAFAAAAAgAh07iQCgc7o0ZAgAAGAQA&#10;AA4AAAAAAAAAAQAgAAAAJAEAAGRycy9lMm9Eb2MueG1sUEsFBgAAAAAGAAYAWQEAAK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1708416" behindDoc="0" locked="0" layoutInCell="1" allowOverlap="1">
                <wp:simplePos x="0" y="0"/>
                <wp:positionH relativeFrom="column">
                  <wp:posOffset>-10795</wp:posOffset>
                </wp:positionH>
                <wp:positionV relativeFrom="paragraph">
                  <wp:posOffset>148590</wp:posOffset>
                </wp:positionV>
                <wp:extent cx="914400" cy="429895"/>
                <wp:effectExtent l="0" t="0" r="0" b="0"/>
                <wp:wrapNone/>
                <wp:docPr id="382" name="文本框 743"/>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26" o:spt="202" type="#_x0000_t202" style="position:absolute;left:0pt;margin-left:-0.85pt;margin-top:11.7pt;height:33.85pt;width:72pt;z-index:251708416;mso-width-relative:page;mso-height-relative:page;" filled="f" stroked="f" coordsize="21600,21600" o:gfxdata="UEsDBAoAAAAAAIdO4kAAAAAAAAAAAAAAAAAEAAAAZHJzL1BLAwQUAAAACACHTuJALgwYL9YAAAAI&#10;AQAADwAAAGRycy9kb3ducmV2LnhtbE2PS0/DMBCE70j8B2uRuLW20/BoyKYHEFcQ5SFxc+NtEhGv&#10;o9htwr/HPdHjaEYz35Sb2fXiSGPoPCPopQJBXHvbcYPw8f68uAcRomFres+E8EsBNtXlRWkK6yd+&#10;o+M2NiKVcCgMQhvjUEgZ6pacCUs/ECdv70dnYpJjI+1oplTuepkpdSud6TgttGagx5bqn+3BIXy+&#10;7L+/cvXaPLmbYfKzkuzWEvH6SqsHEJHm+B+GE35Chyox7fyBbRA9wkLfpSRCtspBnPw8W4HYIay1&#10;BlmV8vxA9QdQSwMEFAAAAAgAh07iQMd2rTgZAgAAGAQAAA4AAABkcnMvZTJvRG9jLnhtbK1TS27b&#10;MBDdF+gdCO5r2Y7T2ILlII2RokD6AdIegKYoi6jIYYe0JfcAzQ266qb7nsvn6JByXDfdZNGNQHKG&#10;b957fJpfdqZhW4Vegy34aDDkTFkJpbbrgn/6ePNiypkPwpaiAasKvlOeXy6eP5u3LldjqKEpFTIC&#10;sT5vXcHrEFyeZV7Wygg/AKcsFStAIwJtcZ2VKFpCN002Hg5fZi1g6RCk8p5Ol32RHxDxKYBQVVqq&#10;JciNUTb0qKgaEUiSr7XzfJHYVpWS4X1VeRVYU3BSGtKXhtB6Fb/ZYi7yNQpXa3mgIJ5C4ZEmI7Sl&#10;oUeopQiCbVD/A2W0RPBQhYEEk/VCkiOkYjR85M1dLZxKWshq746m+/8HK99tPyDTZcHPpmPOrDD0&#10;5Pvv9/sfv/Y/v7GLyVm0qHU+p847R72hewUdBSfJ9e4W5GfPLFzXwq7VFSK0tRIlURzFm9nJ1R7H&#10;R5BV+xZKmiQ2ARJQV6GJ/pEjjNDpeXbH51FdYJIOZ6PJZEgVSaXJeDadnacJIn+47NCH1woMi4uC&#10;I71+AhfbWx8iGZE/tMRZFm5006QENPavA2qMJ4l85NszD92qO5ixgnJHMhD6QNHvRIsa8CtnLYWp&#10;4P7LRqDirHljyYrEnNKXNpPzizGpwNPK6rQirCSoggfO+uV16BO7cajXNU3qzbdwRfZVOkmLPves&#10;DrwpMEnxIdwxkaf71PXnh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4MGC/WAAAACAEAAA8A&#10;AAAAAAAAAQAgAAAAIgAAAGRycy9kb3ducmV2LnhtbFBLAQIUABQAAAAIAIdO4kDHdq04GQIAABgE&#10;AAAOAAAAAAAAAAEAIAAAACU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(1)发包人应按第6条约定向承包人提供《发包人要求》和项目基础资料，并为承包人收集其他有关资料提供必要的协助；</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(3)按照专用条款约定的时间向承包人提供一式两份约定的标准与规范(国家、省及地方颁布的标准规范除外)；</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(4)办理土地征用、拆迁等工作，使施工场地(含勘察施工场地)具备施工条件，并在开工后继续负责解决上述工作遗留的问题；</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(5)将施工所需水、电、通讯线路从施工场地(含勘察施工场地)外部接驳至专用条款约定的地点，保证施工期间的需要；</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(6)开通施工场地与城乡公共道路间的通道，满足第16条交通运输的需要；</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(7)办理施工许可及其他所需证件、批准文件和办理临时用地、停水、停电、中断道路交通、爆破作业等的申请批准手续(承包人自身施工资质的证件除外)；</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(8)确定水准点与坐标控制点，组织现场交验并以书面形式移交给承包人；</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（9）协调处理施工场地周围地形关系问题和做好邻近建筑物、构筑物（包括文物保护建筑）、古树名木等的保护工作；</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（10）及时接收已完工程，并按照合同约定及时支付工程款及其他各种款项。</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（11）其它。</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pPr>
        <w:spacing w:line="360" w:lineRule="auto"/>
        <w:rPr>
          <w:rFonts w:ascii="仿宋" w:hAnsi="仿宋" w:eastAsia="仿宋"/>
          <w:color w:val="auto"/>
          <w:highlight w:val="none"/>
          <w:lang w:eastAsia="zh-CN"/>
        </w:rPr>
      </w:pPr>
      <w:bookmarkStart w:id="178"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17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09440" behindDoc="0" locked="0" layoutInCell="1" allowOverlap="1">
                <wp:simplePos x="0" y="0"/>
                <wp:positionH relativeFrom="column">
                  <wp:posOffset>-53975</wp:posOffset>
                </wp:positionH>
                <wp:positionV relativeFrom="paragraph">
                  <wp:posOffset>57785</wp:posOffset>
                </wp:positionV>
                <wp:extent cx="914400" cy="495300"/>
                <wp:effectExtent l="0" t="0" r="0" b="0"/>
                <wp:wrapNone/>
                <wp:docPr id="381"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26" o:spt="202" type="#_x0000_t202" style="position:absolute;left:0pt;margin-left:-4.25pt;margin-top:4.55pt;height:39pt;width:72pt;z-index:251709440;mso-width-relative:page;mso-height-relative:page;" filled="f" stroked="f" coordsize="21600,21600" o:gfxdata="UEsDBAoAAAAAAIdO4kAAAAAAAAAAAAAAAAAEAAAAZHJzL1BLAwQUAAAACACHTuJAjg03jtQAAAAH&#10;AQAADwAAAGRycy9kb3ducmV2LnhtbE2OwU7DMBBE70j9B2srcWvtFAJpyKaHIq4gClTqzY23SUS8&#10;jmK3CX+Pe4LjaEZvXrGZbCcuNPjWMUKyVCCIK2darhE+P14WGQgfNBvdOSaEH/KwKWc3hc6NG/md&#10;LrtQiwhhn2uEJoQ+l9JXDVntl64njt3JDVaHGIdamkGPEW47uVLqQVrdcnxodE/bhqrv3dkifL2e&#10;Dvt79VY/27Qf3aQk27VEvJ0n6glEoCn8jeGqH9WhjE5Hd2bjRYewyNK4RFgnIK71XRrzESF7TECW&#10;hfzvX/4CUEsDBBQAAAAIAIdO4kCWGYguFwIAABgEAAAOAAAAZHJzL2Uyb0RvYy54bWytU0tu2zAQ&#10;3RfoHQjua9mO0iSC5SCNkaJA+gHSHoCmKIuoyGGHtCX3AO0Nuuqm+57L5+iQchw33WTRjTCcGb55&#10;73E0u+xNyzYKvQZb8slozJmyEiptVyX/9PHmxTlnPghbiRasKvlWeX45f/5s1rlCTaGBtlLICMT6&#10;onMlb0JwRZZ52Sgj/AicslSsAY0IdMRVVqHoCN202XQ8fpl1gJVDkMp7yi6GIt8j4lMAoa61VAuQ&#10;a6NsGFBRtSKQJN9o5/k8sa1rJcP7uvYqsLbkpDSkLw2heBm/2XwmihUK12i5pyCeQuGRJiO0paEH&#10;qIUIgq1R/wNltETwUIeRBJMNQpIjpGIyfuTNXSOcSlrIau8Opvv/ByvfbT4g01XJT84nnFlh6Ml3&#10;P77vfv7e/frGzvI8WtQ5X1DnnaPe0L+CnhYnyfXuFuRnzyxcN8Ku1BUidI0SFVGcxJvZ0dUBx0eQ&#10;ZfcWKpok1gESUF+jif6RI4zQ6Xm2h+dRfWCSkheTPB9TRVIpvzg9oThOEMX9ZYc+vFZgWAxKjvT6&#10;CVxsbn0YWu9b4iwLN7ptKS+K1v6VIMyYSeQj34F56Jc9dUdFS6i2JANhWCj6nShoAL9y1tEyldx/&#10;WQtUnLVvLFmRmNP2pUN+ejYlFXhcWR5XhJUEVfLA2RBeh2Fj1w71qqFJg/kWrsi+WidpD6z2vGlh&#10;kjn75Y4beXxOXQ8/9P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g03jtQAAAAHAQAADwAAAAAA&#10;AAABACAAAAAiAAAAZHJzL2Rvd25yZXYueG1sUEsBAhQAFAAAAAgAh07iQJYZiC4XAgAAGAQAAA4A&#10;AAAAAAAAAQAgAAAAIwEAAGRycy9lMm9Eb2MueG1sUEsFBgAAAAAGAAYAWQEAAK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pPr>
        <w:spacing w:line="360" w:lineRule="auto"/>
        <w:rPr>
          <w:rFonts w:ascii="仿宋" w:hAnsi="仿宋" w:eastAsia="仿宋"/>
          <w:b/>
          <w:bCs/>
          <w:color w:val="auto"/>
          <w:highlight w:val="none"/>
          <w:lang w:eastAsia="zh-CN"/>
        </w:rPr>
      </w:pPr>
      <w:bookmarkStart w:id="179" w:name="_Toc23044"/>
      <w:r>
        <w:rPr>
          <w:color w:val="auto"/>
          <w:highlight w:val="none"/>
          <w:lang w:eastAsia="zh-CN" w:bidi="ar-SA"/>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220980</wp:posOffset>
                </wp:positionV>
                <wp:extent cx="914400" cy="401320"/>
                <wp:effectExtent l="0" t="0" r="0" b="0"/>
                <wp:wrapNone/>
                <wp:docPr id="380" name="文本框 745"/>
                <wp:cNvGraphicFramePr/>
                <a:graphic xmlns:a="http://schemas.openxmlformats.org/drawingml/2006/main">
                  <a:graphicData uri="http://schemas.microsoft.com/office/word/2010/wordprocessingShape">
                    <wps:wsp>
                      <wps:cNvSpPr txBox="1">
                        <a:spLocks noChangeArrowheads="1"/>
                      </wps:cNvSpPr>
                      <wps:spPr bwMode="auto">
                        <a:xfrm>
                          <a:off x="0" y="0"/>
                          <a:ext cx="914400" cy="401320"/>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26" o:spt="202" type="#_x0000_t202" style="position:absolute;left:0pt;margin-left:-9pt;margin-top:17.4pt;height:31.6pt;width:72pt;z-index:251710464;mso-width-relative:page;mso-height-relative:page;" filled="f" stroked="f" coordsize="21600,21600" o:gfxdata="UEsDBAoAAAAAAIdO4kAAAAAAAAAAAAAAAAAEAAAAZHJzL1BLAwQUAAAACACHTuJA4W3og9UAAAAJ&#10;AQAADwAAAGRycy9kb3ducmV2LnhtbE2PwU7DMBBE70j8g7VI3Fo7pVRtyKYHEFcQLSBxc+NtEhGv&#10;o9htwt+zPcFxZ0az84rt5Dt1piG2gRGyuQFFXAXXco3wvn+erUHFZNnZLjAh/FCEbXl9VdjchZHf&#10;6LxLtZISjrlFaFLqc61j1ZC3cR56YvGOYfA2yTnU2g12lHLf6YUxK+1ty/KhsT09NlR9704e4ePl&#10;+PW5NK/1k7/vxzAZzX6jEW9vMvMAKtGU/sJwmS/ToZRNh3BiF1WHMMvWwpIQ7paCcAksViIcEDZi&#10;6LLQ/wnKX1BLAwQUAAAACACHTuJAZf5wJhwCAAAmBAAADgAAAGRycy9lMm9Eb2MueG1srVPNbhMx&#10;EL4j8Q6W72Q3aUrLKpuqNCpCKj9S4QEcrzdrsesxYye75QHgDThx4c5z5TkY29sQyqUHLpbtGX8z&#10;3zefFxdD17KdQqfBlHw6yTlTRkKlzabkHz9cPzvnzHlhKtGCUSW/U45fLJ8+WfS2UDNooK0UMgIx&#10;ruhtyRvvbZFlTjaqE24CVhkK1oCd8HTETVah6Am9a7NZnj/PesDKIkjlHN2uUpCPiPgYQKhrLdUK&#10;5LZTxidUVK3wRMk12jq+jN3WtZL+XV075VlbcmLq40pFaL8Oa7ZciGKDwjZaji2Ix7TwgFMntKGi&#10;B6iV8IJtUf8D1WmJ4KD2EwldlohERYjFNH+gzW0jrIpcSGpnD6K7/wcr3+7eI9NVyU/OSRMjOhr5&#10;/vu3/Y9f+59f2dn8NEjUW1dQ5q2lXD+8hIGME+k6ewPyk2MGrhphNuoSEfpGiYpanIaX2dHThOMC&#10;yLp/AxVVElsPEWiosQv6kSKM0KmVu8N41OCZpMsX0/k8p4ik0Dyfnszi+DJR3D+26PwrBR0Lm5Ij&#10;TT+Ci92N86EZUdynhFoGrnXbRge05q8LSkw3KlpofB2ohO4TDz+sh1GaNVR3RAoh2Ys+F20awC+c&#10;9WStkrvPW4GKs/a1IWEiD/JiPMxPz4gHw+PI+jgijCSoknvO0vbKJ/9uLepNQ5XSKAxckpi1jkRD&#10;q6mrcQRkn8h/tHrw5/E5Zv353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W3og9UAAAAJAQAA&#10;DwAAAAAAAAABACAAAAAiAAAAZHJzL2Rvd25yZXYueG1sUEsBAhQAFAAAAAgAh07iQGX+cCYcAgAA&#10;JgQAAA4AAAAAAAAAAQAgAAAAJAEAAGRycy9lMm9Eb2MueG1sUEsFBgAAAAAGAAYAWQEAALIFAAAA&#10;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1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pPr>
        <w:spacing w:line="360" w:lineRule="auto"/>
        <w:rPr>
          <w:rFonts w:ascii="仿宋" w:hAnsi="仿宋" w:eastAsia="仿宋"/>
          <w:b/>
          <w:bCs/>
          <w:color w:val="auto"/>
          <w:highlight w:val="none"/>
          <w:lang w:eastAsia="zh-CN"/>
        </w:rPr>
      </w:pPr>
      <w:bookmarkStart w:id="180"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18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15240</wp:posOffset>
                </wp:positionV>
                <wp:extent cx="914400" cy="518795"/>
                <wp:effectExtent l="0" t="0" r="0" b="0"/>
                <wp:wrapNone/>
                <wp:docPr id="379"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914400" cy="518795"/>
                        </a:xfrm>
                        <a:prstGeom prst="rect">
                          <a:avLst/>
                        </a:prstGeom>
                        <a:noFill/>
                        <a:ln>
                          <a:noFill/>
                        </a:ln>
                        <a:effectLst/>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26" o:spt="202" type="#_x0000_t202" style="position:absolute;left:0pt;margin-left:-9pt;margin-top:1.2pt;height:40.85pt;width:72pt;z-index:251711488;mso-width-relative:page;mso-height-relative:page;" filled="f" stroked="f" coordsize="21600,21600" o:gfxdata="UEsDBAoAAAAAAIdO4kAAAAAAAAAAAAAAAAAEAAAAZHJzL1BLAwQUAAAACACHTuJArwruP9UAAAAI&#10;AQAADwAAAGRycy9kb3ducmV2LnhtbE2PwU7DMBBE70j8g7VIvbV2olCFkE0PIK5UlILEzY23SUS8&#10;jmK3Sf++7gmOoxnNvCk3s+3FmUbfOUZIVgoEce1Mxw3C/vNtmYPwQbPRvWNCuJCHTXV/V+rCuIk/&#10;6LwLjYgl7AuN0IYwFFL6uiWr/coNxNE7utHqEOXYSDPqKZbbXqZKraXVHceFVg/00lL9uztZhK/3&#10;4893prbNq30cJjcryfZJIi4eEvUMItAc/sJww4/oUEWmgzux8aJHWCZ5/BIQ0gzEzU/XUR8Q8iwB&#10;WZXy/4HqClBLAwQUAAAACACHTuJA3xu6bB0CAAAmBAAADgAAAGRycy9lMm9Eb2MueG1srVPBbhMx&#10;EL0j8Q+W72STkDTNKpuqNCpCKhSp8AGO15u12PWYsZPd8AH0Dzhx4d7vyncw9m5DKJceuFi2Z/xm&#10;3pvnxUVbV2yn0GkwGR8NhpwpIyHXZpPxz5+uX51z5rwwuajAqIzvleMXy5cvFo1N1RhKqHKFjECM&#10;Sxub8dJ7myaJk6WqhRuAVYaCBWAtPB1xk+QoGkKvq2Q8HJ4lDWBuEaRyjm5XXZD3iPgcQCgKLdUK&#10;5LZWxneoqCrhiZIrtXV8GbstCiX9bVE45VmVcWLq40pFaL8Oa7JciHSDwpZa9i2I57TwhFMttKGi&#10;R6iV8IJtUf8DVWuJ4KDwAwl10hGJihCL0fCJNnelsCpyIamdPYru/h+s/LD7iEznGX89m3NmRE0j&#10;P/y4P/x8OPz6zmaTsyBRY11KmXeWcn37BloyTqTr7A3IL44ZuCqF2ahLRGhKJXJqcRReJidPOxwX&#10;QNbNe8ipkth6iEBtgXXQjxRhhE7j2R/Ho1rPJF3OR5PJkCKSQtPR+Ww+jRVE+vjYovNvFdQsbDKO&#10;NP0ILnY3zodmRPqYEmoZuNZVFR1Qmb8uKLG7UdFC/etAJXTf8fDtuu2lWUO+J1IInb3oc9GmBPzG&#10;WUPWyrj7uhWoOKveGRIm8iAvxsNkOhsTJzyNrE8jwkiCyrjnrNte+c6/W4t6U1KlbhQGLknMQkei&#10;odWuq34EZJ/Iv7d68OfpOWb9+d7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8K7j/VAAAACAEA&#10;AA8AAAAAAAAAAQAgAAAAIgAAAGRycy9kb3ducmV2LnhtbFBLAQIUABQAAAAIAIdO4kDfG7psHQIA&#10;ACYEAAAOAAAAAAAAAAEAIAAAACQ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发包人应按照第65条规定组织承包人、设计顾问人、监理人和造价咨询人等进行竣工验收。</w:t>
      </w:r>
    </w:p>
    <w:p>
      <w:pPr>
        <w:spacing w:line="360" w:lineRule="auto"/>
        <w:rPr>
          <w:rFonts w:ascii="仿宋" w:hAnsi="仿宋" w:eastAsia="仿宋"/>
          <w:b/>
          <w:bCs/>
          <w:color w:val="auto"/>
          <w:highlight w:val="none"/>
          <w:lang w:eastAsia="zh-CN"/>
        </w:rPr>
      </w:pPr>
      <w:bookmarkStart w:id="181" w:name="_Toc22320"/>
      <w:r>
        <w:rPr>
          <w:color w:val="auto"/>
          <w:highlight w:val="none"/>
          <w:lang w:eastAsia="zh-CN" w:bidi="ar-SA"/>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273050</wp:posOffset>
                </wp:positionV>
                <wp:extent cx="914400" cy="572135"/>
                <wp:effectExtent l="0" t="0" r="0" b="0"/>
                <wp:wrapNone/>
                <wp:docPr id="378" name="文本框 747"/>
                <wp:cNvGraphicFramePr/>
                <a:graphic xmlns:a="http://schemas.openxmlformats.org/drawingml/2006/main">
                  <a:graphicData uri="http://schemas.microsoft.com/office/word/2010/wordprocessingShape">
                    <wps:wsp>
                      <wps:cNvSpPr txBox="1">
                        <a:spLocks noChangeArrowheads="1"/>
                      </wps:cNvSpPr>
                      <wps:spPr bwMode="auto">
                        <a:xfrm>
                          <a:off x="0" y="0"/>
                          <a:ext cx="914400" cy="572135"/>
                        </a:xfrm>
                        <a:prstGeom prst="rect">
                          <a:avLst/>
                        </a:prstGeom>
                        <a:noFill/>
                        <a:ln>
                          <a:noFill/>
                        </a:ln>
                        <a:effectLst/>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26" o:spt="202" type="#_x0000_t202" style="position:absolute;left:0pt;margin-left:-9pt;margin-top:21.5pt;height:45.05pt;width:72pt;z-index:251712512;mso-width-relative:page;mso-height-relative:page;" filled="f" stroked="f" coordsize="21600,21600" o:gfxdata="UEsDBAoAAAAAAIdO4kAAAAAAAAAAAAAAAAAEAAAAZHJzL1BLAwQUAAAACACHTuJASswFqNcAAAAK&#10;AQAADwAAAGRycy9kb3ducmV2LnhtbE2PzW7CMBCE75V4B2sr9QZ2CEUQ4nCg6rVV+anUm4mXJGq8&#10;jmJD0rfvcmpPO6sdzX6Tb0fXihv2ofGkIZkpEEiltw1VGo6H1+kKRIiGrGk9oYYfDLAtJg+5yawf&#10;6ANv+1gJDqGQGQ11jF0mZShrdCbMfIfEt4vvnYm89pW0vRk43LVyrtRSOtMQf6hNh7say+/91Wk4&#10;vV2+PhfqvXpxz93gRyXJraXWT4+J2oCIOMY/M9zxGR0KZjr7K9kgWg3TZMVdooZFyvNumC9ZnFmk&#10;aQKyyOX/CsUvUEsDBBQAAAAIAIdO4kCo8KS8HAIAACYEAAAOAAAAZHJzL2Uyb0RvYy54bWytU81u&#10;EzEQviPxDpbvZJM0JbDKpiqNipDKj1R4AMfrzVrseszYyW54APoGnLhw57nyHIztbQjl0gMXy/aM&#10;v5nvm8+Li75t2E6h02AKPhmNOVNGQqnNpuCfPl4/e8GZ88KUogGjCr5Xjl8snz5ZdDZXU6ihKRUy&#10;AjEu72zBa+9tnmVO1qoVbgRWGQpWgK3wdMRNVqLoCL1tsul4/DzrAEuLIJVzdLtKQT4g4mMAoaq0&#10;VCuQ21YZn1BRNcITJVdr6/gydltVSvr3VeWUZ03BiamPKxWh/Tqs2XIh8g0KW2s5tCAe08IDTq3Q&#10;hooeoVbCC7ZF/Q9UqyWCg8qPJLRZIhIVIRaT8QNtbmthVeRCUjt7FN39P1j5bvcBmS4LfjanwRvR&#10;0sgP3+8OP34dfn5j89k8SNRZl1PmraVc37+CnowT6Tp7A/KzYwauamE26hIRulqJklqchJfZydOE&#10;4wLIunsLJVUSWw8RqK+wDfqRIozQaTz743hU75mky5eT2WxMEUmh8/l0cnYeK4j8/rFF518raFnY&#10;FBxp+hFc7G6cD82I/D4l1DJwrZsmOqAxf11QYrpR0ULD60AldJ94+H7dD9KsodwTKYRkL/pctKkB&#10;v3LWkbUK7r5sBSrOmjeGhIk8yIvxMCMmxAlPI+vTiDCSoAruOUvbK5/8u7WoNzVVSqMwcEliVjoS&#10;Da2mroYRkH0i/8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zAWo1wAAAAoB&#10;AAAPAAAAAAAAAAEAIAAAACIAAABkcnMvZG93bnJldi54bWxQSwECFAAUAAAACACHTuJAqPCkvBwC&#10;AAAmBAAADgAAAAAAAAABACAAAAAmAQAAZHJzL2Uyb0RvYy54bWxQSwUGAAAAAAYABgBZAQAAtAUA&#10;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18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发包人供应材料和工程设备的，发包人应按照第55条规定向承包人提供材料和工程设备。</w:t>
      </w:r>
    </w:p>
    <w:p>
      <w:pPr>
        <w:spacing w:line="360" w:lineRule="auto"/>
        <w:rPr>
          <w:rFonts w:ascii="仿宋" w:hAnsi="仿宋" w:eastAsia="仿宋"/>
          <w:b/>
          <w:bCs/>
          <w:color w:val="auto"/>
          <w:highlight w:val="none"/>
          <w:lang w:eastAsia="zh-CN"/>
        </w:rPr>
      </w:pPr>
      <w:bookmarkStart w:id="182"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1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377"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26" o:spt="202" type="#_x0000_t202" style="position:absolute;left:0pt;margin-left:-9pt;margin-top:0pt;height:35.4pt;width:72pt;z-index:251713536;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CqOv7fGAIAABgEAAAOAAAAZHJzL2Uyb0RvYy54bWytU81uEzEQ&#10;viPxDpbvZJOwJekqm6o0KkIqP1LhARyvN2ux9pixk93yAPAGnLhw57nyHIy9aQjl0gMXy/aMv/m+&#10;b8aLi960bKfQa7Aln4zGnCkrodJ2U/KPH66fzTnzQdhKtGBVye+U5xfLp08WnSvUFBpoK4WMQKwv&#10;OlfyJgRXZJmXjTLCj8ApS8Ea0IhAR9xkFYqO0E2bTcfjF1kHWDkEqbyn29UQ5AdEfAwg1LWWagVy&#10;a5QNAyqqVgSS5BvtPF8mtnWtZHhX114F1paclIa0UhHar+OaLRei2KBwjZYHCuIxFB5oMkJbKnqE&#10;Wokg2Bb1P1BGSwQPdRhJMNkgJDlCKibjB97cNsKppIWs9u5ouv9/sPLt7j0yXZX8+WzGmRWGWr7/&#10;/m3/49f+51c2y+fRos75gjJvHeWG/iX0NDhJrnc3ID95ZuGqEXajLhGha5SoiOIkvsxOng44PoKs&#10;uzdQUSWxDZCA+hpN9I8cYYRO7bk7tkf1gUm6PJ/k+ZgikkJ5fn42T+3LRHH/2KEPrxQYFjclR+p+&#10;Ahe7Gx8iGVHcp8RaFq5126YJaO1fF5QYbxL5yHdgHvp1fzBjDdUdyUAYBoq+E20awC+cdTRMJfef&#10;twIVZ+1rS1Yk5jR96ZCfzaakAk8j69OIsJKgSh44G7ZXYZjYrUO9aajSYL6FS7Kv1kla9HlgdeBN&#10;A5MUH4Y7TuTpOWX9+dD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dw8trUAAAABwEAAA8AAAAA&#10;AAAAAQAgAAAAIgAAAGRycy9kb3ducmV2LnhtbFBLAQIUABQAAAAIAIdO4kCqOv7fGAIAABgEAAAO&#10;AAAAAAAAAAEAIAAAACMBAABkcnMvZTJvRG9jLnhtbFBLBQYAAAAABgAGAFkBAACt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olor w:val="auto"/>
          <w:sz w:val="24"/>
          <w:szCs w:val="24"/>
          <w:highlight w:val="none"/>
        </w:rPr>
      </w:pPr>
      <w:bookmarkStart w:id="183" w:name="_Toc29874"/>
      <w:bookmarkStart w:id="184" w:name="_Toc31396"/>
      <w:bookmarkStart w:id="185" w:name="_Toc47694294"/>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3</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w:t>
      </w:r>
      <w:bookmarkEnd w:id="183"/>
      <w:bookmarkEnd w:id="184"/>
      <w:bookmarkEnd w:id="185"/>
    </w:p>
    <w:p>
      <w:pPr>
        <w:tabs>
          <w:tab w:val="left" w:pos="1620"/>
        </w:tabs>
        <w:spacing w:line="360" w:lineRule="auto"/>
        <w:rPr>
          <w:rFonts w:ascii="仿宋" w:hAnsi="仿宋" w:eastAsia="仿宋"/>
          <w:b/>
          <w:bCs/>
          <w:color w:val="auto"/>
          <w:highlight w:val="none"/>
          <w:lang w:eastAsia="zh-CN"/>
        </w:rPr>
      </w:pPr>
      <w:bookmarkStart w:id="186"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86"/>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376" name="文本框 749"/>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26" o:spt="202" type="#_x0000_t202" style="position:absolute;left:0pt;margin-left:-9pt;margin-top:0.35pt;height:33.85pt;width:72pt;z-index:25171456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Q0Nu5BkCAAAYBAAADgAAAGRycy9lMm9Eb2MueG1srVNLbtsw&#10;EN0X6B0I7mvZrhPHguUgjZGiQPoB0h6ApiiLqMhhh7Ql9wDNDbrqpvuey+fokHJcN91k0Y1AcoZv&#10;3nt8ml92pmFbhV6DLfhoMORMWQmltuuCf/p48+KCMx+ELUUDVhV8pzy/XDx/Nm9drsZQQ1MqZARi&#10;fd66gtchuDzLvKyVEX4ATlkqVoBGBNriOitRtIRummw8HJ5nLWDpEKTynk6XfZEfEPEpgFBVWqol&#10;yI1RNvSoqBoRSJKvtfN8kdhWlZLhfVV5FVhTcFIa0peG0HoVv9liLvI1CldreaAgnkLhkSYjtKWh&#10;R6ilCIJtUP8DZbRE8FCFgQST9UKSI6RiNHzkzV0tnEpayGrvjqb7/wcr320/INNlwV9OzzmzwtCT&#10;77/f73/82v/8xqaTWbSodT6nzjtHvaF7BR0FJ8n17hbkZ88sXNfCrtUVIrS1EiVRHMWb2cnVHsdH&#10;kFX7FkqaJDYBElBXoYn+kSOM0Ol5dsfnUV1gkg5no8lkSBVJpcl4djE7SxNE/nDZoQ+vFRgWFwVH&#10;ev0ELra3PkQyIn9oibMs3OimSQlo7F8H1BhPEvnIt2ceulV3MGMF5Y5kIPSBot+JFjXgV85aClPB&#10;/ZeNQMVZ88aSFYk5pS9tJmfTManA08rqtCKsJKiCB8765XXoE7txqNc1TerNt3BF9lU6SYs+96wO&#10;vCkwSfEh3DGRp/vU9eeH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RaKZNUAAAAHAQAADwAA&#10;AAAAAAABACAAAAAiAAAAZHJzL2Rvd25yZXYueG1sUEsBAhQAFAAAAAgAh07iQENDbuQZAgAAGAQA&#10;AA4AAAAAAAAAAQAgAAAAJAEAAGRycy9lMm9Eb2MueG1sUEsFBgAAAAAGAAYAWQEAAK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pPr>
        <w:spacing w:line="360" w:lineRule="auto"/>
        <w:rPr>
          <w:rFonts w:ascii="仿宋" w:hAnsi="仿宋" w:eastAsia="仿宋"/>
          <w:color w:val="auto"/>
          <w:highlight w:val="none"/>
          <w:lang w:eastAsia="zh-CN"/>
        </w:rPr>
      </w:pPr>
      <w:bookmarkStart w:id="187"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187"/>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15584" behindDoc="0" locked="0" layoutInCell="1" allowOverlap="1">
                <wp:simplePos x="0" y="0"/>
                <wp:positionH relativeFrom="column">
                  <wp:posOffset>-61595</wp:posOffset>
                </wp:positionH>
                <wp:positionV relativeFrom="paragraph">
                  <wp:posOffset>171450</wp:posOffset>
                </wp:positionV>
                <wp:extent cx="914400" cy="373380"/>
                <wp:effectExtent l="0" t="0" r="0" b="0"/>
                <wp:wrapNone/>
                <wp:docPr id="375"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026" o:spt="202" type="#_x0000_t202" style="position:absolute;left:0pt;margin-left:-4.85pt;margin-top:13.5pt;height:29.4pt;width:72pt;z-index:251715584;mso-width-relative:page;mso-height-relative:page;" filled="f" stroked="f" coordsize="21600,21600" o:gfxdata="UEsDBAoAAAAAAIdO4kAAAAAAAAAAAAAAAAAEAAAAZHJzL1BLAwQUAAAACACHTuJASKFTndYAAAAI&#10;AQAADwAAAGRycy9kb3ducmV2LnhtbE2PS2/CMBCE75X4D9ZW6g1sXiWk2XCg4goqfUi9mXhJosbr&#10;KDYk/fc1J3oczWjmm2wz2EZcqfO1Y4TpRIEgLpypuUT4eN+NExA+aDa6cUwIv+Rhk48eMp0a1/Mb&#10;XY+hFLGEfaoRqhDaVEpfVGS1n7iWOHpn11kdouxKaTrdx3LbyJlSz9LqmuNCpVvaVlT8HC8W4XN/&#10;/v5aqEP5apdt7wYl2a4l4tPjVL2ACDSEexhu+BEd8sh0chc2XjQI4/UqJhFmq3jp5s8XcxAnhGSZ&#10;gMwz+f9A/gdQSwMEFAAAAAgAh07iQGLC60MYAgAAGAQAAA4AAABkcnMvZTJvRG9jLnhtbK1TzW4T&#10;MRC+I/EOlu9k80vKKpuqNCpCKj9S4QEcrzdrsfaYsZPd8gD0DThx4c5z5TkYe9M0lEsPXCzbM/7m&#10;+74ZL84707CdQq/BFnw0GHKmrIRS203BP3+6enHGmQ/ClqIBqwp+qzw/Xz5/tmhdrsZQQ1MqZARi&#10;fd66gtchuDzLvKyVEX4ATlkKVoBGBDriJitRtIRummw8HL7MWsDSIUjlPd2u+iA/IOJTAKGqtFQr&#10;kFujbOhRUTUikCRfa+f5MrGtKiXDh6ryKrCm4KQ0pJWK0H4d12y5EPkGhau1PFAQT6HwSJMR2lLR&#10;I9RKBMG2qP+BMloieKjCQILJeiHJEVIxGj7y5qYWTiUtZLV3R9P9/4OV73cfkemy4JP5jDMrDLV8&#10;/+Nu//P3/td3Np8li1rnc8q8cZQbutfQ0eAkud5dg/zimYXLWtiNukCEtlaiJIqjaG528jQ2xec+&#10;gqzbd1BSJbENkIC6Ck30jxxhhE7tuT22R3WBSbp8NZpOhxSRFJrMJ5OzxC0T+f1jhz68UWBY3BQc&#10;qfsJXOyufYhkRH6fEmtZuNJNkyagsX9dUGK8SeQj35556NYdZUcRayhvSQZCP1D0nWhTA37jrKVh&#10;Krj/uhWoOGveWrIiMafpS4fpbD4mFXgaWZ9GhJUEVfDAWb+9DP3Ebh3qTU2VevMtXJB9lU7SHlgd&#10;eNPAJMWH4Y4TeXpOWQ8fev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KFTndYAAAAIAQAADwAA&#10;AAAAAAABACAAAAAiAAAAZHJzL2Rvd25yZXYueG1sUEsBAhQAFAAAAAgAh07iQGLC60MYAgAAGAQA&#10;AA4AAAAAAAAAAQAgAAAAJQEAAGRycy9lMm9Eb2MueG1sUEsFBgAAAAAGAAYAWQEAAK8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（1）办理法律规定由承包人办理的许可和批准，将办理结果书面报送发包人留存，并承担因承包人违反法律或合同约定给发包人造成的任何费用和损失；</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（2）对发包人提供的《发包人要求》和项目基础资料进行核实确认，并按照相关法律法规开展后续工作；</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（3）按合同约定的时间完成勘察、设计等阶段的工作，及时提交发包人审查，完善设计成果；</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（4）提供建筑信息模型（BIM）及相关技术应用，并协助发包人及相关方正确使用；</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（5）按照审查批准的设计文件、合同约定和监理人的指令实施、完成并保修合同工程；</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（6）按照合同约定和设计顾问人、监理人的要求提交勘察、设计、施工等进度报告和进度计划；</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（7）按照合同约定和造价咨询人的要求提交支付申请和服务费、工程款报告，包括绿色施工安全防护费、进度款、结算款和调整合同价格等；</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（8）负责施工场地安全保卫工作，防止因工程施工造成的人身伤害和财产损失，提供和维修施工使用的照明、围栏设施等安全标志；</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（9）按照专用条款约定的数量和要求，向发包人提供施工场地办公和生活的房屋及设施，并在施工现场保留本合同、约定的标准与规范、变更资料等各一份，供监理人、造价咨询人需要时使用；</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（10）遵守政府部门有关施工场地交通、环境保护、施工噪声、绿色施工安全防护等的管理规定，办理有关手续，并以书面形式通知发包人，费用按政府有关部门相关文件规定由发（承）包人各自承担；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11）在合同工程或其某单项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（12）遵守政府部门有关环境卫生的管理规定，保证施工场地的清洁和做好工程移交前施工现场的清理工作，并承担因自身责任造成的损失和罚款；</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（13）工程完工后，应按照合同约定提交竣工验收申请报告和竣工结算文件；</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（14）将发包人按合同支付的各项价款专用于合同工程且应及时支付其雇佣人员（包括建筑工人）工资，并及时向分包人支付合同价款。</w:t>
      </w:r>
    </w:p>
    <w:p>
      <w:pPr>
        <w:spacing w:line="360" w:lineRule="auto"/>
        <w:rPr>
          <w:rFonts w:ascii="仿宋" w:hAnsi="仿宋" w:eastAsia="仿宋"/>
          <w:b/>
          <w:bCs/>
          <w:color w:val="auto"/>
          <w:highlight w:val="none"/>
          <w:lang w:eastAsia="zh-CN"/>
        </w:rPr>
      </w:pPr>
      <w:bookmarkStart w:id="188"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1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74" name="文本框 751"/>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026" o:spt="202" type="#_x0000_t202" style="position:absolute;left:0pt;margin-left:-9pt;margin-top:0pt;height:46.8pt;width:72pt;z-index:2517166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Vrj/dRgCAAAYBAAADgAAAGRycy9lMm9Eb2MueG1srVNLbtsw&#10;EN0X6B0I7mvJjh03guUgjZGiQPoB0h6ApiiJqMhhh7Ql9wDNDbrqpvuey+foiHJcN91k0Q1BcoZv&#10;3nszXFx2pmFbhV6Dzfl4lHKmrIRC2yrnnz7evHjJmQ/CFqIBq3K+U55fLp8/W7QuUxOooSkUMgKx&#10;PmtdzusQXJYkXtbKCD8CpywFS0AjAh2xSgoULaGbJpmk6XnSAhYOQSrv6XY1BPkBEZ8CCGWppVqB&#10;3Bhlw4CKqhGBJPlaO8+XkW1ZKhnel6VXgTU5J6UhrlSE9ut+TZYLkVUoXK3lgYJ4CoVHmozQlooe&#10;oVYiCLZB/Q+U0RLBQxlGEkwyCImOkIpx+sibu1o4FbWQ1d4dTff/D1a+235Apoucn82nnFlhqOX7&#10;7/f7H7/2P7+x+WzcW9Q6n1HmnaPc0L2CjgYnyvXuFuRnzyxc18JW6goR2lqJgijGl8nJ0wHH9yDr&#10;9i0UVElsAkSgrkTT+0eOMEKn9uyO7VFdYJIuL8bTaUoRSaHZxfTsPLYvEdnDY4c+vFZgWL/JOVL3&#10;I7jY3vpAMij1IaWvZeFGN02cgMb+dUGJ/U0k3/MdmIdu3R3MWEOxIxkIw0DRd6JNDfiVs5aGKef+&#10;y0ag4qx5Y8mKyJymLx6ms/mEVOBpZH0aEVYSVM4DZ8P2OgwTu3Goq5oqDeZbuCL7Sh2l9T4PrA68&#10;aWCi4sNw9xN5eo5Zfz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J+ky1QAAAAcBAAAPAAAA&#10;AAAAAAEAIAAAACIAAABkcnMvZG93bnJldi54bWxQSwECFAAUAAAACACHTuJAVrj/dRgCAAAYBAAA&#10;DgAAAAAAAAABACAAAAAkAQAAZHJzL2Uyb0RvYy54bWxQSwUGAAAAAAYABgBZAQAAr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pPr>
        <w:spacing w:line="360" w:lineRule="auto"/>
        <w:rPr>
          <w:rFonts w:ascii="仿宋" w:hAnsi="仿宋" w:eastAsia="仿宋"/>
          <w:b/>
          <w:bCs/>
          <w:color w:val="auto"/>
          <w:highlight w:val="none"/>
          <w:lang w:eastAsia="zh-CN"/>
        </w:rPr>
      </w:pPr>
      <w:bookmarkStart w:id="189"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18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373"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026" o:spt="202" type="#_x0000_t202" style="position:absolute;left:0pt;margin-left:-9pt;margin-top:1.8pt;height:79.05pt;width:72pt;z-index:251717632;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AtCbLgYAgAAGQQAAA4AAABkcnMvZTJvRG9jLnhtbK1Ty47T&#10;MBTdI/EPlvc06YsyUdPRMNUgpOEhDXyA6ziNReJrrt0m5QPgD1ixYc939Tu4djKlDJtZsIls3+tz&#10;zzk+WV52Tc32Cp0Gk/PxKOVMGQmFNtucf/xw8+wFZ84LU4gajMr5QTl+uXr6ZNnaTE2ggrpQyAjE&#10;uKy1Oa+8t1mSOFmpRrgRWGWoWAI2wtMWt0mBoiX0pk4mafo8aQELiyCVc3S67ot8QMTHAEJZaqnW&#10;IHeNMr5HRVULT5Jcpa3jq8i2LJX078rSKc/qnJNSH780hNab8E1WS5FtUdhKy4GCeAyFB5oaoQ0N&#10;PUGthRdsh/ofqEZLBAelH0lokl5IdIRUjNMH3txVwqqohax29mS6+3+w8u3+PTJd5Hy6mHJmRENP&#10;fvz+7fjj1/HnV7aYT4JFrXUZdd5Z6vXdS+goOFGus7cgPzlm4LoSZquuEKGtlCiI4jjcTM6u9jgu&#10;gGzaN1DQJLHzEIG6EpvgHznCCJ2e53B6HtV5JunwYjybpVSRVBqn6fRiOo8jRHZ/26LzrxQ0LCxy&#10;jvT8EV3sb50PbER23xKGGbjRdR0jUJu/DqgxnET2gXBP3XebbnBjA8WBdCD0iaL/iRYV4BfOWkpT&#10;zt3nnUDFWf3akBeROsUvbmbzxYRk4Hllc14RRhJUzj1n/fLa95HdWdTbiib17hu4Iv9KHaUFo3tW&#10;A29KTFQ8pDtE8nwfu/780a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r+BCdYAAAAJAQAADwAA&#10;AAAAAAABACAAAAAiAAAAZHJzL2Rvd25yZXYueG1sUEsBAhQAFAAAAAgAh07iQAtCbLgYAgAAGQ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pPr>
        <w:spacing w:line="360" w:lineRule="auto"/>
        <w:rPr>
          <w:rFonts w:ascii="仿宋" w:hAnsi="仿宋" w:eastAsia="仿宋"/>
          <w:color w:val="auto"/>
          <w:highlight w:val="none"/>
          <w:lang w:eastAsia="zh-CN"/>
        </w:rPr>
      </w:pPr>
      <w:bookmarkStart w:id="190"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190"/>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372"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wps:spPr>
                      <wps:txbx>
                        <w:txbxContent>
                          <w:p>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026" o:spt="202" type="#_x0000_t202" style="position:absolute;left:0pt;margin-left:-9pt;margin-top:1.2pt;height:51.8pt;width:72pt;z-index:251718656;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DfFVALGQIAABgEAAAOAAAAZHJzL2Uyb0RvYy54bWytU81uEzEQ&#10;viPxDpbvZJM0P2WVTVUaFSGVH6nwAI7Xm7VYe8zYyW55APoGnLhw57nyHIy9aQjl0gMXy/aMv/m+&#10;b8aLi840bKfQa7AFHw2GnCkrodR2U/BPH69fnHPmg7ClaMCqgt8pzy+Wz58tWperMdTQlAoZgVif&#10;t67gdQguzzIva2WEH4BTloIVoBGBjrjJShQtoZsmGw+Hs6wFLB2CVN7T7aoP8gMiPgUQqkpLtQK5&#10;NcqGHhVVIwJJ8rV2ni8T26pSMryvKq8CawpOSkNaqQjt13HNlguRb1C4WssDBfEUCo80GaEtFT1C&#10;rUQQbIv6HyijJYKHKgwkmKwXkhwhFaPhI29ua+FU0kJWe3c03f8/WPlu9wGZLgt+Nh9zZoWhlu+/&#10;3+9//Nr//Mbm07NoUet8Tpm3jnJD9wo6Gpwk17sbkJ89s3BVC7tRl4jQ1kqURHEUX2YnT3scH0HW&#10;7VsoqZLYBkhAXYUm+keOMEKn9twd26O6wCRdvhxNJkOKSArNpvPzWWpfJvKHxw59eK3AsLgpOFL3&#10;E7jY3fgQyYj8ISXWsnCtmyZNQGP/uqDEeJPIR74989Ctu4MZayjvSAZCP1D0nWhTA37lrKVhKrj/&#10;shWoOGveWLIiMafpS4fJdD4mFXgaWZ9GhJUEVfDAWb+9Cv3Ebh3qTU2VevMtXJJ9lU7Sos89qwNv&#10;Gpik+DDccSJPzynrz4d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Qt8D1AAAAAkBAAAPAAAA&#10;AAAAAAEAIAAAACIAAABkcnMvZG93bnJldi54bWxQSwECFAAUAAAACACHTuJA3xVQCxkCAAAY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此类指令造成承包人的工作或支出，包括使用了承包人的设备、临时工程或通行道路等，其视为已包含在合同价格内，除非合同专用条款另有约定。</w:t>
      </w:r>
    </w:p>
    <w:p>
      <w:pPr>
        <w:spacing w:line="360" w:lineRule="auto"/>
        <w:rPr>
          <w:rFonts w:ascii="仿宋" w:hAnsi="仿宋" w:eastAsia="仿宋"/>
          <w:b/>
          <w:bCs/>
          <w:color w:val="auto"/>
          <w:highlight w:val="none"/>
          <w:lang w:eastAsia="zh-CN"/>
        </w:rPr>
      </w:pPr>
      <w:bookmarkStart w:id="191"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1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371" name="文本框 754"/>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026" o:spt="202" type="#_x0000_t202" style="position:absolute;left:0pt;margin-left:-9pt;margin-top:0pt;height:62.4pt;width:72pt;z-index:251719680;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DrO48BgCAAAYBAAADgAAAGRycy9lMm9Eb2MueG1srVPNbhMx&#10;EL4j8Q6W72STkJJ2lU1VGhUhlR+p8ACO15u1WHvM2MlueAB4A05cuPNceQ7G3m0I5dIDF8v2jL/5&#10;vm/Gi8vONGyn0GuwBZ+MxpwpK6HUdlPwjx9unp1z5oOwpWjAqoLvleeXy6dPFq3L1RRqaEqFjECs&#10;z1tX8DoEl2eZl7Uywo/AKUvBCtCIQEfcZCWKltBNk03H4xdZC1g6BKm8p9tVH+QDIj4GEKpKS7UC&#10;uTXKhh4VVSMCSfK1dp4vE9uqUjK8qyqvAmsKTkpDWqkI7ddxzZYLkW9QuFrLgYJ4DIUHmozQlooe&#10;oVYiCLZF/Q+U0RLBQxVGEkzWC0mOkIrJ+IE3d7VwKmkhq707mu7/H6x8u3uPTJcFfz6fcGaFoZYf&#10;vn87/Ph1+PmVzc9m0aLW+Zwy7xzlhu4ldDQ4Sa53tyA/eWbhuhZ2o64Qoa2VKIniJL7MTp72OD6C&#10;rNs3UFIlsQ2QgLoKTfSPHGGETu3ZH9ujusAkXV5MZrMxRSSF5hfT2XlqXyby+8cOfXilwLC4KThS&#10;9xO42N36EMmI/D4l1rJwo5smTUBj/7qgxHiTyEe+PfPQrbvBjDWUe5KB0A8UfSfa1IBfOGtpmAru&#10;P28FKs6a15asSMxp+tJhdjafkgo8jaxPI8JKgip44KzfXod+YrcO9aamSr35Fq7IvkonadHnntXA&#10;mwYmKR6GO07k6Tll/fn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TZUc1QAAAAgBAAAPAAAA&#10;AAAAAAEAIAAAACIAAABkcnMvZG93bnJldi54bWxQSwECFAAUAAAACACHTuJADrO48BgCAAAYBAAA&#10;DgAAAAAAAAABACAAAAAkAQAAZHJzL2Uyb0RvYy54bWxQSwUGAAAAAAYABgBZAQAArgUAAAAA&#10;">
                <v:fill on="f" focussize="0,0"/>
                <v:stroke on="f"/>
                <v:imagedata o:title=""/>
                <o:lock v:ext="edit" aspectratio="f"/>
                <v:textbo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spacing w:line="360" w:lineRule="auto"/>
        <w:rPr>
          <w:rFonts w:ascii="仿宋" w:hAnsi="仿宋" w:eastAsia="仿宋"/>
          <w:b/>
          <w:bCs/>
          <w:color w:val="auto"/>
          <w:highlight w:val="none"/>
          <w:lang w:eastAsia="zh-CN"/>
        </w:rPr>
      </w:pPr>
      <w:bookmarkStart w:id="192"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1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370"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026" o:spt="202" type="#_x0000_t202" style="position:absolute;left:0pt;margin-left:-9pt;margin-top:0pt;height:39pt;width:72pt;z-index:251720704;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6Bm/SFwIAABgEAAAOAAAAZHJzL2Uyb0RvYy54bWytU0tu2zAQ&#10;3RfoHQjua9mOXTeC5SCNkaJA+gHSHoCmKIuoyGGHtCX3AM0Nuuqm+57L5+iQchw33WTRjTCcGb55&#10;73E0v+hMw7YKvQZb8NFgyJmyEkpt1wX//On6xSvOfBC2FA1YVfCd8vxi8fzZvHW5GkMNTamQEYj1&#10;eesKXofg8izzslZG+AE4ZalYARoR6IjrrETRErppsvFw+DJrAUuHIJX3lF32RX5AxKcAQlVpqZYg&#10;N0bZ0KOiakQgSb7WzvNFYltVSoYPVeVVYE3BSWlIXxpC8Sp+s8Vc5GsUrtbyQEE8hcIjTUZoS0OP&#10;UEsRBNug/gfKaIngoQoDCSbrhSRHSMVo+Mib21o4lbSQ1d4dTff/D1a+335EpsuCn83IEysMPfn+&#10;x93+5+/9r+9sNp1Gi1rnc+q8ddQbutfQ0eIkud7dgPzimYWrWti1ukSEtlaiJIqjeDM7udrj+Aiy&#10;at9BSZPEJkAC6io00T9yhBE6Udkdn0d1gUlKno8mkyFVJJUm59MziuMEkd9fdujDGwWGxaDgSK+f&#10;wMX2xoe+9b4lzrJwrZuG8iJv7F8JwoyZRD7y7ZmHbtVRd1S0gnJHMhD6haLfiYIa8BtnLS1Twf3X&#10;jUDFWfPWkhWJOW1fOkymszGpwNPK6rQirCSoggfO+vAq9Bu7cajXNU3qzbdwSfZVOkl7YHXgTQuT&#10;zDksd9zI03PqevihF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LuITtQAAAAHAQAADwAAAAAA&#10;AAABACAAAAAiAAAAZHJzL2Rvd25yZXYueG1sUEsBAhQAFAAAAAgAh07iQPoGb9IXAgAAGAQAAA4A&#10;AAAAAAAAAQAgAAAAIwEAAGRycy9lMm9Eb2MueG1sUEsFBgAAAAAGAAYAWQEAAKw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93" w:name="_Toc24338"/>
      <w:bookmarkStart w:id="194" w:name="_Toc47694295"/>
      <w:bookmarkStart w:id="195" w:name="_Toc16593"/>
      <w:r>
        <w:rPr>
          <w:rFonts w:ascii="仿宋" w:hAnsi="仿宋" w:eastAsia="仿宋" w:cs="仿宋"/>
          <w:bCs w:val="0"/>
          <w:color w:val="auto"/>
          <w:sz w:val="24"/>
          <w:szCs w:val="24"/>
          <w:highlight w:val="none"/>
        </w:rPr>
        <w:t>2</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现场管理人员任命和更换</w:t>
      </w:r>
      <w:bookmarkEnd w:id="193"/>
      <w:bookmarkEnd w:id="194"/>
      <w:bookmarkEnd w:id="195"/>
    </w:p>
    <w:p>
      <w:pPr>
        <w:pStyle w:val="22"/>
        <w:tabs>
          <w:tab w:val="left" w:pos="1320"/>
        </w:tabs>
        <w:adjustRightInd w:val="0"/>
        <w:snapToGrid w:val="0"/>
        <w:spacing w:line="360" w:lineRule="auto"/>
        <w:ind w:right="-240"/>
        <w:rPr>
          <w:rFonts w:ascii="仿宋" w:hAnsi="仿宋" w:eastAsia="仿宋"/>
          <w:b/>
          <w:bCs/>
          <w:color w:val="auto"/>
          <w:sz w:val="24"/>
          <w:szCs w:val="24"/>
          <w:highlight w:val="none"/>
        </w:rPr>
      </w:pPr>
      <w:r>
        <w:rPr>
          <w:rFonts w:ascii="仿宋" w:hAnsi="仿宋" w:eastAsia="仿宋" w:cs="仿宋"/>
          <w:b/>
          <w:bCs/>
          <w:color w:val="auto"/>
          <w:sz w:val="24"/>
          <w:szCs w:val="24"/>
          <w:highlight w:val="none"/>
          <w:lang w:val="en-US"/>
        </w:rPr>
        <w:t>2</w:t>
      </w:r>
      <w:r>
        <w:rPr>
          <w:rFonts w:hint="eastAsia" w:ascii="仿宋" w:hAnsi="仿宋" w:eastAsia="仿宋" w:cs="仿宋"/>
          <w:b/>
          <w:bCs/>
          <w:color w:val="auto"/>
          <w:sz w:val="24"/>
          <w:szCs w:val="24"/>
          <w:highlight w:val="none"/>
        </w:rPr>
        <w:t>4</w:t>
      </w:r>
      <w:r>
        <w:rPr>
          <w:rFonts w:ascii="仿宋" w:hAnsi="仿宋" w:eastAsia="仿宋" w:cs="仿宋"/>
          <w:b/>
          <w:bCs/>
          <w:color w:val="auto"/>
          <w:sz w:val="24"/>
          <w:szCs w:val="24"/>
          <w:highlight w:val="none"/>
          <w:lang w:val="en-US"/>
        </w:rPr>
        <w:t>.1</w:t>
      </w:r>
    </w:p>
    <w:p>
      <w:pPr>
        <w:widowControl w:val="0"/>
        <w:tabs>
          <w:tab w:val="left" w:pos="4970"/>
        </w:tabs>
        <w:spacing w:line="360" w:lineRule="auto"/>
        <w:ind w:left="1850" w:leftChars="771"/>
        <w:jc w:val="both"/>
        <w:rPr>
          <w:color w:val="auto"/>
          <w:highlight w:val="none"/>
          <w:lang w:eastAsia="zh-CN"/>
        </w:rPr>
      </w:pPr>
      <w:r>
        <w:rPr>
          <w:color w:val="auto"/>
          <w:highlight w:val="none"/>
          <w:lang w:eastAsia="zh-CN" w:bidi="ar-SA"/>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369" name="文本框 756"/>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wps:spPr>
                      <wps:txb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026" o:spt="202" type="#_x0000_t202" style="position:absolute;left:0pt;margin-left:-9pt;margin-top:0.6pt;height:47.45pt;width:72pt;z-index:251721728;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Al7+BdGAIAABgEAAAOAAAAZHJzL2Uyb0RvYy54bWytU8uO0zAU&#10;3SPxD5b3NGlpO0zUdDRMNQhpeEgDH+A6TmMR+5prt8nwAfAHrNiw57v6HVw7nVKGzSzYRLbv9bnn&#10;HJ8sLnrTsp1Cr8GWfDzKOVNWQqXtpuQfP1w/e8GZD8JWogWrSn6nPL9YPn2y6FyhJtBAWylkBGJ9&#10;0bmSNyG4Isu8bJQRfgROWSrWgEYE2uImq1B0hG7abJLn86wDrByCVN7T6Woo8gMiPgYQ6lpLtQK5&#10;NcqGARVVKwJJ8o12ni8T27pWMryra68Ca0tOSkP60hBar+M3Wy5EsUHhGi0PFMRjKDzQZIS2NPQI&#10;tRJBsC3qf6CMlgge6jCSYLJBSHKEVIzzB97cNsKppIWs9u5ouv9/sPLt7j0yXZX8+fycMysMPfn+&#10;+7f9j1/7n1/Z2WweLeqcL6jz1lFv6F9CT8FJcr27AfnJMwtXjbAbdYkIXaNERRTH8WZ2cnXA8RFk&#10;3b2BiiaJbYAE1Ndoon/kCCN0ep674/OoPjBJh+fj6TSniqTSPJ/Mx7M0QRT3lx368EqBYXFRcqTX&#10;T+Bid+NDJCOK+5Y4y8K1btuUgNb+dUCN8SSRj3wH5qFf9wcz1lDdkQyEIVD0O9GiAfzCWUdhKrn/&#10;vBWoOGtfW7IiMaf0pc10djYhFXhaWZ9WhJUEVfLA2bC8CkNitw71pqFJg/kWLsm+Widp0eeB1YE3&#10;BSYpPoQ7JvJ0n7r+/ND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E3W/nUAAAACAEAAA8AAAAA&#10;AAAAAQAgAAAAIgAAAGRycy9kb3ducmV2LnhtbFBLAQIUABQAAAAIAIdO4kAl7+BdGAIAABg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w:t>
      </w:r>
      <w:r>
        <w:rPr>
          <w:rFonts w:hint="eastAsia"/>
          <w:color w:val="auto"/>
          <w:highlight w:val="none"/>
          <w:lang w:eastAsia="zh-CN"/>
        </w:rPr>
        <w:t>设计</w:t>
      </w:r>
      <w:r>
        <w:rPr>
          <w:rFonts w:hint="eastAsia" w:ascii="仿宋" w:hAnsi="仿宋" w:eastAsia="仿宋" w:cs="仿宋"/>
          <w:color w:val="auto"/>
          <w:highlight w:val="none"/>
          <w:lang w:eastAsia="zh-CN"/>
        </w:rPr>
        <w:t>顾问人代表、监理人代表、造价咨询人代表等。国家、省规定发包人可不委托监理人、造价咨询人和（或）设计顾问人，发包人因而没有任命监理人代表、造价咨询人代表和（或）设计顾问人代表的，本合同规定的监理人、造价咨询人和（或）设计顾问人及其委派现场或授权人员的工作，由发包人授权发包人代表和（或）其他管理人员担任。</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天内予以回复，否则视为已收到通知。后任现场管理人员应继续行使合同规定的前任现场管理人员的职权和履行相应的义务。</w:t>
      </w:r>
    </w:p>
    <w:p>
      <w:pPr>
        <w:pStyle w:val="22"/>
        <w:tabs>
          <w:tab w:val="left" w:pos="1320"/>
          <w:tab w:val="left" w:pos="1620"/>
        </w:tabs>
        <w:adjustRightInd w:val="0"/>
        <w:snapToGrid w:val="0"/>
        <w:spacing w:line="360" w:lineRule="auto"/>
        <w:rPr>
          <w:rFonts w:ascii="仿宋" w:hAnsi="仿宋" w:eastAsia="仿宋"/>
          <w:b/>
          <w:bCs/>
          <w:color w:val="auto"/>
          <w:sz w:val="24"/>
          <w:szCs w:val="24"/>
          <w:highlight w:val="none"/>
        </w:rPr>
      </w:pPr>
      <w:bookmarkStart w:id="196" w:name="_Toc24606"/>
      <w:r>
        <w:rPr>
          <w:rFonts w:ascii="仿宋" w:hAnsi="仿宋" w:eastAsia="仿宋" w:cs="仿宋"/>
          <w:b/>
          <w:bCs/>
          <w:color w:val="auto"/>
          <w:sz w:val="24"/>
          <w:szCs w:val="24"/>
          <w:highlight w:val="none"/>
          <w:lang w:val="en-US"/>
        </w:rPr>
        <w:t>2</w:t>
      </w:r>
      <w:r>
        <w:rPr>
          <w:rFonts w:hint="eastAsia" w:ascii="仿宋" w:hAnsi="仿宋" w:eastAsia="仿宋" w:cs="仿宋"/>
          <w:b/>
          <w:bCs/>
          <w:color w:val="auto"/>
          <w:sz w:val="24"/>
          <w:szCs w:val="24"/>
          <w:highlight w:val="none"/>
        </w:rPr>
        <w:t>4</w:t>
      </w:r>
      <w:r>
        <w:rPr>
          <w:rFonts w:ascii="仿宋" w:hAnsi="仿宋" w:eastAsia="仿宋" w:cs="仿宋"/>
          <w:b/>
          <w:bCs/>
          <w:color w:val="auto"/>
          <w:sz w:val="24"/>
          <w:szCs w:val="24"/>
          <w:highlight w:val="none"/>
          <w:lang w:val="en-US"/>
        </w:rPr>
        <w:t>.2</w:t>
      </w:r>
      <w:bookmarkEnd w:id="196"/>
      <w:r>
        <w:rPr>
          <w:rFonts w:ascii="仿宋" w:hAnsi="仿宋" w:eastAsia="仿宋" w:cs="仿宋"/>
          <w:b/>
          <w:bCs/>
          <w:color w:val="auto"/>
          <w:sz w:val="24"/>
          <w:szCs w:val="24"/>
          <w:highlight w:val="none"/>
          <w:lang w:val="en-US"/>
        </w:rPr>
        <w:t xml:space="preserve">  </w:t>
      </w:r>
      <w:r>
        <w:rPr>
          <w:rFonts w:ascii="仿宋" w:hAnsi="仿宋" w:eastAsia="仿宋" w:cs="仿宋"/>
          <w:b/>
          <w:bCs/>
          <w:color w:val="auto"/>
          <w:sz w:val="24"/>
          <w:szCs w:val="24"/>
          <w:highlight w:val="none"/>
          <w:u w:val="dotted"/>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84455</wp:posOffset>
                </wp:positionV>
                <wp:extent cx="895350" cy="647065"/>
                <wp:effectExtent l="0" t="0" r="0" b="0"/>
                <wp:wrapNone/>
                <wp:docPr id="368"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895350" cy="647065"/>
                        </a:xfrm>
                        <a:prstGeom prst="rect">
                          <a:avLst/>
                        </a:prstGeom>
                        <a:noFill/>
                        <a:ln>
                          <a:noFill/>
                        </a:ln>
                        <a:effectLst/>
                      </wps:spPr>
                      <wps:txb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026" o:spt="202" type="#_x0000_t202" style="position:absolute;left:0pt;margin-left:-9pt;margin-top:6.65pt;height:50.95pt;width:70.5pt;z-index:251722752;mso-width-relative:page;mso-height-relative:page;" filled="f" stroked="f" coordsize="21600,21600" o:gfxdata="UEsDBAoAAAAAAIdO4kAAAAAAAAAAAAAAAAAEAAAAZHJzL1BLAwQUAAAACACHTuJAknFgqtcAAAAK&#10;AQAADwAAAGRycy9kb3ducmV2LnhtbE2PzW7CMBCE75V4B2srcQM7SakgxOFA1StV6Y/Um4mXJGq8&#10;jmJD0rfvcmpvuzuj2W+K3eQ6ccUhtJ40JEsFAqnytqVaw/vb82INIkRD1nSeUMMPBtiVs7vC5NaP&#10;9IrXY6wFh1DIjYYmxj6XMlQNOhOWvkdi7ewHZyKvQy3tYEYOd51MlXqUzrTEHxrT477B6vt4cRo+&#10;Duevzwf1Uj+5VT/6SUlyG6n1/D5RWxARp/hnhhs+o0PJTCd/IRtEp2GRrLlLZCHLQNwMacaHEw/J&#10;KgVZFvJ/hfIXUEsDBBQAAAAIAIdO4kBnPDo1HwIAACYEAAAOAAAAZHJzL2Uyb0RvYy54bWytU81u&#10;EzEQviPxDpbvZJM0P+0qm6o0KkIqUKnwAI7Xm7XY9Zixk93wAPAGnLhw73PlORh7tyGUSw9cLNsz&#10;/ma+bz4vLtu6YjuFToPJ+Ggw5EwZCbk2m4x/+njz6pwz54XJRQVGZXyvHL9cvnyxaGyqxlBClStk&#10;BGJc2tiMl97bNEmcLFUt3ACsMhQsAGvh6YibJEfREHpdJePhcJY0gLlFkMo5ul11Qd4j4nMAoSi0&#10;VCuQ21oZ36GiqoQnSq7U1vFl7LYolPQfisIpz6qME1MfVypC+3VYk+VCpBsUttSyb0E8p4UnnGqh&#10;DRU9Qq2EF2yL+h+oWksEB4UfSKiTjkhUhFiMhk+0uS+FVZELSe3sUXT3/2Dl+90dMp1n/GxGgzei&#10;ppEffnw//Hw4/PrG5tN5kKixLqXMe0u5vn0NLRkn0nX2FuRnxwxcl8Js1BUiNKUSObU4Ci+Tk6cd&#10;jgsg6+Yd5FRJbD1EoLbAOuhHijBCp/Hsj+NRrWeSLs8vpmdTikgKzSbz4WwaK4j08bFF598oqFnY&#10;ZBxp+hFc7G6dD82I9DEl1DJwo6sqOqAyf11QYnejooX614FK6L7j4dt120uzhnxPpBA6e9Hnok0J&#10;+JWzhqyVcfdlK1BxVr01JMzFaDIJXoyHyXQ+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cWCq1wAA&#10;AAoBAAAPAAAAAAAAAAEAIAAAACIAAABkcnMvZG93bnJldi54bWxQSwECFAAUAAAACACHTuJAZzw6&#10;NR8CAAAmBAAADgAAAAAAAAABACAAAAAmAQAAZHJzL2Uyb0RvYy54bWxQSwUGAAAAAAYABgBZAQAA&#10;twU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由承包人在合同签订前依法向发包人提出，经发包人同意后在专用条款中写明。国家法律或建设行政主管部门有规定的，应遵守其规定；招标工程的承包人代表及专业负责人，应为投标文件所载明的人选。</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15天内予以答复，否则视为同意。后任承包人代表或专业负责人应继续行使合同规定的前任承包人代表或专业负责人的职权和履行相应的义务。</w:t>
      </w:r>
    </w:p>
    <w:p>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pPr>
        <w:pStyle w:val="22"/>
        <w:tabs>
          <w:tab w:val="left" w:pos="1320"/>
        </w:tabs>
        <w:adjustRightInd w:val="0"/>
        <w:snapToGrid w:val="0"/>
        <w:spacing w:line="360" w:lineRule="auto"/>
        <w:ind w:right="-238"/>
        <w:rPr>
          <w:rFonts w:ascii="仿宋" w:hAnsi="仿宋" w:eastAsia="仿宋"/>
          <w:b/>
          <w:bCs/>
          <w:color w:val="auto"/>
          <w:sz w:val="24"/>
          <w:szCs w:val="24"/>
          <w:highlight w:val="none"/>
        </w:rPr>
      </w:pPr>
      <w:bookmarkStart w:id="197" w:name="_Toc28316"/>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4</w:t>
      </w:r>
      <w:r>
        <w:rPr>
          <w:rFonts w:ascii="仿宋" w:hAnsi="仿宋" w:eastAsia="仿宋" w:cs="仿宋"/>
          <w:b/>
          <w:bCs/>
          <w:color w:val="auto"/>
          <w:sz w:val="24"/>
          <w:szCs w:val="24"/>
          <w:highlight w:val="none"/>
        </w:rPr>
        <w:t>.3</w:t>
      </w:r>
      <w:bookmarkEnd w:id="197"/>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widowControl w:val="0"/>
        <w:tabs>
          <w:tab w:val="left" w:pos="4970"/>
        </w:tabs>
        <w:spacing w:line="360" w:lineRule="auto"/>
        <w:ind w:left="1850" w:leftChars="771"/>
        <w:jc w:val="both"/>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23776" behindDoc="0" locked="0" layoutInCell="1" allowOverlap="1">
                <wp:simplePos x="0" y="0"/>
                <wp:positionH relativeFrom="column">
                  <wp:posOffset>-83820</wp:posOffset>
                </wp:positionH>
                <wp:positionV relativeFrom="paragraph">
                  <wp:posOffset>46355</wp:posOffset>
                </wp:positionV>
                <wp:extent cx="883920" cy="1011555"/>
                <wp:effectExtent l="0" t="0" r="0" b="0"/>
                <wp:wrapNone/>
                <wp:docPr id="367" name="文本框 758"/>
                <wp:cNvGraphicFramePr/>
                <a:graphic xmlns:a="http://schemas.openxmlformats.org/drawingml/2006/main">
                  <a:graphicData uri="http://schemas.microsoft.com/office/word/2010/wordprocessingShape">
                    <wps:wsp>
                      <wps:cNvSpPr txBox="1">
                        <a:spLocks noChangeArrowheads="1"/>
                      </wps:cNvSpPr>
                      <wps:spPr bwMode="auto">
                        <a:xfrm>
                          <a:off x="0" y="0"/>
                          <a:ext cx="883920" cy="101155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026" o:spt="202" type="#_x0000_t202" style="position:absolute;left:0pt;margin-left:-6.6pt;margin-top:3.65pt;height:79.65pt;width:69.6pt;z-index:251723776;mso-width-relative:page;mso-height-relative:page;" filled="f" stroked="f" coordsize="21600,21600" o:gfxdata="UEsDBAoAAAAAAIdO4kAAAAAAAAAAAAAAAAAEAAAAZHJzL1BLAwQUAAAACACHTuJATHpJ/dYAAAAJ&#10;AQAADwAAAGRycy9kb3ducmV2LnhtbE2PwU7DMBBE70j8g7VI3Fo7KbgQ4vQA4gqiQCVubrxNIuJ1&#10;FLtN+Hu2J7jtaEazb8rN7HtxwjF2gQxkSwUCqQ6uo8bAx/vz4g5ETJac7QOhgR+MsKkuL0pbuDDR&#10;G562qRFcQrGwBtqUhkLKWLfobVyGAYm9Qxi9TSzHRrrRTlzue5krpaW3HfGH1g742GL9vT16A58v&#10;h6/djXptnvztMIVZSfL30pjrq0w9gEg4p78wnPEZHSpm2ocjuSh6A4tslXPUwHoF4uznmrft+dBa&#10;g6xK+X9B9QtQSwMEFAAAAAgAh07iQBaW4WwbAgAAGQQAAA4AAABkcnMvZTJvRG9jLnhtbK1TQW7b&#10;MBC8F+gfCN5rWY4dO4LlII2RokDaBkj7AJqiLKISl13SltwHtD/oqZfe8y6/o0vKcd30kkMvAsld&#10;zs4MR/PLrqnZVqHTYHKeDoacKSOh0Gad808fb17NOHNemELUYFTOd8rxy8XLF/PWZmoEFdSFQkYg&#10;xmWtzXnlvc2SxMlKNcINwCpDxRKwEZ62uE4KFC2hN3UyGg7PkxawsAhSOUeny77ID4j4HEAoSy3V&#10;EuSmUcb3qKhq4UmSq7R1fBHZlqWS/kNZOuVZnXNS6uOXhtB6Fb7JYi6yNQpbaXmgIJ5D4YmmRmhD&#10;Q49QS+EF26D+B6rREsFB6QcSmqQXEh0hFenwiTf3lbAqaiGrnT2a7v4frHy/vUOmi5yfnU85M6Kh&#10;J9//+L7/+bD/9Y1NJ7NgUWtdRp33lnp99xo6Ck6U6+wtyM+OGbiuhFmrK0RoKyUKopiGm8nJ1R7H&#10;BZBV+w4KmiQ2HiJQV2IT/CNHGKHT8+yOz6M6zyQdzmZnFyOqSCqlwzSdTCZxhMgeb1t0/o2ChoVF&#10;zpGeP6KL7a3zgY3IHlvCMAM3uq5jBGrz1wE1hpPIPhDuqftu1R3cWEGxIx0IfaLof6JFBfiVs5bS&#10;lHP3ZSNQcVa/NeTFRToeh/jFzXgyDTLwtLI6rQgjCSrnnrN+ee37yG4s6nVFk3r3DVyRf6WO0oLR&#10;PasDb0pMVHxId4jk6T52/fmj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HpJ/dYAAAAJAQAA&#10;DwAAAAAAAAABACAAAAAiAAAAZHJzL2Rvd25yZXYueG1sUEsBAhQAFAAAAAgAh07iQBaW4WwbAgAA&#10;GQQAAA4AAAAAAAAAAQAgAAAAJQ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olor w:val="auto"/>
          <w:sz w:val="24"/>
          <w:szCs w:val="24"/>
          <w:highlight w:val="none"/>
        </w:rPr>
      </w:pPr>
      <w:bookmarkStart w:id="198" w:name="_Toc47694296"/>
      <w:bookmarkStart w:id="199" w:name="_Toc22248"/>
      <w:bookmarkStart w:id="200" w:name="_Toc8395"/>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5</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发包人代表</w:t>
      </w:r>
      <w:bookmarkEnd w:id="198"/>
      <w:bookmarkEnd w:id="199"/>
      <w:bookmarkEnd w:id="200"/>
    </w:p>
    <w:p>
      <w:pPr>
        <w:rPr>
          <w:rFonts w:ascii="仿宋" w:hAnsi="仿宋" w:eastAsia="仿宋"/>
          <w:b/>
          <w:bCs/>
          <w:color w:val="auto"/>
          <w:highlight w:val="none"/>
          <w:lang w:eastAsia="zh-CN"/>
        </w:rPr>
      </w:pPr>
      <w:bookmarkStart w:id="201"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201"/>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366" name="文本框 760"/>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026" o:spt="202" type="#_x0000_t202" style="position:absolute;left:0pt;margin-left:-9pt;margin-top:4.2pt;height:34.9pt;width:72pt;z-index:251724800;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vjO7xhgCAAAYBAAADgAAAGRycy9lMm9Eb2MueG1srVPNbhMx&#10;EL4j8Q6W72TzR1pW2VSlURFS+ZEKD+B4vVmLtceMneyGB4A34MSFe58rz8HYm6ahXHrgYtme8Tff&#10;9814ftGZhm0Veg224KPBkDNlJZTargv++dP1i3POfBC2FA1YVfCd8vxi8fzZvHW5GkMNTamQEYj1&#10;eesKXofg8izzslZG+AE4ZSlYARoR6IjrrETRErppsvFwOMtawNIhSOU93S77ID8g4lMAoaq0VEuQ&#10;G6Ns6FFRNSKQJF9r5/kisa0qJcOHqvIqsKbgpDSklYrQfhXXbDEX+RqFq7U8UBBPofBIkxHaUtEj&#10;1FIEwTao/4EyWiJ4qMJAgsl6IckRUjEaPvLmthZOJS1ktXdH0/3/g5Xvtx+R6bLgk9mMMysMtXz/&#10;88f+193+93d2NksWtc7nlHnrKDd0r6GjwUlyvbsB+cUzC1e1sGt1iQhtrURJFEfR3OzkaWyKz30E&#10;WbXvoKRKYhMgAXUVmugfOcIIndqzO7ZHdYFJunw1mk6HFJEUmk4n40nilon8/rFDH94oMCxuCo7U&#10;/QQutjc+RDIiv0+JtSxc66ZJE9DYvy4oMd4k8pFvzzx0q46yo4gVlDuSgdAPFH0n2tSA3zhraZgK&#10;7r9uBCrOmreWrEjMafrSYfrybEwq8DSyOo0IKwmq4IGzfnsV+ondONTrmir15lu4JPsqnaQ9sDrw&#10;poFJig/DHSfy9JyyHj70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u6wF1QAAAAgBAAAPAAAA&#10;AAAAAAEAIAAAACIAAABkcnMvZG93bnJldi54bWxQSwECFAAUAAAACACHTuJAvjO7xh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pStyle w:val="22"/>
        <w:tabs>
          <w:tab w:val="left" w:pos="1320"/>
          <w:tab w:val="left" w:pos="1620"/>
        </w:tabs>
        <w:adjustRightInd w:val="0"/>
        <w:snapToGrid w:val="0"/>
        <w:spacing w:line="360" w:lineRule="auto"/>
        <w:rPr>
          <w:rFonts w:ascii="仿宋" w:hAnsi="仿宋" w:eastAsia="仿宋"/>
          <w:b/>
          <w:bCs/>
          <w:color w:val="auto"/>
          <w:sz w:val="24"/>
          <w:szCs w:val="24"/>
          <w:highlight w:val="none"/>
        </w:rPr>
      </w:pPr>
      <w:bookmarkStart w:id="202" w:name="_Toc22456"/>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rPr>
        <w:t>5</w:t>
      </w:r>
      <w:r>
        <w:rPr>
          <w:rFonts w:ascii="仿宋" w:hAnsi="仿宋" w:eastAsia="仿宋" w:cs="仿宋"/>
          <w:b/>
          <w:bCs/>
          <w:color w:val="auto"/>
          <w:sz w:val="24"/>
          <w:szCs w:val="24"/>
          <w:highlight w:val="none"/>
        </w:rPr>
        <w:t>.2</w:t>
      </w:r>
      <w:bookmarkEnd w:id="202"/>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25824" behindDoc="0" locked="0" layoutInCell="1" allowOverlap="1">
                <wp:simplePos x="0" y="0"/>
                <wp:positionH relativeFrom="column">
                  <wp:posOffset>-53340</wp:posOffset>
                </wp:positionH>
                <wp:positionV relativeFrom="paragraph">
                  <wp:posOffset>151765</wp:posOffset>
                </wp:positionV>
                <wp:extent cx="914400" cy="396240"/>
                <wp:effectExtent l="0" t="0" r="0" b="0"/>
                <wp:wrapNone/>
                <wp:docPr id="365"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026" o:spt="202" type="#_x0000_t202" style="position:absolute;left:0pt;margin-left:-4.2pt;margin-top:11.95pt;height:31.2pt;width:72pt;z-index:251725824;mso-width-relative:page;mso-height-relative:page;" filled="f" stroked="f" coordsize="21600,21600" o:gfxdata="UEsDBAoAAAAAAIdO4kAAAAAAAAAAAAAAAAAEAAAAZHJzL1BLAwQUAAAACACHTuJAWakYwNYAAAAI&#10;AQAADwAAAGRycy9kb3ducmV2LnhtbE2PwU7DMBBE70j8g7VI3Fq7TRulaTY9gLiCaAGJmxtvk6jx&#10;OordJvw97gmOoxnNvCl2k+3ElQbfOkZYzBUI4sqZlmuEj8PLLAPhg2ajO8eE8EMeduX9XaFz40Z+&#10;p+s+1CKWsM81QhNCn0vpq4as9nPXE0fv5AarQ5RDLc2gx1huO7lUKpVWtxwXGt3TU0PVeX+xCJ+v&#10;p++vlXqrn+26H92kJNuNRHx8WKgtiEBT+AvDDT+iQxmZju7CxosOYZatYhJhmWxA3PxknYI4ImRp&#10;ArIs5P8D5S9QSwMEFAAAAAgAh07iQBkDw8YYAgAAGAQAAA4AAABkcnMvZTJvRG9jLnhtbK1TwXLT&#10;MBC9M8M/aHQndtI0bT1xOqWZMswUykzhAxRZtjVYWrFSYocPoH/AiQt3vivfwVpOQyiXHrhoJO3q&#10;7XtvV/PLzjRso9BrsDkfj1LOlJVQaFvl/NPHm1fnnPkgbCEasCrnW+X55eLli3nrMjWBGppCISMQ&#10;67PW5bwOwWVJ4mWtjPAjcMpSsAQ0ItARq6RA0RK6aZJJms6SFrBwCFJ5T7fLIcj3iPgcQChLLdUS&#10;5NooGwZUVI0IJMnX2nm+iGzLUslwV5ZeBdbknJSGuFIR2q/6NVnMRVahcLWWewriORSeaDJCWyp6&#10;gFqKINga9T9QRksED2UYSTDJICQ6QirG6RNv7mvhVNRCVnt3MN3/P1j5fvMBmS5yfjI75cwKQy3f&#10;fX/Y/fi1+/mNnc3GvUWt8xll3jvKDd1r6GhwolzvbkF+9szCdS1spa4Qoa2VKIhifJkcPR1wfA+y&#10;at9BQZXEOkAE6ko0vX/kCCN0as/20B7VBSbp8mI8naYUkRQ6uZhNprF9icgeHzv04Y0Cw/pNzpG6&#10;H8HF5tYHkkGpjyl9LQs3umniBDT2rwtK7G8i+Z7vwDx0q25vxgqKLclAGAaKvhNtasCvnLU0TDn3&#10;X9YCFWfNW0tWROY0ffEwPT2bkAo8jqyOI8JKgsp54GzYXodhYtcOdVVTpcF8C1dkX6mjtN7ngdWe&#10;Nw1MVLwf7n4ij88x68+H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akYwNYAAAAIAQAADwAA&#10;AAAAAAABACAAAAAiAAAAZHJzL2Rvd25yZXYueG1sUEsBAhQAFAAAAAgAh07iQBkDw8Y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 具体事宜。发包人代表在授权范围内的行为由发包人承担法律责任。</w:t>
      </w: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olor w:val="auto"/>
          <w:sz w:val="24"/>
          <w:szCs w:val="24"/>
          <w:highlight w:val="none"/>
        </w:rPr>
      </w:pPr>
      <w:bookmarkStart w:id="203" w:name="_Toc32414576"/>
      <w:bookmarkStart w:id="204" w:name="_Toc47694297"/>
      <w:bookmarkStart w:id="205" w:name="_Toc10629"/>
      <w:bookmarkStart w:id="206" w:name="_Toc21179"/>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6</w:t>
      </w:r>
      <w:r>
        <w:rPr>
          <w:rFonts w:ascii="仿宋" w:hAnsi="仿宋" w:eastAsia="仿宋" w:cs="仿宋"/>
          <w:color w:val="auto"/>
          <w:sz w:val="24"/>
          <w:szCs w:val="24"/>
          <w:highlight w:val="none"/>
        </w:rPr>
        <w:t xml:space="preserve">  </w:t>
      </w:r>
      <w:bookmarkEnd w:id="203"/>
      <w:r>
        <w:rPr>
          <w:rFonts w:hint="eastAsia" w:ascii="仿宋" w:hAnsi="仿宋" w:eastAsia="仿宋" w:cs="仿宋"/>
          <w:color w:val="auto"/>
          <w:sz w:val="24"/>
          <w:szCs w:val="24"/>
          <w:highlight w:val="none"/>
        </w:rPr>
        <w:t>设计顾问人</w:t>
      </w:r>
      <w:bookmarkEnd w:id="204"/>
      <w:bookmarkEnd w:id="205"/>
      <w:bookmarkEnd w:id="206"/>
    </w:p>
    <w:p>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914400" cy="601980"/>
                <wp:effectExtent l="0" t="0" r="0" b="0"/>
                <wp:wrapNone/>
                <wp:docPr id="364"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914400" cy="60198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7.4pt;width:72pt;z-index:251869184;mso-width-relative:page;mso-height-relative:page;" filled="f" stroked="f" coordsize="21600,21600" o:gfxdata="UEsDBAoAAAAAAIdO4kAAAAAAAAAAAAAAAAAEAAAAZHJzL1BLAwQUAAAACACHTuJAKdfIL9UAAAAJ&#10;AQAADwAAAGRycy9kb3ducmV2LnhtbE2PwU7DMBBE70j8g7VI3Fo7EZQSsukBxBVEC0jc3HibRMTr&#10;KHab8PdsT3Db0Yxm35Sb2ffqRGPsAiNkSwOKuA6u4wbhffe8WIOKybKzfWBC+KEIm+ryorSFCxO/&#10;0WmbGiUlHAuL0KY0FFrHuiVv4zIMxOIdwuhtEjk22o12knLf69yYlfa2Y/nQ2oEeW6q/t0eP8PFy&#10;+Pq8Ma/Nk78dpjAbzf5eI15fZeYBVKI5/YXhjC/oUAnTPhzZRdUjLLK1bEkIdzmos5+vRO/lMLkB&#10;XZX6/4LqF1BLAwQUAAAACACHTuJAnoc+vhgCAAAYBAAADgAAAGRycy9lMm9Eb2MueG1srVPNbhMx&#10;EL4j8Q6W72Q3IaTNKpuqNCpCKj9S4QEcrzdrsfaYsZPd8gDwBpy4cOe58hyMvWkI5dIDF8v2jL/5&#10;vm/Gi4vetGyn0GuwJR+Pcs6UlVBpuyn5xw/Xz84580HYSrRgVcnvlOcXy6dPFp0r1AQaaCuFjECs&#10;LzpX8iYEV2SZl40ywo/AKUvBGtCIQEfcZBWKjtBNm03yfJZ1gJVDkMp7ul0NQX5AxMcAQl1rqVYg&#10;t0bZMKCiakUgSb7RzvNlYlvXSoZ3de1VYG3JSWlIKxWh/Tqu2XIhig0K12h5oCAeQ+GBJiO0paJH&#10;qJUIgm1R/wNltETwUIeRBJMNQpIjpGKcP/DmthFOJS1ktXdH0/3/g5Vvd++R6arkz2dTzqww1PL9&#10;92/7H7/2P7+ys9k8WtQ5X1DmraPc0L+EngYnyfXuBuQnzyxcNcJu1CUidI0SFVEcx5fZydMBx0eQ&#10;dfcGKqoktgESUF+jif6RI4zQqT13x/aoPjBJl/PxdJpTRFJolo/n56l9mSjuHzv04ZUCw+Km5Ejd&#10;T+Bid+NDJCOK+5RYy8K1bts0Aa3964IS400iH/kOzEO/7g9mrKG6IxkIw0DRd6JNA/iFs46GqeT+&#10;81ag4qx9bcmKxJymLx2mL84mpAJPI+vTiLCSoEoeOBu2V2GY2K1DvWmo0mC+hUuyr9ZJWvR5YHXg&#10;TQOTFB+GO07k6Tll/fn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18gv1QAAAAkBAAAPAAAA&#10;AAAAAAEAIAAAACIAAABkcnMvZG93bnJldi54bWxQSwECFAAUAAAACACHTuJAnoc+vh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规定职责所需的权力。</w:t>
      </w:r>
    </w:p>
    <w:p>
      <w:pPr>
        <w:spacing w:line="360" w:lineRule="auto"/>
        <w:rPr>
          <w:rFonts w:ascii="仿宋" w:hAnsi="仿宋" w:eastAsia="仿宋"/>
          <w:b/>
          <w:bCs/>
          <w:color w:val="auto"/>
          <w:highlight w:val="none"/>
          <w:lang w:eastAsia="zh-CN"/>
        </w:rPr>
      </w:pPr>
      <w:bookmarkStart w:id="207"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2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202565</wp:posOffset>
                </wp:positionV>
                <wp:extent cx="848360" cy="427990"/>
                <wp:effectExtent l="0" t="0" r="0" b="0"/>
                <wp:wrapNone/>
                <wp:docPr id="363"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48360" cy="4279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15.95pt;height:33.7pt;width:66.8pt;z-index:251870208;mso-width-relative:page;mso-height-relative:page;" filled="f" stroked="f" coordsize="21600,21600" o:gfxdata="UEsDBAoAAAAAAIdO4kAAAAAAAAAAAAAAAAAEAAAAZHJzL1BLAwQUAAAACACHTuJAt3SFJdcAAAAJ&#10;AQAADwAAAGRycy9kb3ducmV2LnhtbE2PwU7DMBBE70j8g7VI3FrblFZNmk0PIK4gWkDi5sbbJGq8&#10;jmK3CX+Pe4LjaEYzb4rt5DpxoSG0nhH0XIEgrrxtuUb42L/M1iBCNGxN55kQfijAtry9KUxu/cjv&#10;dNnFWqQSDrlBaGLscylD1ZAzYe574uQd/eBMTHKopR3MmMpdJx+UWklnWk4LjenpqaHqtDs7hM/X&#10;4/fXo3qrn92yH/2kJLtMIt7fabUBEWmKf2G44id0KBPTwZ/ZBtEhzPQ6fYkIC52BuAb0cgXigJBl&#10;C5BlIf8/KH8BUEsDBBQAAAAIAIdO4kAqw8aaHgIAACYEAAAOAAAAZHJzL2Uyb0RvYy54bWytU0uO&#10;EzEQ3SNxB8t70vmRTyud0TDRIKThIw0cwHG70xZtlyk76Q4HgBuwYsOec+UcVLuTTBg2s2DTsqvK&#10;r+q9er24akzFdgq9BpvxQa/PmbIScm03Gf/08fbFjDMfhM1FBVZlfK88v1o+f7aoXaqGUEKVK2QE&#10;Yn1au4yXIbg0SbwslRG+B05ZShaARgS64ibJUdSEbqpk2O9PkhowdwhSeU/RVZfkR0R8CiAUhZZq&#10;BXJrlA0dKqpKBKLkS+08X8Zpi0LJ8L4ovAqsyjgxDfFLTei8br/JciHSDQpXankcQTxlhEecjNCW&#10;mp6hViIItkX9D5TREsFDEXoSTNIRiYoQi0H/kTb3pXAqciGpvTuL7v8frHy3+4BM5xkfTUacWWFo&#10;5Ycf3w8/fx9+fWPTaZSodj6lyntHtaF5BQ0ZJ9L17g7kZ88s3JTCbtQ1ItSlEjmNOGjFTS6etkvx&#10;qW9B1vVbyKmT2AaIQE2BptWPFGGETuvZn9ejmsAkBWfj2WhCGUmp8XA6n8fZEpGeHjv04bUCw9pD&#10;xpG2H8HF7s6HdhiRnkraXhZudVVFB1T2rwAVdhEVLXR8fZq+4xGadUNv2+Aa8j2RQujsRT8XHUrA&#10;r5zVZK2M+y9bgYqz6o0lYeaD8bj1YryMX06HdMHLzPoyI6wkqIwHzrrjTej8u3WoNyV16lZh4ZrE&#10;LHQk+jDVcQVkn8j/aPXWn5f3WPXwe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0hSXXAAAA&#10;CQEAAA8AAAAAAAAAAQAgAAAAIgAAAGRycy9kb3ducmV2LnhtbFBLAQIUABQAAAAIAIdO4kAqw8aa&#10;HgIAACYEAAAOAAAAAAAAAAEAIAAAACYBAABkcnMvZTJvRG9jLnhtbFBLBQYAAAAABgAGAFkBAAC2&#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优化建议、设计变更审核、参与设计评审、参与竣工验收，并及时向承包人提供勘察设计工作方面所需的批准、确认和通知 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pPr>
        <w:spacing w:line="360" w:lineRule="auto"/>
        <w:rPr>
          <w:rFonts w:ascii="仿宋" w:hAnsi="仿宋" w:eastAsia="仿宋"/>
          <w:b/>
          <w:bCs/>
          <w:color w:val="auto"/>
          <w:highlight w:val="none"/>
          <w:lang w:eastAsia="zh-CN"/>
        </w:rPr>
      </w:pPr>
      <w:bookmarkStart w:id="208"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2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0</wp:posOffset>
                </wp:positionV>
                <wp:extent cx="876300" cy="510540"/>
                <wp:effectExtent l="0" t="0" r="0" b="0"/>
                <wp:wrapNone/>
                <wp:docPr id="362"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876300" cy="5105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pt;width:69pt;z-index:251871232;mso-width-relative:page;mso-height-relative:page;" filled="f" stroked="f" coordsize="21600,21600" o:gfxdata="UEsDBAoAAAAAAIdO4kAAAAAAAAAAAAAAAAAEAAAAZHJzL1BLAwQUAAAACACHTuJAoOGSc9QAAAAH&#10;AQAADwAAAGRycy9kb3ducmV2LnhtbE2PwU7DMBBE70j8g7VI3Fo7qKCQZtMDiCuIUpC4ufE2iRqv&#10;o9htwt+zPcFlpNWsZt6Um9n36kxj7AIjZEsDirgOruMGYffxsshBxWTZ2T4wIfxQhE11fVXawoWJ&#10;3+m8TY2SEI6FRWhTGgqtY92St3EZBmLxDmH0Nsk5NtqNdpJw3+s7Yx60tx1LQ2sHemqpPm5PHuHz&#10;9fD9tTJvzbO/H6YwG83+USPe3mRmDSrRnP6e4YIv6FAJ0z6c2EXVIyyyXLYkBNGLLW2g9gi5WYGu&#10;Sv2fv/oFUEsDBBQAAAAIAIdO4kA0tstVIAIAACYEAAAOAAAAZHJzL2Uyb0RvYy54bWytU0tu2zAQ&#10;3RfoHQjua8mOP6lgOUhjpCiQNgXSHoCmKIuoxGGHtCX3AM0Nuuqm+5zL5+iQclw33WTRjcDhDN/M&#10;e/M0v+iamm0VOg0m58NBypkyEgpt1jn//On61TlnzgtTiBqMyvlOOX6xePli3tpMjaCCulDICMS4&#10;rLU5r7y3WZI4WalGuAFYZShZAjbCU4jrpEDREnpTJ6M0nSYtYGERpHKObpd9kh8Q8TmAUJZaqiXI&#10;TaOM71FR1cITJVdp6/giTluWSvrbsnTKszrnxNTHLzWh8yp8k8VcZGsUttLyMIJ4zghPODVCG2p6&#10;hFoKL9gG9T9QjZYIDko/kNAkPZGoCLEYpk+0uauEVZELSe3sUXT3/2Dlh+1HZLrI+dl0xJkRDa18&#10;/+N+//Nh/+s7m82GQaLWuowq7yzV+u4NdGScSNfZG5BfHDNwVQmzVpeI0FZKFDRifJmcPO1xXABZ&#10;te+hoE5i4yECdSU2QT9ShBE6rWd3XI/qPJN0eT6bnqWUkZSaDNPJOK4vEdnjY4vOv1XQsHDIOdL2&#10;I7jY3jhPNKj0sST0MnCt6zo6oDZ/XVBhf6OihQ6vA5Uwfc/Dd6vuIM0Kih2RQujtRT8XHSrAb5y1&#10;ZK2cu68bgYqz+p0hYV4PxzQ68zEYT2YjCvA0szrNCCMJKuees/545Xv/bizqdUWd+lUYuCQxSx2J&#10;hlH7qYh1CMg+kf/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OGSc9QAAAAH&#10;AQAADwAAAAAAAAABACAAAAAiAAAAZHJzL2Rvd25yZXYueG1sUEsBAhQAFAAAAAgAh07iQDS2y1Ug&#10;AgAAJgQAAA4AAAAAAAAAAQAgAAAAIwEAAGRycy9lMm9Eb2MueG1sUEsFBgAAAAAGAAYAWQEAALU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除属于第91条规定的争议外，设计顾问人在职权范围内的工作，发包人应予认可，但下列事项应事先取得发包人的专项批准：</w:t>
      </w:r>
    </w:p>
    <w:p>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（2）根据第5.1款规定发出的发包人要求（包括限额设计指标）；</w:t>
      </w:r>
    </w:p>
    <w:p>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（3）根据第6.1款规定发出的项目基础资料；</w:t>
      </w:r>
    </w:p>
    <w:p>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（4）根据第37条、38条规定批准或发出关于勘察、设计文件的指令；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款规定批准或发出关于勘察、设计方面开始工作的指令；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款规定批准或发出关于勘察、设计方面工作进度的变更指令；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（7）根据第63条规定批准或发出关于工程变更技术审核方面的指令；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pPr>
        <w:spacing w:line="360" w:lineRule="auto"/>
        <w:rPr>
          <w:rFonts w:ascii="仿宋" w:hAnsi="仿宋" w:eastAsia="仿宋"/>
          <w:b/>
          <w:bCs/>
          <w:color w:val="auto"/>
          <w:highlight w:val="none"/>
          <w:lang w:eastAsia="zh-CN"/>
        </w:rPr>
      </w:pPr>
      <w:bookmarkStart w:id="209"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2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361"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4.2pt;width:86pt;z-index:251872256;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jmKffRoCAAAZBAAADgAAAGRycy9lMm9Eb2MueG1srVPNjtMw&#10;EL4j8Q6W7zRtt2zZqOlq2WoR0vIjLTyA6ziNRewxY7dJeQB4A05cuPNcfQ7GTraU5bIHFCmyPeNv&#10;vu+b8eKyMw3bKfQabMEnozFnykootd0U/OOHm2cvOPNB2FI0YFXB98rzy+XTJ4vW5WoKNTSlQkYg&#10;1uetK3gdgsuzzMtaGeFH4JSlYAVoRKAtbrISRUvopsmm4/F51gKWDkEq7+l01Qf5gIiPAYSq0lKt&#10;QG6NsqFHRdWIQJJ8rZ3ny8S2qpQM76rKq8CagpPSkP5UhNbr+M+WC5FvULhay4GCeAyFB5qM0JaK&#10;HqFWIgi2Rf0PlNESwUMVRhJM1gtJjpCKyfiBN3e1cCppIau9O5ru/x+sfLt7j0yXBT87n3BmhaGW&#10;H75/O/z4dfj5lc3n02hR63xOmXeOckP3EjoanCTXu1uQnzyzcF0Lu1FXiNDWSpREcRJvZidXexwf&#10;QdbtGyipktgGSEBdhSb6R44wQqf27I/tUV1gMpYcX0xpgjiTFJud0Zf6l4n8/rZDH14pMCwuCo7U&#10;/oQudrc+RDYiv0+JxSzc6KZJI9DYvw4oMZ4k9pFwTz10625wYw3lnnQg9BNF74kWNeAXzlqapoL7&#10;z1uBirPmtSUvLiYzIstC2syez6e0wdPI+jQirCSoggfO+uV16Ed261BvaqrUu2/hivyrdJIWje5Z&#10;DbxpYpLiYbrjSJ7uU9afF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vGN8nVAAAABwEAAA8A&#10;AAAAAAAAAQAgAAAAIgAAAGRycy9kb3ducmV2LnhtbFBLAQIUABQAAAAIAIdO4kCOYp99GgIAABk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pPr>
        <w:spacing w:line="360" w:lineRule="auto"/>
        <w:rPr>
          <w:rFonts w:ascii="仿宋" w:hAnsi="仿宋" w:eastAsia="仿宋"/>
          <w:b/>
          <w:bCs/>
          <w:color w:val="auto"/>
          <w:highlight w:val="none"/>
          <w:lang w:eastAsia="zh-CN"/>
        </w:rPr>
      </w:pPr>
      <w:bookmarkStart w:id="210"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2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15240</wp:posOffset>
                </wp:positionV>
                <wp:extent cx="914400" cy="579120"/>
                <wp:effectExtent l="0" t="0" r="0" b="0"/>
                <wp:wrapNone/>
                <wp:docPr id="360"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914400" cy="57912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5.6pt;width:72pt;z-index:251873280;mso-width-relative:page;mso-height-relative:page;" filled="f" stroked="f" coordsize="21600,21600" o:gfxdata="UEsDBAoAAAAAAIdO4kAAAAAAAAAAAAAAAAAEAAAAZHJzL1BLAwQUAAAACACHTuJA6aROC9UAAAAI&#10;AQAADwAAAGRycy9kb3ducmV2LnhtbE2PzU7DMBCE70i8g7VI3Fo7oURtyKaHVlxB9AeJmxtvk4h4&#10;HcVuE94e9wTH0YxmvinWk+3ElQbfOkZI5goEceVMyzXCYf86W4LwQbPRnWNC+CEP6/L+rtC5cSN/&#10;0HUXahFL2OcaoQmhz6X0VUNW+7nriaN3doPVIcqhlmbQYyy3nUyVyqTVLceFRve0aaj63l0swvHt&#10;/PW5UO/11j73o5uUZLuSiI8PiXoBEWgKf2G44Ud0KCPTyV3YeNEhzJJl/BIQ0gWIm59mUZ8QVk8Z&#10;yLKQ/w+Uv1BLAwQUAAAACACHTuJAtfVUaRgCAAAYBAAADgAAAGRycy9lMm9Eb2MueG1srVNBbhMx&#10;FN0jcQfLezJJmjbtKJOqNCpCKhSpcADH48lYjP3Nt5OZcAB6A1Zs2HOunINvTxpC2XTBZmT7f7//&#10;3vOb2WVnGrZR6DXYgo8GQ86UlVBquyr4p483r84580HYUjRgVcG3yvPL+csXs9blagw1NKVCRiDW&#10;560reB2Cy7PMy1oZ4QfglKViBWhEoC2ushJFS+imycbD4VnWApYOQSrv6XTRF/keEZ8DCFWlpVqA&#10;XBtlQ4+KqhGBJPlaO8/niW1VKRnuqsqrwJqCk9KQvjSE1sv4zeYzka9QuFrLPQXxHApPNBmhLQ09&#10;QC1EEGyN+h8ooyWChyoMJJisF5IcIRWj4RNv7mvhVNJCVnt3MN3/P1j5fvMBmS4LfnJGnlhh6Ml3&#10;3x92P37tfn5j0+lJtKh1PqfOe0e9oXsNHQUnyfXuFuRnzyxc18Ku1BUitLUSJVEcxZvZ0dUex0eQ&#10;ZfsOSpok1gESUFehif6RI4zQicr28DyqC0zS4cVoMhlSRVLpdHoxGqfny0T+eNmhD28UGBYXBUd6&#10;/QQuNrc+RDIif2yJsyzc6KZJCWjsXwfUGE8S+ci3Zx66Zbc3YwnllmQg9IGi34kWNeBXzloKU8H9&#10;l7VAxVnz1pIViTmlL20mp1NizvC4sjyuCCsJquCBs355HfrErh3qVU2TevMtXJF9lU7Sos89qz1v&#10;CkxSvA93TOTxPnX9+aH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pE4L1QAAAAgBAAAPAAAA&#10;AAAAAAEAIAAAACIAAABkcnMvZG93bnJldi54bWxQSwECFAAUAAAACACHTuJAtfVUaR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pPr>
        <w:spacing w:line="360" w:lineRule="auto"/>
        <w:rPr>
          <w:rFonts w:ascii="仿宋" w:hAnsi="仿宋" w:eastAsia="仿宋"/>
          <w:b/>
          <w:bCs/>
          <w:color w:val="auto"/>
          <w:highlight w:val="none"/>
          <w:lang w:eastAsia="zh-CN"/>
        </w:rPr>
      </w:pPr>
      <w:bookmarkStart w:id="211"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2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59"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46.8pt;width:72pt;z-index:25187430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1+DEEBkCAAAYBAAADgAAAGRycy9lMm9Eb2MueG1srVPNbhMx&#10;EL4j8Q6W72STNGnJKpuqNCpCKj9S4QEcrzdrsfaYsZPd8AD0DThx4c5z5TkYe9MQyqUHLpbtGX/z&#10;fd+M55edadhWoddgCz4aDDlTVkKp7brgnz7evHjJmQ/ClqIBqwq+U55fLp4/m7cuV2OooSkVMgKx&#10;Pm9dwesQXJ5lXtbKCD8ApywFK0AjAh1xnZUoWkI3TTYeDs+zFrB0CFJ5T7fLPsgPiPgUQKgqLdUS&#10;5MYoG3pUVI0IJMnX2nm+SGyrSsnwvqq8CqwpOCkNaaUitF/FNVvMRb5G4WotDxTEUyg80mSEtlT0&#10;CLUUQbAN6n+gjJYIHqowkGCyXkhyhFSMho+8uauFU0kLWe3d0XT//2Dlu+0HZLos+Nl0xpkVhlq+&#10;/36///Fr//Mbu7iYRIta53PKvHOUG7pX0NHgJLne3YL87JmF61rYtbpChLZWoiSKo/gyO3na4/gI&#10;smrfQkmVxCZAAuoqNNE/coQROrVnd2yP6gKTdDkbTSZDikgKTWeTs/PUvkzkD48d+vBagWFxU3Ck&#10;7idwsb31IZIR+UNKrGXhRjdNmoDG/nVBifEmkY98e+ahW3UHM1ZQ7kgGQj9Q9J1oUwN+5aylYSq4&#10;/7IRqDhr3liyIjGn6UuHyfRiTCrwNLI6jQgrCarggbN+ex36id041OuaKvXmW7gi+yqdpEWfe1YH&#10;3jQwSfFhuONEnp5T1p8P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yfpMtUAAAAHAQAADwAA&#10;AAAAAAABACAAAAAiAAAAZHJzL2Rvd25yZXYueG1sUEsBAhQAFAAAAAgAh07iQNfgxBAZAgAAGAQA&#10;AA4AAAAAAAAAAQAgAAAAJAEAAGRycy9lMm9Eb2MueG1sUEsFBgAAAAAGAAYAWQEAAK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规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pPr>
        <w:spacing w:line="360" w:lineRule="auto"/>
        <w:rPr>
          <w:rFonts w:ascii="仿宋" w:hAnsi="仿宋" w:eastAsia="仿宋"/>
          <w:color w:val="auto"/>
          <w:highlight w:val="none"/>
          <w:lang w:eastAsia="zh-CN"/>
        </w:rPr>
      </w:pPr>
      <w:bookmarkStart w:id="212"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212"/>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58"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8pt;width:72pt;z-index:25187532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OIqHpRkCAAAYBAAADgAAAGRycy9lMm9Eb2MueG1srVPNbhMx&#10;EL4j8Q6W72STNGnoKpuqNCpCKj9S4QEcrzdrsfaYsZPd8AD0DThx4c5z5TkYe9MQyqUHLpbtGX/z&#10;fd+M55edadhWoddgCz4aDDlTVkKp7brgnz7evHjJmQ/ClqIBqwq+U55fLp4/m7cuV2OooSkVMgKx&#10;Pm9dwesQXJ5lXtbKCD8ApywFK0AjAh1xnZUoWkI3TTYeDs+zFrB0CFJ5T7fLPsgPiPgUQKgqLdUS&#10;5MYoG3pUVI0IJMnX2nm+SGyrSsnwvqq8CqwpOCkNaaUitF/FNVvMRb5G4WotDxTEUyg80mSEtlT0&#10;CLUUQbAN6n+gjJYIHqowkGCyXkhyhFSMho+8uauFU0kLWe3d0XT//2Dlu+0HZLos+NmUGm+FoZbv&#10;v9/vf/za//zGZrNptKh1PqfMO0e5oXsFHQ1OkuvdLcjPnlm4roVdqytEaGslSqI4ii+zk6c9jo8g&#10;q/YtlFRJbAIkoK5CE/0jRxihU3t2x/aoLjBJlxejyWRIEUmh6cXk7Dy1LxP5w2OHPrxWYFjcFByp&#10;+wlcbG99iGRE/pASa1m40U2TJqCxf11QYrxJ5CPfnnnoVt3BjBWUO5KB0A8UfSfa1IBfOWtpmAru&#10;v2wEKs6aN5asSMxp+tJhMp2NSQWeRlanEWElQRU8cNZvr0M/sRuHel1Tpd58C1dkX6WTtOhzz+rA&#10;mwYmKT4Md5zI03PK+vOh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yfpMtUAAAAHAQAADwAA&#10;AAAAAAABACAAAAAiAAAAZHJzL2Rvd25yZXYueG1sUEsBAhQAFAAAAAgAh07iQDiKh6UZAgAAG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bCs w:val="0"/>
          <w:color w:val="auto"/>
          <w:sz w:val="24"/>
          <w:szCs w:val="24"/>
          <w:highlight w:val="none"/>
        </w:rPr>
      </w:pPr>
      <w:bookmarkStart w:id="213" w:name="_Toc29786"/>
      <w:bookmarkStart w:id="214" w:name="_Toc32042"/>
      <w:bookmarkStart w:id="215" w:name="_Toc47694298"/>
      <w:r>
        <w:rPr>
          <w:rFonts w:ascii="仿宋" w:hAnsi="仿宋" w:eastAsia="仿宋" w:cs="仿宋"/>
          <w:bCs w:val="0"/>
          <w:color w:val="auto"/>
          <w:sz w:val="24"/>
          <w:szCs w:val="24"/>
          <w:highlight w:val="none"/>
        </w:rPr>
        <w:t>2</w:t>
      </w:r>
      <w:r>
        <w:rPr>
          <w:rFonts w:hint="eastAsia" w:ascii="仿宋" w:hAnsi="仿宋" w:eastAsia="仿宋" w:cs="仿宋"/>
          <w:bCs w:val="0"/>
          <w:color w:val="auto"/>
          <w:sz w:val="24"/>
          <w:szCs w:val="24"/>
          <w:highlight w:val="none"/>
        </w:rPr>
        <w:t>7</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监理人</w:t>
      </w:r>
      <w:bookmarkEnd w:id="213"/>
      <w:bookmarkEnd w:id="214"/>
      <w:bookmarkEnd w:id="215"/>
    </w:p>
    <w:p>
      <w:pPr>
        <w:rPr>
          <w:rFonts w:ascii="仿宋" w:hAnsi="仿宋" w:eastAsia="仿宋"/>
          <w:b/>
          <w:bCs/>
          <w:color w:val="auto"/>
          <w:highlight w:val="none"/>
          <w:lang w:eastAsia="zh-CN"/>
        </w:rPr>
      </w:pPr>
      <w:bookmarkStart w:id="216"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216"/>
    </w:p>
    <w:p>
      <w:pPr>
        <w:pStyle w:val="33"/>
        <w:widowControl w:val="0"/>
        <w:ind w:left="1850" w:leftChars="771"/>
        <w:jc w:val="both"/>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357" name="文本框 762"/>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026" o:spt="202" type="#_x0000_t202" style="position:absolute;left:0pt;margin-left:-9pt;margin-top:4.2pt;height:30.7pt;width:72pt;z-index:251726848;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D9RWaBkCAAAYBAAADgAAAGRycy9lMm9Eb2MueG1srVPNbhMx&#10;EL4j8Q6W72STNG2TVTZVaVSEVH6kwgM4Xm/WYu0xYye74QHgDThx4c5z5TkYe9MQyqUHLpbtGX/z&#10;fd+M51edadhWoddgCz4aDDlTVkKp7brgHz/cvphy5oOwpWjAqoLvlOdXi+fP5q3L1RhqaEqFjECs&#10;z1tX8DoEl2eZl7Uywg/AKUvBCtCIQEdcZyWKltBNk42Hw4usBSwdglTe0+2yD/IDIj4FEKpKS7UE&#10;uTHKhh4VVSMCSfK1dp4vEtuqUjK8qyqvAmsKTkpDWqkI7VdxzRZzka9RuFrLAwXxFAqPNBmhLRU9&#10;Qi1FEGyD+h8ooyWChyoMJJisF5IcIRWj4SNv7mvhVNJCVnt3NN3/P1j5dvsemS4LfnZ+yZkVhlq+&#10;//5t/+PX/udXdnkxjha1zueUee8oN3QvoaPBSXK9uwP5yTMLN7Wwa3WNCG2tREkUR/FldvK0x/ER&#10;ZNW+gZIqiU2ABNRVaKJ/5AgjdGrP7tge1QUm6XI2mkyGFJEUOpvOprPUvkzkD48d+vBKgWFxU3Ck&#10;7idwsb3zIZIR+UNKrGXhVjdNmoDG/nVBifEmkY98e+ahW3UHM1ZQ7kgGQj9Q9J1oUwN+4aylYSq4&#10;/7wRqDhrXluyIjGn6UuHyfnlmFTgaWR1GhFWElTBA2f99ib0E7txqNc1VerNt3BN9lU6SYs+96wO&#10;vGlgkuLDcMeJPD2nrD8fe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hgEgtUAAAAIAQAADwAA&#10;AAAAAAABACAAAAAiAAAAZHJzL2Rvd25yZXYueG1sUEsBAhQAFAAAAAgAh07iQA/UVmgZAgAAG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rPr>
        <w:t>发包人应在专用条款中写明负责合同工程监理专业技术的监理人名称和监理人代表，并在开工前将监理人及监理人代表以书面形式通知承包人，授予其代表发包人履行合同规定职责所需的权力。</w:t>
      </w:r>
    </w:p>
    <w:p>
      <w:pPr>
        <w:spacing w:line="360" w:lineRule="auto"/>
        <w:rPr>
          <w:rFonts w:ascii="仿宋" w:hAnsi="仿宋" w:eastAsia="仿宋"/>
          <w:b/>
          <w:bCs/>
          <w:color w:val="auto"/>
          <w:highlight w:val="none"/>
          <w:lang w:eastAsia="zh-CN"/>
        </w:rPr>
      </w:pPr>
      <w:bookmarkStart w:id="217"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21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356"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026" o:spt="202" type="#_x0000_t202" style="position:absolute;left:0pt;margin-left:-9pt;margin-top:3pt;height:38.1pt;width:72pt;z-index:251727872;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tZdaJBkCAAAYBAAADgAAAGRycy9lMm9Eb2MueG1srVNLbtsw&#10;EN0X6B0I7mvJn9iuYDlIY6QokH6AtAegKcoiKnHYIW3JPUBzg6666b7n8jk6pBzXTTdZdEOQnOGb&#10;994MF5ddU7OdQqfB5Hw4SDlTRkKhzSbnnz7evJhz5rwwhajBqJzvleOXy+fPFq3N1AgqqAuFjECM&#10;y1qb88p7myWJk5VqhBuAVYaCJWAjPB1xkxQoWkJv6mSUptOkBSwsglTO0e2qD/IjIj4FEMpSS7UC&#10;uW2U8T0qqlp4kuQqbR1fRrZlqaR/X5ZOeVbnnJT6uFIR2q/DmiwXItugsJWWRwriKRQeaWqENlT0&#10;BLUSXrAt6n+gGi0RHJR+IKFJeiHREVIxTB95c1cJq6IWstrZk+nu/8HKd7sPyHSR8/HFlDMjGmr5&#10;4fv94cevw89vbDYdB4ta6zLKvLOU67tX0NHgRLnO3oL87JiB60qYjbpChLZSoiCKw/AyOXva47gA&#10;sm7fQkGVxNZDBOpKbIJ/5AgjdGrP/tQe1Xkm6fLlcDJJKSIpNJmP57PYvkRkD48tOv9aQcPCJudI&#10;3Y/gYnfrfCAjsoeUUMvAja7rOAG1+euCEsNNJB/49sx9t+6OZqyh2JMMhH6g6DvRpgL8yllLw5Rz&#10;92UrUHFWvzFkRWRO0xcPk4vZiFTgeWR9HhFGElTOPWf99tr3E7u1qDcVVerNN3BF9pU6Sgs+96yO&#10;vGlgouLjcIeJPD/HrD8f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YTtUAAAAIAQAADwAA&#10;AAAAAAABACAAAAAiAAAAZHJzL2Rvd25yZXYueG1sUEsBAhQAFAAAAAgAh07iQLWXWiQZAgAAG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规定和必然隐含的职权，代表发包人负责监督、检查合同工程的施工进度、质量、投资（造价）和安全，试验和检验承包人使用的与合同工程有关的材料、工程设备、施工设备和施工工艺，及时向承包人提供工作所需的批准、确认和通知等指令。监理人无权免除或变更合同规定的合同任何一方当事人在合同履行期间的权利和义务。</w:t>
      </w:r>
    </w:p>
    <w:p>
      <w:pPr>
        <w:pStyle w:val="40"/>
        <w:rPr>
          <w:color w:val="auto"/>
          <w:highlight w:val="none"/>
        </w:rPr>
      </w:pPr>
    </w:p>
    <w:p>
      <w:pPr>
        <w:spacing w:line="360" w:lineRule="auto"/>
        <w:rPr>
          <w:rFonts w:ascii="仿宋" w:hAnsi="仿宋" w:eastAsia="仿宋"/>
          <w:b/>
          <w:bCs/>
          <w:color w:val="auto"/>
          <w:highlight w:val="none"/>
          <w:lang w:eastAsia="zh-CN"/>
        </w:rPr>
      </w:pPr>
      <w:bookmarkStart w:id="218"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2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355" name="文本框 764"/>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026" o:spt="202" type="#_x0000_t202" style="position:absolute;left:0pt;margin-left:-9pt;margin-top:5.4pt;height:32.3pt;width:72pt;z-index:251728896;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qZbYCRgCAAAYBAAADgAAAGRycy9lMm9Eb2MueG1srVPNjtMw&#10;EL4j8Q6W7zRJaXcharpatlqEtPxICw/gOk5jkXjM2G1SHoB9A05cuPNcfQ7GTraU5bIHLpbtGX/z&#10;fd+MFxd927CdQqfBFDybpJwpI6HUZlPwTx+vn73gzHlhStGAUQXfK8cvlk+fLDqbqynU0JQKGYEY&#10;l3e24LX3Nk8SJ2vVCjcBqwwFK8BWeDriJilRdITeNsk0Tc+SDrC0CFI5R7erIchHRHwMIFSVlmoF&#10;ctsq4wdUVI3wJMnV2jq+jGyrSkn/vqqc8qwpOCn1caUitF+HNVkuRL5BYWstRwriMRQeaGqFNlT0&#10;CLUSXrAt6n+gWi0RHFR+IqFNBiHREVKRpQ+8ua2FVVELWe3s0XT3/2Dlu90HZLos+PP5nDMjWmr5&#10;4fvd4cevw89v7PxsFizqrMsp89ZSru9fQU+DE+U6ewPys2MGrmphNuoSEbpaiZIoZuFlcvJ0wHEB&#10;ZN29hZIqia2HCNRX2Ab/yBFG6NSe/bE9qvdM0uXLbDZLKSIpNMvSaRbbl4j8/rFF518raFnYFByp&#10;+xFc7G6cD2REfp8Sahm41k0TJ6Axf11QYriJ5APfgbnv1/1oxhrKPclAGAaKvhNtasCvnHU0TAV3&#10;X7YCFWfNG0NWROY0ffEwm59PSQWeRtanEWEkQRXcczZsr/wwsVuLelNTpcF8A5dkX6WjtODzwGrk&#10;TQMTFY/DHSby9Byz/n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wS2h1QAAAAkBAAAPAAAA&#10;AAAAAAEAIAAAACIAAABkcnMvZG93bnJldi54bWxQSwECFAAUAAAACACHTuJAqZbYCR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除属于第91条规定的争议外，监理人在职权范围内的工作，发包人应予认可，但下列事项应事先取得发包人的专项批准：</w:t>
      </w:r>
    </w:p>
    <w:p>
      <w:pPr>
        <w:widowControl w:val="0"/>
        <w:numPr>
          <w:ilvl w:val="0"/>
          <w:numId w:val="3"/>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款规定同意承包人分包工程；</w:t>
      </w:r>
    </w:p>
    <w:p>
      <w:pPr>
        <w:widowControl w:val="0"/>
        <w:numPr>
          <w:ilvl w:val="0"/>
          <w:numId w:val="3"/>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款规定批准承包人将材料和工程设备、施工设备移出施工场地；</w:t>
      </w:r>
    </w:p>
    <w:p>
      <w:pPr>
        <w:widowControl w:val="0"/>
        <w:numPr>
          <w:ilvl w:val="0"/>
          <w:numId w:val="3"/>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根据第40条规定批准承包人的设备及工器具购置方案、施工组织设计和工程进度计划；</w:t>
      </w:r>
    </w:p>
    <w:p>
      <w:pPr>
        <w:widowControl w:val="0"/>
        <w:numPr>
          <w:ilvl w:val="0"/>
          <w:numId w:val="3"/>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款规定发出的工程开工令；</w:t>
      </w:r>
    </w:p>
    <w:p>
      <w:pPr>
        <w:widowControl w:val="0"/>
        <w:numPr>
          <w:ilvl w:val="0"/>
          <w:numId w:val="3"/>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款规定发出加快进度的变更指令；</w:t>
      </w:r>
    </w:p>
    <w:p>
      <w:pPr>
        <w:widowControl w:val="0"/>
        <w:numPr>
          <w:ilvl w:val="0"/>
          <w:numId w:val="3"/>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根据第56.7款规定使用替换材料；</w:t>
      </w:r>
    </w:p>
    <w:p>
      <w:pPr>
        <w:widowControl w:val="0"/>
        <w:numPr>
          <w:ilvl w:val="0"/>
          <w:numId w:val="3"/>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根据第73条规定发出使用暂列金额的工作指令；</w:t>
      </w:r>
    </w:p>
    <w:p>
      <w:pPr>
        <w:widowControl w:val="0"/>
        <w:numPr>
          <w:ilvl w:val="0"/>
          <w:numId w:val="3"/>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根据第74条规定发出使用计日工的工作指令；</w:t>
      </w:r>
    </w:p>
    <w:p>
      <w:pPr>
        <w:widowControl w:val="0"/>
        <w:numPr>
          <w:ilvl w:val="0"/>
          <w:numId w:val="3"/>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根据第63条规定指令或批准的工程变更；</w:t>
      </w:r>
    </w:p>
    <w:p>
      <w:pPr>
        <w:widowControl w:val="0"/>
        <w:numPr>
          <w:ilvl w:val="0"/>
          <w:numId w:val="3"/>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根据第81条规定指令或确认的现场签证；</w:t>
      </w:r>
    </w:p>
    <w:p>
      <w:pPr>
        <w:widowControl w:val="0"/>
        <w:numPr>
          <w:ilvl w:val="0"/>
          <w:numId w:val="3"/>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pPr>
        <w:spacing w:line="360" w:lineRule="auto"/>
        <w:rPr>
          <w:rFonts w:ascii="仿宋" w:hAnsi="仿宋" w:eastAsia="仿宋"/>
          <w:b/>
          <w:bCs/>
          <w:color w:val="auto"/>
          <w:highlight w:val="none"/>
          <w:lang w:eastAsia="zh-CN"/>
        </w:rPr>
      </w:pPr>
      <w:bookmarkStart w:id="219" w:name="_Toc19055"/>
      <w:r>
        <w:rPr>
          <w:color w:val="auto"/>
          <w:highlight w:val="none"/>
          <w:lang w:eastAsia="zh-CN" w:bidi="ar-SA"/>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354"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026" o:spt="202" type="#_x0000_t202" style="position:absolute;left:0pt;margin-left:-9pt;margin-top:21.9pt;height:36pt;width:81pt;z-index:25187635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D82lfhGAIAABkEAAAOAAAAZHJzL2Uyb0RvYy54bWytU8uO&#10;0zAU3SPxD5b3NGlpZ4ao6WiYahDS8JAGPsB1nMYi9jXXbpPyAfAHrNiw57v6HVw7nVKGzSzYRLbv&#10;9bnnHJ/ML3vTsq1Cr8GWfDzKOVNWQqXtuuQfP9w8u+DMB2Er0YJVJd8pzy8XT5/MO1eoCTTQVgoZ&#10;gVhfdK7kTQiuyDIvG2WEH4FTloo1oBGBtrjOKhQdoZs2m+T5WdYBVg5BKu/pdDkU+QERHwMIda2l&#10;WoLcGGXDgIqqFYEk+UY7zxeJbV0rGd7VtVeBtSUnpSF9aQitV/GbLeaiWKNwjZYHCuIxFB5oMkJb&#10;GnqEWoog2Ab1P1BGSwQPdRhJMNkgJDlCKsb5A2/uGuFU0kJWe3c03f8/WPl2+x6Zrkr+fDblzApD&#10;T77//m3/49f+51d2fjaLFnXOF9R556g39C+hp+Akud7dgvzkmYXrRti1ukKErlGiIorjeDM7uTrg&#10;+Aiy6t5ARZPEJkAC6ms00T9yhBE6Pc/u+DyqD0zGkfnk4jynkqTadHZOaUojRHF/26EPrxQYFhcl&#10;R3r+hC62tz5ENqK4b4nDLNzotk0RaO1fB9QYTxL7SHigHvpVf3BjBdWOdCAMiaL/iRYN4BfOOkpT&#10;yf3njUDFWfvakhcvxtNpjF/aJOqc4WlldVoRVhJUyQNnw/I6DJHdONTrhiYN7lu4Iv9qnaRFowdW&#10;B96UmKT4kO4YydN96vrzR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mYSoXXAAAACgEAAA8A&#10;AAAAAAAAAQAgAAAAIgAAAGRycy9kb3ducmV2LnhtbFBLAQIUABQAAAAIAIdO4kD82lfhGAIAABkE&#10;AAAOAAAAAAAAAAEAIAAAACYBAABkcnMvZTJvRG9jLnhtbFBLBQYAAAAABgAGAFkBAACw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2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pPr>
        <w:widowControl w:val="0"/>
        <w:tabs>
          <w:tab w:val="left" w:pos="1260"/>
        </w:tabs>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pPr>
        <w:spacing w:line="360" w:lineRule="auto"/>
        <w:rPr>
          <w:rFonts w:ascii="仿宋" w:hAnsi="仿宋" w:eastAsia="仿宋"/>
          <w:b/>
          <w:bCs/>
          <w:color w:val="auto"/>
          <w:highlight w:val="none"/>
          <w:lang w:eastAsia="zh-CN"/>
        </w:rPr>
      </w:pPr>
      <w:bookmarkStart w:id="220"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2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353" name="文本框 766"/>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026" o:spt="202" type="#_x0000_t202" style="position:absolute;left:0pt;margin-left:-9pt;margin-top:3.9pt;height:33.9pt;width:72pt;z-index:251729920;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Df0dFSGAIAABgEAAAOAAAAZHJzL2Uyb0RvYy54bWytU82O0zAQ&#10;viPxDpbvNOnvQtR0tWy1CGn5kRYewHWcxiLxmLHbpDwAvAEnLtx5rj4HYydbynLZAxfL9oy/+b5v&#10;xsvLrqnZXqHTYHI+HqWcKSOh0Gab848fbp4958x5YQpRg1E5PyjHL1dPnyxbm6kJVFAXChmBGJe1&#10;NueV9zZLEicr1Qg3AqsMBUvARng64jYpULSE3tTJJE0XSQtYWASpnKPbdR/kAyI+BhDKUku1Brlr&#10;lPE9KqpaeJLkKm0dX0W2Zamkf1eWTnlW55yU+rhSEdpvwpqsliLborCVlgMF8RgKDzQ1QhsqeoJa&#10;Cy/YDvU/UI2WCA5KP5LQJL2Q6AipGKcPvLmrhFVRC1nt7Ml09/9g5dv9e2S6yPl0PuXMiIZafvz+&#10;7fjj1/HnV3axWASLWusyyryzlOu7l9DR4ES5zt6C/OSYgetKmK26QoS2UqIgiuPwMjl72uO4ALJp&#10;30BBlcTOQwTqSmyCf+QII3Rqz+HUHtV5JunyxXg2SykiKTSbpvNpbF8isvvHFp1/paBhYZNzpO5H&#10;cLG/dT6QEdl9Sqhl4EbXdZyA2vx1QYnhJpIPfHvmvtt0gxkbKA4kA6EfKPpOtKkAv3DW0jDl3H3e&#10;CVSc1a8NWRGZ0/TFw2x+MSEVeB7ZnEeEkQSVc89Zv732/cTuLOptRZV68w1ckX2ljtKCzz2rgTcN&#10;TFQ8DHeYyPNzzPrzoV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Wd8frUAAAACAEAAA8AAAAA&#10;AAAAAQAgAAAAIgAAAGRycy9kb3ducmV2LnhtbFBLAQIUABQAAAAIAIdO4kDf0dFSGAIAABg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pPr>
        <w:spacing w:line="360" w:lineRule="auto"/>
        <w:rPr>
          <w:rFonts w:ascii="仿宋" w:hAnsi="仿宋" w:eastAsia="仿宋"/>
          <w:color w:val="auto"/>
          <w:highlight w:val="none"/>
          <w:lang w:eastAsia="zh-CN"/>
        </w:rPr>
      </w:pPr>
      <w:bookmarkStart w:id="221"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221"/>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352"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026" o:spt="202" type="#_x0000_t202" style="position:absolute;left:0pt;margin-left:-9pt;margin-top:1.7pt;height:34.9pt;width:72pt;z-index:251730944;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AhaXdIYAgAAGAQAAA4AAABkcnMvZTJvRG9jLnhtbK1TzW4T&#10;MRC+I/EOlu9k89emrLKpSqMipPIjFR7A8XqzFmuPGTvZDQ8Ab8CJC/c+V56DsTcNoVx64GLZnvE3&#10;3/fNeH7ZmYZtFXoNtuCjwZAzZSWU2q4L/unjzYsLznwQthQNWFXwnfL8cvH82bx1uRpDDU2pkBGI&#10;9XnrCl6H4PIs87JWRvgBOGUpWAEaEeiI66xE0RK6abLxcHietYClQ5DKe7pd9kF+QMSnAEJVaamW&#10;IDdG2dCjompEIEm+1s7zRWJbVUqG91XlVWBNwUlpSCsVof0qrtliLvI1CldreaAgnkLhkSYjtKWi&#10;R6ilCIJtUP8DZbRE8FCFgQST9UKSI6RiNHzkzV0tnEpayGrvjqb7/wcr320/INNlwSdnY86sMNTy&#10;/Y/v+5/3+1/f2Ox8Fi1qnc8p885RbuheQUeDk+R6dwvys2cWrmth1+oKEdpaiZIojuLL7ORpj+Mj&#10;yKp9CyVVEpsACair0ET/yBFG6NSe3bE9qgtM0uXL0XQ6pIik0HQ6GU9S+zKRPzx26MNrBYbFTcGR&#10;up/AxfbWh0hG5A8psZaFG900aQIa+9cFJcabRD7y7ZmHbtUdzFhBuSMZCP1A0XeiTQ34lbOWhqng&#10;/stGoOKseWPJisScpi8dpmezManA08jqNCKsJKiCB8767XXoJ3bjUK9rqtSbb+GK7Kt0khZ97lkd&#10;eNPAJMWH4Y4TeXpOWX8+9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IZsdYAAAAIAQAADwAA&#10;AAAAAAABACAAAAAiAAAAZHJzL2Rvd25yZXYueG1sUEsBAhQAFAAAAAgAh07iQAhaXdI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规定授权给其任命的监理人代表，亦可将其授权撤回。监理人代表行使监理人授予的职权，对监理人负责。监理人代表在监理人授予职权范围内工作，监理人应予认可，但监理人保留因监理人代表未反对合同工程的工程质量检查、材料和工程设备使用等工作的错误而否定该类工作，并发出纠正指令的权力。</w:t>
      </w:r>
    </w:p>
    <w:p>
      <w:pPr>
        <w:spacing w:line="360" w:lineRule="auto"/>
        <w:rPr>
          <w:rFonts w:ascii="仿宋" w:hAnsi="仿宋" w:eastAsia="仿宋"/>
          <w:b/>
          <w:bCs/>
          <w:color w:val="auto"/>
          <w:highlight w:val="none"/>
          <w:lang w:eastAsia="zh-CN"/>
        </w:rPr>
      </w:pPr>
      <w:bookmarkStart w:id="222"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22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351" name="文本框 768"/>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026" o:spt="202" type="#_x0000_t202" style="position:absolute;left:0pt;margin-left:-9pt;margin-top:2.3pt;height:48.1pt;width:72pt;z-index:251731968;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CmBdBEYAgAAGAQAAA4AAABkcnMvZTJvRG9jLnhtbK1TzY7T&#10;MBC+I/EOlu80Sem2JWq6WrZahLT8SAsP4DpOY5F4zNhtUh4A3oATF+48V5+DsdMtZbnsgYtle8bf&#10;fN8348Vl3zZsp9BpMAXPRilnykgotdkU/OOHm2dzzpwXphQNGFXwvXL8cvn0yaKzuRpDDU2pkBGI&#10;cXlnC157b/MkcbJWrXAjsMpQsAJshacjbpISRUfobZOM03SadIClRZDKObpdDUF+RMTHAEJVaalW&#10;ILetMn5ARdUIT5Jcra3jy8i2qpT076rKKc+agpNSH1cqQvt1WJPlQuQbFLbW8khBPIbCA02t0IaK&#10;nqBWwgu2Rf0PVKslgoPKjyS0ySAkOkIqsvSBN3e1sCpqIaudPZnu/h+sfLt7j0yXBX9+kXFmREst&#10;P3z/dvjx6/DzK5tN58GizrqcMu8s5fr+JfQ0OFGus7cgPzlm4LoWZqOuEKGrlSiJYhZeJmdPBxwX&#10;QNbdGyipkth6iEB9hW3wjxxhhE7t2Z/ao3rPJF2+yCaTlCKSQtMsnc9i+xKR3z+26PwrBS0Lm4Ij&#10;dT+Ci92t84GMyO9TQi0DN7pp4gQ05q8LSgw3kXzgOzD3/bo/mrGGck8yEIaBou9EmxrwC2cdDVPB&#10;3eetQMVZ89qQFZE5TV88TC5mY1KB55H1eUQYSVAF95wN22s/TOzWot7UVGkw38AV2VfpKC34PLA6&#10;8qaBiYqPwx0m8vwcs/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ocz9YAAAAJAQAADwAA&#10;AAAAAAABACAAAAAiAAAAZHJzL2Rvd25yZXYueG1sUEsBAhQAFAAAAAgAh07iQCmBdBE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pPr>
        <w:tabs>
          <w:tab w:val="left" w:pos="126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olor w:val="auto"/>
          <w:sz w:val="24"/>
          <w:szCs w:val="24"/>
          <w:highlight w:val="none"/>
        </w:rPr>
      </w:pPr>
      <w:bookmarkStart w:id="223" w:name="_Toc23448"/>
      <w:bookmarkStart w:id="224" w:name="_Toc14528"/>
      <w:bookmarkStart w:id="225" w:name="_Toc47694299"/>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8</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造价咨询人</w:t>
      </w:r>
      <w:bookmarkEnd w:id="223"/>
      <w:bookmarkEnd w:id="224"/>
      <w:bookmarkEnd w:id="225"/>
    </w:p>
    <w:p>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45720</wp:posOffset>
                </wp:positionV>
                <wp:extent cx="914400" cy="508635"/>
                <wp:effectExtent l="0" t="0" r="0" b="0"/>
                <wp:wrapNone/>
                <wp:docPr id="350"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914400" cy="50863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0.05pt;width:72pt;z-index:251732992;mso-width-relative:page;mso-height-relative:page;" filled="f" stroked="f" coordsize="21600,21600" o:gfxdata="UEsDBAoAAAAAAIdO4kAAAAAAAAAAAAAAAAAEAAAAZHJzL1BLAwQUAAAACACHTuJAyPeQw9YAAAAI&#10;AQAADwAAAGRycy9kb3ducmV2LnhtbE2PzU7DMBCE70h9B2srcWvtBGhDyKaHVlxBlB+Jmxtvk4h4&#10;HcVuE94e90SPoxnNfFNsJtuJMw2+dYyQLBUI4sqZlmuEj/fnRQbCB81Gd44J4Zc8bMrZTaFz40Z+&#10;o/M+1CKWsM81QhNCn0vpq4as9kvXE0fv6AarQ5RDLc2gx1huO5kqtZJWtxwXGt3TtqHqZ3+yCJ8v&#10;x++ve/Va7+xDP7pJSbaPEvF2nqgnEIGm8B+GC35EhzIyHdyJjRcdwiLJ4peAsE5BXPx0FfUBIVvf&#10;gSwLeX2g/ANQSwMEFAAAAAgAh07iQDjngz8YAgAAGAQAAA4AAABkcnMvZTJvRG9jLnhtbK1TS27b&#10;MBDdF+gdCO5ryY7tJILlII2RokD6AdIegKYoi6jEYYe0JfcA7Q266qb7nsvn6JBSXDfdZNGNQHKG&#10;b957fFpcdU3NdgqdBpPz8SjlTBkJhTabnH/8cPvigjPnhSlEDUblfK8cv1o+f7ZobaYmUEFdKGQE&#10;YlzW2pxX3tssSZysVCPcCKwyVCwBG+Fpi5ukQNESelMnkzSdJy1gYRGkco5OV32RD4j4FEAoSy3V&#10;CuS2Ucb3qKhq4UmSq7R1fBnZlqWS/l1ZOuVZnXNS6uOXhtB6Hb7JciGyDQpbaTlQEE+h8EhTI7Sh&#10;oUeolfCCbVH/A9VoieCg9CMJTdILiY6QinH6yJv7SlgVtZDVzh5Nd/8PVr7dvUemi5yfzcgTIxp6&#10;8sP3b4cfvw4/v7Lz+WWwqLUuo857S72+ewkdBSfKdfYO5CfHDNxUwmzUNSK0lRIFURyHm8nJ1R7H&#10;BZB1+wYKmiS2HiJQV2IT/CNHGKETlf3xeVTnmaTDy/F0mlJFUmmWXszPZnGCyB4uW3T+lYKGhUXO&#10;kV4/govdnfOBjMgeWsIsA7e6rmMCavPXATWGk0g+8O2Z+27dDWasodiTDIQ+UPQ70aIC/MJZS2HK&#10;ufu8Fag4q18bsiIyp/TFzXR2PiEVeFpZn1aEkQSVc89Zv7zxfWK3FvWmokm9+Qauyb5SR2nB557V&#10;wJsCExUP4Q6JPN3Hrj8/9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PeQw9YAAAAIAQAADwAA&#10;AAAAAAABACAAAAAiAAAAZHJzL2Rvd25yZXYueG1sUEsBAhQAFAAAAAgAh07iQDjngz8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发包人应在专用条款中写明负责合同工程造价管理的造价咨询人名称和造价咨询人代表，并在开始工作前将造价咨询人及造价咨询人代表以书面形式通知承包人，授予其代表发包人履行合同规定职责所需的权力。</w:t>
      </w:r>
    </w:p>
    <w:p>
      <w:pPr>
        <w:spacing w:line="360" w:lineRule="auto"/>
        <w:rPr>
          <w:rFonts w:ascii="仿宋" w:hAnsi="仿宋" w:eastAsia="仿宋"/>
          <w:b/>
          <w:bCs/>
          <w:color w:val="auto"/>
          <w:highlight w:val="none"/>
          <w:lang w:eastAsia="zh-CN"/>
        </w:rPr>
      </w:pPr>
      <w:bookmarkStart w:id="226"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-1270</wp:posOffset>
                </wp:positionV>
                <wp:extent cx="848360" cy="427990"/>
                <wp:effectExtent l="0" t="0" r="0" b="0"/>
                <wp:wrapNone/>
                <wp:docPr id="349"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48360" cy="42799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33.7pt;width:66.8pt;z-index:251734016;mso-width-relative:page;mso-height-relative:page;" filled="f" stroked="f" coordsize="21600,21600" o:gfxdata="UEsDBAoAAAAAAIdO4kAAAAAAAAAAAAAAAAAEAAAAZHJzL1BLAwQUAAAACACHTuJAEJM5uNYAAAAI&#10;AQAADwAAAGRycy9kb3ducmV2LnhtbE2PzW7CMBCE75V4B2srcQM7EaQQ4nCg6rVV6Y/Um4mXJGq8&#10;jmJD0rfvcmpvs5rVzDfFfnKduOIQWk8akqUCgVR521Kt4f3tabEBEaIhazpPqOEHA+zL2V1hcutH&#10;esXrMdaCQyjkRkMTY59LGaoGnQlL3yOxd/aDM5HPoZZ2MCOHu06mSmXSmZa4oTE9Hhqsvo8Xp+Hj&#10;+fz1uVIv9aNb96OflCS3lVrP7xO1AxFxin/PcMNndCiZ6eQvZIPoNCySDW+JLFIQNz9ZZyBOGrKH&#10;FGRZyP8Dyl9QSwMEFAAAAAgAh07iQDntTyEeAgAAJgQAAA4AAABkcnMvZTJvRG9jLnhtbK1TzY7T&#10;MBC+I/EOlu80bTds26jpatlqEdLyIy08gOs4jUXiMWO3SXkAeANOXLjzXH0Oxk7bLctlD1wie2b8&#10;zXzffJlfdU3NtgqdBpPz0WDImTISCm3WOf/08fbFlDPnhSlEDUblfKccv1o8fzZvbabGUEFdKGQE&#10;YlzW2pxX3tssSZysVCPcAKwylCwBG+HpiuukQNESelMn4+HwMmkBC4sglXMUXfZJfkDEpwBCWWqp&#10;liA3jTK+R0VVC0+UXKWt44s4bVkq6d+XpVOe1Tknpj5+qQmdV+GbLOYiW6OwlZaHEcRTRnjEqRHa&#10;UNMT1FJ4wTao/4FqtERwUPqBhCbpiURFiMVo+Eib+0pYFbmQ1M6eRHf/D1a+235ApoucX6Qzzoxo&#10;aOX7H9/3P3/vf31jk0mUqLUuo8p7S7W+ewUdGSfSdfYO5GfHDNxUwqzVNSK0lRIFjTgK4iZnT8NS&#10;XOYCyKp9CwV1EhsPEagrsQn6kSKM0Gk9u9N6VOeZpOA0nV5cUkZSKh1PZrM4WyKy42OLzr9W0LBw&#10;yDnS9iO42N45H4YR2bEk9DJwq+s6OqA2fwWosI+oaKHD6+P0PQ/frTp6G4IrKHZECqG3F/1cdKgA&#10;v3LWkrVy7r5sBCrO6jeGhJmN0jR4MV7Sl5MxXfA8szrPCCMJKuees/5443v/bizqdUWd+lUYuCYx&#10;Sx2JPkx1WAHZJ/I/WD348/weqx5+7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M5uNYAAAAI&#10;AQAADwAAAAAAAAABACAAAAAiAAAAZHJzL2Rvd25yZXYueG1sUEsBAhQAFAAAAAgAh07iQDntTyEe&#10;AgAAJgQAAA4AAAAAAAAAAQAgAAAAJQEAAGRycy9lMm9Eb2MueG1sUEsFBgAAAAAGAAYAWQEAALU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规定和必然隐含的职权，代表发包人负责工程计量和计价，合同价格的核实和调整，结算价款的编制或复核，签发支付证书，及时向承包人提供相关确认、调整和通知等指令。造价咨询人无权免除或变更合同规定的合同任何一方当事人在合同履行期间的权利和义务。</w:t>
      </w:r>
    </w:p>
    <w:p>
      <w:pPr>
        <w:spacing w:line="360" w:lineRule="auto"/>
        <w:rPr>
          <w:rFonts w:ascii="仿宋" w:hAnsi="仿宋" w:eastAsia="仿宋"/>
          <w:b/>
          <w:bCs/>
          <w:color w:val="auto"/>
          <w:highlight w:val="none"/>
          <w:lang w:eastAsia="zh-CN"/>
        </w:rPr>
      </w:pPr>
      <w:bookmarkStart w:id="227"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0</wp:posOffset>
                </wp:positionV>
                <wp:extent cx="876300" cy="510540"/>
                <wp:effectExtent l="0" t="0" r="0" b="0"/>
                <wp:wrapNone/>
                <wp:docPr id="348"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876300" cy="51054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pt;width:69pt;z-index:251735040;mso-width-relative:page;mso-height-relative:page;" filled="f" stroked="f" coordsize="21600,21600" o:gfxdata="UEsDBAoAAAAAAIdO4kAAAAAAAAAAAAAAAAAEAAAAZHJzL1BLAwQUAAAACACHTuJAoOGSc9QAAAAH&#10;AQAADwAAAGRycy9kb3ducmV2LnhtbE2PwU7DMBBE70j8g7VI3Fo7qKCQZtMDiCuIUpC4ufE2iRqv&#10;o9htwt+zPcFlpNWsZt6Um9n36kxj7AIjZEsDirgOruMGYffxsshBxWTZ2T4wIfxQhE11fVXawoWJ&#10;3+m8TY2SEI6FRWhTGgqtY92St3EZBmLxDmH0Nsk5NtqNdpJw3+s7Yx60tx1LQ2sHemqpPm5PHuHz&#10;9fD9tTJvzbO/H6YwG83+USPe3mRmDSrRnP6e4YIv6FAJ0z6c2EXVIyyyXLYkBNGLLW2g9gi5WYGu&#10;Sv2fv/oFUEsDBBQAAAAIAIdO4kAnmELuHwIAACYEAAAOAAAAZHJzL2Uyb0RvYy54bWytU0tu2zAQ&#10;3RfoHQjua8mOHaeC5SCNkaJA+gHSHoCmKIuoxGGHtCX3AM0Nuuqm+57L5+iQUlw33WTRjcDhDN/M&#10;e/O0uOyamu0UOg0m5+NRypkyEgptNjn/9PHmxQVnzgtTiBqMyvleOX65fP5s0dpMTaCCulDICMS4&#10;rLU5r7y3WZI4WalGuBFYZShZAjbCU4ibpEDREnpTJ5M0PU9awMIiSOUc3a76JB8Q8SmAUJZaqhXI&#10;baOM71FR1cITJVdp6/gyTluWSvr3ZemUZ3XOiamPX2pC53X4JsuFyDYobKXlMIJ4ygiPODVCG2p6&#10;hFoJL9gW9T9QjZYIDko/ktAkPZGoCLEYp4+0uauEVZELSe3sUXT3/2Dlu90HZLrI+dmUFm9EQys/&#10;fL8//Ph1+PmNzefjIFFrXUaVd5ZqffcKOjJOpOvsLcjPjhm4roTZqCtEaCslChoxvkxOnvY4LoCs&#10;27dQUCex9RCBuhKboB8pwgid1rM/rkd1nkm6vJifn6WUkZSajdPZNK4vEdnDY4vOv1bQsHDIOdL2&#10;I7jY3TpPNKj0oST0MnCj6zo6oDZ/XVBhf6OihYbXgUqYvufhu3U3SLOGYk+kEHp70c9FhwrwK2ct&#10;WSvn7stWoOKsfmNImJfjKY3OfAyms/mEAjzNrE8zwkiCyrnnrD9e+96/W4t6U1GnfhUGrkjMUkei&#10;YdR+KmIdArJP5D9YPfjzN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4ZJz1AAAAAcB&#10;AAAPAAAAAAAAAAEAIAAAACIAAABkcnMvZG93bnJldi54bWxQSwECFAAUAAAACACHTuJAJ5hC7h8C&#10;AAAmBAAADgAAAAAAAAABACAAAAAj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除属于第91条规定的争议外，造价咨询人在职权范围内的工作，发包人应予认可，但下列事项应事先取得发包人的专项批准：</w:t>
      </w:r>
    </w:p>
    <w:p>
      <w:pPr>
        <w:widowControl w:val="0"/>
        <w:numPr>
          <w:ilvl w:val="0"/>
          <w:numId w:val="4"/>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根据第73条规定使用暂列金额；</w:t>
      </w:r>
    </w:p>
    <w:p>
      <w:pPr>
        <w:widowControl w:val="0"/>
        <w:numPr>
          <w:ilvl w:val="0"/>
          <w:numId w:val="4"/>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根据第74条规定使用计日工；</w:t>
      </w:r>
    </w:p>
    <w:p>
      <w:pPr>
        <w:widowControl w:val="0"/>
        <w:numPr>
          <w:ilvl w:val="0"/>
          <w:numId w:val="4"/>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根据第75条规定使用暂估价；</w:t>
      </w:r>
    </w:p>
    <w:p>
      <w:pPr>
        <w:widowControl w:val="0"/>
        <w:numPr>
          <w:ilvl w:val="0"/>
          <w:numId w:val="4"/>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pPr>
        <w:widowControl w:val="0"/>
        <w:numPr>
          <w:ilvl w:val="0"/>
          <w:numId w:val="4"/>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pPr>
        <w:widowControl w:val="0"/>
        <w:numPr>
          <w:ilvl w:val="0"/>
          <w:numId w:val="4"/>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根据第69.3款规定事项调整的合同价格；</w:t>
      </w:r>
    </w:p>
    <w:p>
      <w:pPr>
        <w:widowControl w:val="0"/>
        <w:numPr>
          <w:ilvl w:val="0"/>
          <w:numId w:val="4"/>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pPr>
        <w:spacing w:line="360" w:lineRule="auto"/>
        <w:rPr>
          <w:rFonts w:ascii="仿宋" w:hAnsi="仿宋" w:eastAsia="仿宋"/>
          <w:b/>
          <w:bCs/>
          <w:color w:val="auto"/>
          <w:highlight w:val="none"/>
          <w:lang w:eastAsia="zh-CN"/>
        </w:rPr>
      </w:pPr>
      <w:bookmarkStart w:id="228"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347"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4.2pt;width:86pt;z-index:251736064;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1irTDRoCAAAZBAAADgAAAGRycy9lMm9Eb2MueG1srVPNjtMw&#10;EL4j8Q6W7zRtt1A2arpatlqEtPxICw/gOk5jEXvM2G1SHoB9A05cuPNcfQ7GTraU5bIHFCmyPeNv&#10;vu+b8eKiMw3bKfQabMEnozFnykootd0U/NPH62cvOfNB2FI0YFXB98rzi+XTJ4vW5WoKNTSlQkYg&#10;1uetK3gdgsuzzMtaGeFH4JSlYAVoRKAtbrISRUvopsmm4/GLrAUsHYJU3tPpqg/yAREfAwhVpaVa&#10;gdwaZUOPiqoRgST5WjvPl4ltVSkZ3leVV4E1BSelIf2pCK3X8Z8tFyLfoHC1lgMF8RgKDzQZoS0V&#10;PUKtRBBsi/ofKKMlgocqjCSYrBeSHCEVk/EDb25r4VTSQlZ7dzTd/z9Y+W73AZkuC342m3NmhaGW&#10;H77fHX78Ovz8xubzabSodT6nzFtHuaF7BR0NTpLr3Q3Iz55ZuKqF3ahLRGhrJUqiOIk3s5OrPY6P&#10;IOv2LZRUSWwDJKCuQhP9I0cYoVN79sf2qC4wGUuOz6c0QZxJis3O6Ev9y0R+f9uhD68VGBYXBUdq&#10;f0IXuxsfIhuR36fEYhauddOkEWjsXweUGE8S+0i4px66dTe4sYZyTzoQ+omi90SLGvArZy1NU8H9&#10;l61AxVnzxpIX55MZkWUhbWbP51Pa4GlkfRoRVhJUwQNn/fIq9CO7dag3NVXq3bdwSf5VOkmLRves&#10;Bt40MUnxMN1xJE/3KevPi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vGN8nVAAAABwEAAA8A&#10;AAAAAAAAAQAgAAAAIgAAAGRycy9kb3ducmV2LnhtbFBLAQIUABQAAAAIAIdO4kDWKtMNGgIAABk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pPr>
        <w:spacing w:line="360" w:lineRule="auto"/>
        <w:rPr>
          <w:rFonts w:ascii="仿宋" w:hAnsi="仿宋" w:eastAsia="仿宋"/>
          <w:b/>
          <w:bCs/>
          <w:color w:val="auto"/>
          <w:highlight w:val="none"/>
          <w:lang w:eastAsia="zh-CN"/>
        </w:rPr>
      </w:pPr>
      <w:bookmarkStart w:id="229"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2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15240</wp:posOffset>
                </wp:positionV>
                <wp:extent cx="914400" cy="558800"/>
                <wp:effectExtent l="0" t="0" r="0" b="0"/>
                <wp:wrapNone/>
                <wp:docPr id="346"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914400" cy="55880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4pt;width:72pt;z-index:251737088;mso-width-relative:page;mso-height-relative:page;" filled="f" stroked="f" coordsize="21600,21600" o:gfxdata="UEsDBAoAAAAAAIdO4kAAAAAAAAAAAAAAAAAEAAAAZHJzL1BLAwQUAAAACACHTuJA0u9T0NUAAAAI&#10;AQAADwAAAGRycy9kb3ducmV2LnhtbE2PwW7CMBBE75X6D9ZW6g3sRCmCkA0HUK+tSlskbiZekoh4&#10;HcWGpH9fc2qPoxnNvCk2k+3EjQbfOkZI5goEceVMyzXC1+frbAnCB81Gd44J4Yc8bMrHh0Lnxo38&#10;Qbd9qEUsYZ9rhCaEPpfSVw1Z7eeuJ47e2Q1WhyiHWppBj7HcdjJVaiGtbjkuNLqnbUPVZX+1CN9v&#10;5+MhU+/1zr70o5uUZLuSiM9PiVqDCDSFvzDc8SM6lJHp5K5svOgQZskyfgkIaQbi7qeLqE8IK5WB&#10;LAv5/0D5C1BLAwQUAAAACACHTuJACLL5QRgCAAAYBAAADgAAAGRycy9lMm9Eb2MueG1srVNLbtsw&#10;EN0X6B0I7mvZjp24guUgjZGiQPoB0h6ApiiLqMhhh7Ql9wDtDbrqpvuey+fokHIcN91k0Y0wnBm+&#10;ee9xNL/sTMO2Cr0GW/DRYMiZshJKbdcF//Tx5sWMMx+ELUUDVhV8pzy/XDx/Nm9drsZQQ1MqZARi&#10;fd66gtchuDzLvKyVEX4ATlkqVoBGBDriOitRtIRummw8HJ5nLWDpEKTynrLLvsgPiPgUQKgqLdUS&#10;5MYoG3pUVI0IJMnX2nm+SGyrSsnwvqq8CqwpOCkN6UtDKF7Fb7aYi3yNwtVaHiiIp1B4pMkIbWno&#10;EWopgmAb1P9AGS0RPFRhIMFkvZDkCKkYDR95c1cLp5IWstq7o+n+/8HKd9sPyHRZ8LPJOWdWGHry&#10;/Y/v+5+/97++sYuLs2hR63xOnXeOekP3CjpanCTXu1uQnz2zcF0Lu1ZXiNDWSpREcRRvZidXexwf&#10;QVbtWyhpktgESEBdhSb6R44wQqfn2R2fR3WBSUq+HE0mQ6pIKk2nsxnFcYLI7y879OG1AsNiUHCk&#10;10/gYnvrQ9963xJnWbjRTUN5kTf2rwRhxkwiH/n2zEO36qg7KlpBuSMZCP1C0e9EQQ34lbOWlqng&#10;/stGoOKseWPJisScti8dJtOLManA08rqtCKsJKiCB8768Dr0G7txqNc1TerNt3BF9lU6SXtgdeBN&#10;C5PMOSx33MjTc+p6+KE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71PQ1QAAAAgBAAAPAAAA&#10;AAAAAAEAIAAAACIAAABkcnMvZG93bnJldi54bWxQSwECFAAUAAAACACHTuJACLL5QR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pPr>
        <w:spacing w:line="360" w:lineRule="auto"/>
        <w:rPr>
          <w:rFonts w:ascii="仿宋" w:hAnsi="仿宋" w:eastAsia="仿宋"/>
          <w:b/>
          <w:bCs/>
          <w:color w:val="auto"/>
          <w:highlight w:val="none"/>
          <w:lang w:eastAsia="zh-CN"/>
        </w:rPr>
      </w:pPr>
      <w:bookmarkStart w:id="230"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2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38112" behindDoc="0" locked="0" layoutInCell="1" allowOverlap="1">
                <wp:simplePos x="0" y="0"/>
                <wp:positionH relativeFrom="column">
                  <wp:posOffset>32385</wp:posOffset>
                </wp:positionH>
                <wp:positionV relativeFrom="paragraph">
                  <wp:posOffset>88265</wp:posOffset>
                </wp:positionV>
                <wp:extent cx="914400" cy="594360"/>
                <wp:effectExtent l="0" t="0" r="0" b="0"/>
                <wp:wrapNone/>
                <wp:docPr id="345"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2.55pt;margin-top:6.95pt;height:46.8pt;width:72pt;z-index:251738112;mso-width-relative:page;mso-height-relative:page;" filled="f" stroked="f" coordsize="21600,21600" o:gfxdata="UEsDBAoAAAAAAIdO4kAAAAAAAAAAAAAAAAAEAAAAZHJzL1BLAwQUAAAACACHTuJAadO8KNUAAAAI&#10;AQAADwAAAGRycy9kb3ducmV2LnhtbE2PQU/DMAyF70j7D5EncWNJYWW0a7oDiCuIAZO4ZY3XVmuc&#10;qsnW8u/xTuxmv/f0/LnYTK4TZxxC60lDslAgkCpvW6o1fH2+3j2BCNGQNZ0n1PCLATbl7KYwufUj&#10;feB5G2vBJRRyo6GJsc+lDFWDzoSF75HYO/jBmcjrUEs7mJHLXSfvlXqUzrTEFxrT43OD1XF7chq+&#10;3w4/u6V6r19c2o9+UpJcJrW+nSdqDSLiFP/DcMFndCiZae9PZIPoNKQJB1l+yEBc7GXGwp4HtUpB&#10;loW8fqD8A1BLAwQUAAAACACHTuJARrNFNxkCAAAYBAAADgAAAGRycy9lMm9Eb2MueG1srVNLbtsw&#10;EN0X6B0I7mvZjhw3guUgjZGiQPoB0h6ApiiLqMRhh7Ql9wDNDbrqpvuey+fokFJcN91k0Q1BcoZv&#10;3nszXFx2Tc12Cp0Gk/PJaMyZMhIKbTY5//Tx5sVLzpwXphA1GJXzvXL8cvn82aK1mZpCBXWhkBGI&#10;cVlrc155b7MkcbJSjXAjsMpQsARshKcjbpICRUvoTZ1Mx+PzpAUsLIJUztHtqg/yARGfAghlqaVa&#10;gdw2yvgeFVUtPElylbaOLyPbslTSvy9Lpzyrc05KfVypCO3XYU2WC5FtUNhKy4GCeAqFR5oaoQ0V&#10;PUKthBdsi/ofqEZLBAelH0lokl5IdIRUTMaPvLmrhFVRC1nt7NF09/9g5bvdB2S6yPlZOuPMiIZa&#10;fvh+f/jx6/DzG5vP02BRa11GmXeWcn33CjoanCjX2VuQnx0zcF0Js1FXiNBWShREcRJeJidPexwX&#10;QNbtWyiokth6iEBdiU3wjxxhhE7t2R/bozrPJF1eTNJ0TBFJodlFenYe25eI7OGxRedfK2hY2OQc&#10;qfsRXOxunQ9kRPaQEmoZuNF1HSegNn9dUGK4ieQD356579bdYMYaij3JQOgHir4TbSrAr5y1NEw5&#10;d1+2AhVn9RtDVkTmNH3xkM7mU1KBp5H1aUQYSVA595z122vfT+zWot5UVKk338AV2VfqKC343LMa&#10;eNPARMXDcIeJPD3HrD8f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dO8KNUAAAAIAQAADwAA&#10;AAAAAAABACAAAAAiAAAAZHJzL2Rvd25yZXYueG1sUEsBAhQAFAAAAAgAh07iQEazRTcZAgAAGAQA&#10;AA4AAAAAAAAAAQAgAAAAJAEAAGRycy9lMm9Eb2MueG1sUEsFBgAAAAAGAAYAWQEAAK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24.3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pPr>
        <w:spacing w:line="360" w:lineRule="auto"/>
        <w:rPr>
          <w:rFonts w:ascii="仿宋" w:hAnsi="仿宋" w:eastAsia="仿宋"/>
          <w:color w:val="auto"/>
          <w:highlight w:val="none"/>
          <w:lang w:eastAsia="zh-CN"/>
        </w:rPr>
      </w:pPr>
      <w:bookmarkStart w:id="231"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231"/>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44"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8pt;width:72pt;z-index:25173913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qdkGghkCAAAYBAAADgAAAGRycy9lMm9Eb2MueG1srVNLbtsw&#10;EN0X6B0I7mvZjhw3guUgjZGiQPoB0h6ApiiLqMRhh7Ql9wDNDbrqpvuey+fokFJcN91k0Q1BcoZv&#10;3nszXFx2Tc12Cp0Gk/PJaMyZMhIKbTY5//Tx5sVLzpwXphA1GJXzvXL8cvn82aK1mZpCBXWhkBGI&#10;cVlrc155b7MkcbJSjXAjsMpQsARshKcjbpICRUvoTZ1Mx+PzpAUsLIJUztHtqg/yARGfAghlqaVa&#10;gdw2yvgeFVUtPElylbaOLyPbslTSvy9Lpzyrc05KfVypCO3XYU2WC5FtUNhKy4GCeAqFR5oaoQ0V&#10;PUKthBdsi/ofqEZLBAelH0lokl5IdIRUTMaPvLmrhFVRC1nt7NF09/9g5bvdB2S6yPlZmnJmREMt&#10;P3y/P/z4dfj5jc3ns2BRa11GmXeWcn33CjoanCjX2VuQnx0zcF0Js1FXiNBWShREcRJeJidPexwX&#10;QNbtWyiokth6iEBdiU3wjxxhhE7t2R/bozrPJF1eTNJ0TBFJodlFenYe25eI7OGxRedfK2hY2OQc&#10;qfsRXOxunQ9kRPaQEmoZuNF1HSegNn9dUGK4ieQD356579bdYMYaij3JQOgHir4TbSrAr5y1NEw5&#10;d1+2AhVn9RtDVkTmNH3xkM7mU1KBp5H1aUQYSVA595z122vfT+zWot5UVKk338AV2VfqKC343LMa&#10;eNPARMXDcIeJPD3HrD8f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yfpMtUAAAAHAQAADwAA&#10;AAAAAAABACAAAAAiAAAAZHJzL2Rvd25yZXYueG1sUEsBAhQAFAAAAAgAh07iQKnZBoIZAgAAG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pPr>
        <w:tabs>
          <w:tab w:val="left" w:pos="540"/>
          <w:tab w:val="left" w:pos="7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olor w:val="auto"/>
          <w:sz w:val="24"/>
          <w:szCs w:val="24"/>
          <w:highlight w:val="none"/>
        </w:rPr>
      </w:pPr>
      <w:bookmarkStart w:id="232" w:name="_Toc16660"/>
      <w:bookmarkStart w:id="233" w:name="_Toc47694300"/>
      <w:bookmarkStart w:id="234" w:name="_Toc16590"/>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9</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承包人代表及其专业负责人</w:t>
      </w:r>
      <w:bookmarkEnd w:id="232"/>
      <w:bookmarkEnd w:id="233"/>
      <w:bookmarkEnd w:id="234"/>
    </w:p>
    <w:p>
      <w:pPr>
        <w:rPr>
          <w:rFonts w:ascii="仿宋" w:hAnsi="仿宋" w:eastAsia="仿宋"/>
          <w:b/>
          <w:bCs/>
          <w:color w:val="auto"/>
          <w:highlight w:val="none"/>
          <w:lang w:eastAsia="zh-CN"/>
        </w:rPr>
      </w:pPr>
      <w:bookmarkStart w:id="235"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235"/>
      <w:r>
        <w:rPr>
          <w:rFonts w:hint="eastAsia" w:ascii="仿宋" w:hAnsi="仿宋" w:eastAsia="仿宋" w:cs="仿宋"/>
          <w:b/>
          <w:bCs/>
          <w:color w:val="auto"/>
          <w:highlight w:val="none"/>
          <w:lang w:eastAsia="zh-CN"/>
        </w:rPr>
        <w:tab/>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343" name="文本框 776"/>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026" o:spt="202" type="#_x0000_t202" style="position:absolute;left:0pt;margin-left:-9pt;margin-top:0pt;height:33pt;width:72pt;z-index:251740160;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AjTTu6FwIAABgEAAAOAAAAZHJzL2Uyb0RvYy54bWytU0tu2zAQ&#10;3RfoHQjua1mOmzSC5SCNkaJA+gHSHoCmKIuoyGGHtCX3AM0Nuuqm+57L5+iQchw33WTRjTCcGb55&#10;73E0u+hNyzYKvQZb8nw05kxZCZW2q5J//nT94hVnPghbiRasKvlWeX4xf/5s1rlCTaCBtlLICMT6&#10;onMlb0JwRZZ52Sgj/AicslSsAY0IdMRVVqHoCN202WQ8Ps06wMohSOU9ZRdDke8R8SmAUNdaqgXI&#10;tVE2DKioWhFIkm+083ye2Na1kuFDXXsVWFtyUhrSl4ZQvIzfbD4TxQqFa7TcUxBPofBIkxHa0tAD&#10;1EIEwdao/4EyWiJ4qMNIgskGIckRUpGPH3lz2winkhay2ruD6f7/wcr3m4/IdFXyk+kJZ1YYevLd&#10;j7vdz9+7X9/Z2dlptKhzvqDOW0e9oX8NPS1OkuvdDcgvnlm4aoRdqUtE6BolKqKYx5vZ0dUBx0eQ&#10;ZfcOKpok1gESUF+jif6RI4zQ6Xm2h+dRfWCSkuf5dDqmiqTSND/PKY4TRHF/2aEPbxQYFoOSI71+&#10;AhebGx+G1vuWOMvCtW5byouitX8lCDNmEvnId2Ae+mVP3VHREqotyUAYFop+JwoawG+cdbRMJfdf&#10;1wIVZ+1bS1Yk5rR96TB9eTYhFXhcWR5XhJUEVfLA2RBehWFj1w71qqFJg/kWLsm+WidpD6z2vGlh&#10;kjn75Y4beXxOXQ8/9P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XOqyNQAAAAHAQAADwAAAAAA&#10;AAABACAAAAAiAAAAZHJzL2Rvd25yZXYueG1sUEsBAhQAFAAAAAgAh07iQCNNO7oXAgAAGAQAAA4A&#10;AAAAAAAAAQAgAAAAIwEAAGRycy9lMm9Eb2MueG1sUEsFBgAAAAAGAAYAWQEAAK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规定在专用条款中写明承包人代表及其专业负责人具体人选，同时在开始工作前将承包人代表及其专业负责人以书面形式通知发包人，授予承包人代表代表承包人履行合同规定职责所需的一切权力，授予专业负责人履行合同规定本专业职责所需的一定权力。</w:t>
      </w:r>
    </w:p>
    <w:p>
      <w:pPr>
        <w:spacing w:line="360" w:lineRule="auto"/>
        <w:rPr>
          <w:rFonts w:ascii="仿宋" w:hAnsi="仿宋" w:eastAsia="仿宋"/>
          <w:b/>
          <w:bCs/>
          <w:color w:val="auto"/>
          <w:highlight w:val="none"/>
          <w:lang w:eastAsia="zh-CN"/>
        </w:rPr>
      </w:pPr>
      <w:bookmarkStart w:id="236"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2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7620</wp:posOffset>
                </wp:positionV>
                <wp:extent cx="1028700" cy="490855"/>
                <wp:effectExtent l="0" t="0" r="0" b="0"/>
                <wp:wrapNone/>
                <wp:docPr id="342" name="文本框 777"/>
                <wp:cNvGraphicFramePr/>
                <a:graphic xmlns:a="http://schemas.openxmlformats.org/drawingml/2006/main">
                  <a:graphicData uri="http://schemas.microsoft.com/office/word/2010/wordprocessingShape">
                    <wps:wsp>
                      <wps:cNvSpPr txBox="1">
                        <a:spLocks noChangeArrowheads="1"/>
                      </wps:cNvSpPr>
                      <wps:spPr bwMode="auto">
                        <a:xfrm>
                          <a:off x="0" y="0"/>
                          <a:ext cx="1028700" cy="490855"/>
                        </a:xfrm>
                        <a:prstGeom prst="rect">
                          <a:avLst/>
                        </a:prstGeom>
                        <a:noFill/>
                        <a:ln>
                          <a:noFill/>
                        </a:ln>
                        <a:effectLst/>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026" o:spt="202" type="#_x0000_t202" style="position:absolute;left:0pt;margin-left:-9pt;margin-top:0.6pt;height:38.65pt;width:81pt;z-index:251741184;mso-width-relative:page;mso-height-relative:page;" filled="f" stroked="f" coordsize="21600,21600" o:gfxdata="UEsDBAoAAAAAAIdO4kAAAAAAAAAAAAAAAAAEAAAAZHJzL1BLAwQUAAAACACHTuJAt1cOSNUAAAAI&#10;AQAADwAAAGRycy9kb3ducmV2LnhtbE2PwU7DMBBE70j9B2uRuLV2qpSmaZweiriCKBSJmxtvk4h4&#10;HcVuE/6e7QmOo7eafVPsJteJKw6h9aQhWSgQSJW3LdUaPt6f5xmIEA1Z03lCDT8YYFfO7gqTWz/S&#10;G14PsRZcQiE3GpoY+1zKUDXoTFj4HonZ2Q/ORI5DLe1gRi53nVwq9SidaYk/NKbHfYPV9+HiNBxf&#10;zl+fqXqtn9yqH/2kJLmN1PrhPlFbEBGn+HcMN31Wh5KdTv5CNohOwzzJeEtksARx42nK+aRhna1A&#10;loX8P6D8BVBLAwQUAAAACACHTuJAtYxckx8CAAAnBAAADgAAAGRycy9lMm9Eb2MueG1srVPNjtMw&#10;EL4j8Q6W7zRpaWk3arpatlqEtPxICw/gOk5jkXjM2G1SHgDegBMX7jxXn4Oxky1lueyBi2V7xt/M&#10;983n5WXX1Gyv0GkwOR+PUs6UkVBos835xw83zxacOS9MIWowKucH5fjl6umTZWszNYEK6kIhIxDj&#10;stbmvPLeZkniZKUa4UZglaFgCdgIT0fcJgWKltCbOpmk6YukBSwsglTO0e26D/IBER8DCGWppVqD&#10;3DXK+B4VVS08UXKVto6vYrdlqaR/V5ZOeVbnnJj6uFIR2m/CmqyWItuisJWWQwviMS084NQIbajo&#10;CWotvGA71P9ANVoiOCj9SEKT9ESiIsRinD7Q5q4SVkUuJLWzJ9Hd/4OVb/fvkeki58+nE86MaGjk&#10;x+/fjj9+HX9+ZfP5PEjUWpdR5p2lXN+9hI6ME+k6ewvyk2MGrithtuoKEdpKiYJaHIeXydnTHscF&#10;kE37BgqqJHYeIlBXYhP0I0UYodN4DqfxqM4zGUqmk8U8pZCk2PQiXcxmsYTI7l9bdP6VgoaFTc6R&#10;xh/Rxf7W+dCNyO5TQjEDN7quowVq89cFJfY3KnpoeB24hPZ7Ir7bdIM2GygOxAqh9xf9LtpUgF84&#10;a8lbOXefdwIVZ/VrQ8pcjKfTYMZ4mM7mEzrgeWRzHhFGElTOPWf99tr3Bt5Z1NuKKvWzMHBFapY6&#10;Eg2t9l0NMyD/RP6D14NBz88x68//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1cOSNUAAAAI&#10;AQAADwAAAAAAAAABACAAAAAiAAAAZHJzL2Rvd25yZXYueG1sUEsBAhQAFAAAAAgAh07iQLWMXJMf&#10;AgAAJwQAAA4AAAAAAAAAAQAgAAAAJAEAAGRycy9lMm9Eb2MueG1sUEsFBgAAAAAGAAYAWQEAALUF&#10;A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规定的职责、行使合同明文约定或必然隐含的权力，对承包人负责。承包人代表在承包人授予职权范围内的工作，承包人应予认可。专业负责人负责本专业相关技术和管理工作，对承包人及承包人代表负责。</w:t>
      </w:r>
    </w:p>
    <w:p>
      <w:pPr>
        <w:spacing w:line="360" w:lineRule="auto"/>
        <w:rPr>
          <w:rFonts w:ascii="仿宋" w:hAnsi="仿宋" w:eastAsia="仿宋"/>
          <w:b/>
          <w:bCs/>
          <w:color w:val="auto"/>
          <w:highlight w:val="none"/>
          <w:lang w:eastAsia="zh-CN"/>
        </w:rPr>
      </w:pPr>
      <w:bookmarkStart w:id="237"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2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742208" behindDoc="0" locked="0" layoutInCell="1" allowOverlap="1">
                <wp:simplePos x="0" y="0"/>
                <wp:positionH relativeFrom="column">
                  <wp:posOffset>-53340</wp:posOffset>
                </wp:positionH>
                <wp:positionV relativeFrom="paragraph">
                  <wp:posOffset>97155</wp:posOffset>
                </wp:positionV>
                <wp:extent cx="914400" cy="487680"/>
                <wp:effectExtent l="0" t="0" r="0" b="0"/>
                <wp:wrapNone/>
                <wp:docPr id="341" name="文本框 778"/>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026" o:spt="202" type="#_x0000_t202" style="position:absolute;left:0pt;margin-left:-4.2pt;margin-top:7.65pt;height:38.4pt;width:72pt;z-index:251742208;mso-width-relative:page;mso-height-relative:page;" filled="f" stroked="f" coordsize="21600,21600" o:gfxdata="UEsDBAoAAAAAAIdO4kAAAAAAAAAAAAAAAAAEAAAAZHJzL1BLAwQUAAAACACHTuJAjaeBHdYAAAAI&#10;AQAADwAAAGRycy9kb3ducmV2LnhtbE2PwW7CMBBE75X4B2uRegM7QBCk2XAA9dqq0FbqzcRLEjVe&#10;R7Eh6d/XnNrj7Ixm3ua70bbiRr1vHCMkcwWCuHSm4Qrh/fQ824DwQbPRrWNC+CEPu2LykOvMuIHf&#10;6HYMlYgl7DONUIfQZVL6siar/dx1xNG7uN7qEGVfSdPrIZbbVi6UWkurG44Lte5oX1P5fbxahI+X&#10;y9fnSr1WB5t2gxuVZLuViI/TRD2BCDSGvzDc8SM6FJHp7K5svGgRZptVTMZ7ugRx95fpGsQZYbtI&#10;QBa5/P9A8QtQSwMEFAAAAAgAh07iQLDG/wkYAgAAGAQAAA4AAABkcnMvZTJvRG9jLnhtbK1TwW4T&#10;MRC9I/EPlu9kkxCasMqmKo2KkApFKnyA4/VmLdYeM3ayGz6A/gEnLtz7XfkOxt40hHLpgYtle8Zv&#10;3nsznp93pmFbhV6DLfhoMORMWQmltuuCf/509WLGmQ/ClqIBqwq+U56fL54/m7cuV2OooSkVMgKx&#10;Pm9dwesQXJ5lXtbKCD8ApywFK0AjAh1xnZUoWkI3TTYeDs+yFrB0CFJ5T7fLPsgPiPgUQKgqLdUS&#10;5MYoG3pUVI0IJMnX2nm+SGyrSslwU1VeBdYUnJSGtFIR2q/imi3mIl+jcLWWBwriKRQeaTJCWyp6&#10;hFqKINgG9T9QRksED1UYSDBZLyQ5QipGw0fe3NbCqaSFrPbuaLr/f7Dyw/YjMl0W/OVkxJkVhlq+&#10;/3G3/3m///WdTaezaFHrfE6Zt45yQ/cGOhqcJNe7a5BfPLNwWQu7VheI0NZKlERxFF9mJ097HB9B&#10;Vu17KKmS2ARIQF2FJvpHjjBCp/bsju1RXWCSLl+PJpMhRSSFJrPp2Sy1LxP5w2OHPrxVYFjcFByp&#10;+wlcbK99iGRE/pASa1m40k2TJqCxf11QYrxJ5CPfnnnoVt3BjBWUO5KB0A8UfSfa1IDfOGtpmAru&#10;v24EKs6ad5asSMxp+tJh8mo6JhV4GlmdRoSVBFXwwFm/vQz9xG4c6nVNlXrzLVyQfZVO0qLPPasD&#10;bxqYpPgw3HEiT88p68+H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aeBHdYAAAAIAQAADwAA&#10;AAAAAAABACAAAAAiAAAAZHJzL2Rvd25yZXYueG1sUEsBAhQAFAAAAAgAh07iQLDG/wk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承包人代表授予职权范围内的工作，承包人代表应予认可，但承包人代表保留发出通知以纠正被授权人工作失误的权力。</w:t>
      </w:r>
    </w:p>
    <w:p>
      <w:pPr>
        <w:spacing w:line="360" w:lineRule="auto"/>
        <w:rPr>
          <w:rFonts w:ascii="仿宋" w:hAnsi="仿宋" w:eastAsia="仿宋"/>
          <w:b/>
          <w:bCs/>
          <w:color w:val="auto"/>
          <w:highlight w:val="none"/>
          <w:lang w:eastAsia="zh-CN"/>
        </w:rPr>
      </w:pPr>
      <w:bookmarkStart w:id="238"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2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340" name="文本框 779"/>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026" o:spt="202" type="#_x0000_t202" style="position:absolute;left:0pt;margin-left:-9pt;margin-top:0pt;height:60pt;width:72pt;z-index:251743232;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DTcGP8FwIAABgEAAAOAAAAZHJzL2Uyb0RvYy54bWytU8uO0zAU&#10;3SPxD5b3NG0pUyZqOhqmGoQ0PKSBD3Adp7GIfc2126R8APMHrNiw57v6HVw7mVKGzSzYRLbv9bnn&#10;HJ8sLjrTsJ1Cr8EWfDIac6ashFLbTcE/fbx+9pIzH4QtRQNWFXyvPL9YPn2yaF2uplBDUypkBGJ9&#10;3rqC1yG4PMu8rJURfgROWSpWgEYE2uImK1G0hG6abDoen2UtYOkQpPKeTld9kQ+I+BhAqCot1Qrk&#10;1igbelRUjQgkydfaeb5MbKtKyfC+qrwKrCk4KQ3pS0NovY7fbLkQ+QaFq7UcKIjHUHigyQhtaegR&#10;aiWCYFvU/0AZLRE8VGEkwWS9kOQIqZiMH3hzWwunkhay2ruj6f7/wcp3uw/IdFnw5zPyxApDT374&#10;fnf48evw8xubz8+jRa3zOXXeOuoN3SvoKDhJrnc3ID97ZuGqFnajLhGhrZUoieIk3sxOrvY4PoKs&#10;27dQ0iSxDZCAugpN9I8cYYROVPbH51FdYJIOzyez2ZgqkkrzM8pSer5M5PeXHfrwWoFhcVFwpNdP&#10;4GJ340MkI/L7ljjLwrVumpSAxv51QI3xJJGPfHvmoVt3gxlrKPckA6EPFP1OtKgBv3LWUpgK7r9s&#10;BSrOmjeWrEjMKX1pM3sxn5IKPK2sTyvCSoIqeOCsX16FPrFbh3pT06TefAuXZF+lk7Toc89q4E2B&#10;SYqHcMdEnu5T158fev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rvZW9QAAAAIAQAADwAAAAAA&#10;AAABACAAAAAiAAAAZHJzL2Rvd25yZXYueG1sUEsBAhQAFAAAAAgAh07iQNNwY/wXAgAAGAQAAA4A&#10;AAAAAAAAAQAgAAAAIwEAAGRycy9lMm9Eb2MueG1sUEsFBgAAAAAGAAYAWQEAAKw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pPr>
        <w:pStyle w:val="22"/>
        <w:tabs>
          <w:tab w:val="left" w:pos="54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bCs w:val="0"/>
          <w:color w:val="auto"/>
          <w:sz w:val="24"/>
          <w:szCs w:val="24"/>
          <w:highlight w:val="none"/>
        </w:rPr>
      </w:pPr>
      <w:bookmarkStart w:id="239" w:name="_Toc667"/>
      <w:bookmarkStart w:id="240" w:name="_Toc47694301"/>
      <w:bookmarkStart w:id="241" w:name="_Toc6902"/>
      <w:r>
        <w:rPr>
          <w:rFonts w:hint="eastAsia" w:ascii="仿宋" w:hAnsi="仿宋" w:eastAsia="仿宋" w:cs="仿宋"/>
          <w:bCs w:val="0"/>
          <w:color w:val="auto"/>
          <w:sz w:val="24"/>
          <w:szCs w:val="24"/>
          <w:highlight w:val="none"/>
        </w:rPr>
        <w:t>30</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指定分包人</w:t>
      </w:r>
      <w:bookmarkEnd w:id="239"/>
      <w:bookmarkEnd w:id="240"/>
      <w:bookmarkEnd w:id="241"/>
    </w:p>
    <w:p>
      <w:pPr>
        <w:rPr>
          <w:rFonts w:ascii="仿宋" w:hAnsi="仿宋" w:eastAsia="仿宋"/>
          <w:b/>
          <w:bCs/>
          <w:color w:val="auto"/>
          <w:highlight w:val="none"/>
          <w:lang w:eastAsia="zh-CN"/>
        </w:rPr>
      </w:pPr>
      <w:bookmarkStart w:id="242"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242"/>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339" name="文本框 780"/>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026" o:spt="202" type="#_x0000_t202" style="position:absolute;left:0pt;margin-left:-9pt;margin-top:4.75pt;height:54.6pt;width:72pt;z-index:251744256;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Gzl3JYYAgAAGAQAAA4AAABkcnMvZTJvRG9jLnhtbK1TzW4T&#10;MRC+I/EOlu9k80fbrLKpSqMipPIjFR7A8XqzFmuPGTvZDQ8Ab8CJC3eeK8/B2JumoVx64GLZnvE3&#10;3/fNeH7ZmYZtFXoNtuCjwZAzZSWU2q4L/unjzYsLznwQthQNWFXwnfL8cvH82bx1uRpDDU2pkBGI&#10;9XnrCl6H4PIs87JWRvgBOGUpWAEaEeiI66xE0RK6abLxcHiWtYClQ5DKe7pd9kF+QMSnAEJVaamW&#10;IDdG2dCjompEIEm+1s7zRWJbVUqG91XlVWBNwUlpSCsVof0qrtliLvI1CldreaAgnkLhkSYjtKWi&#10;R6ilCIJtUP8DZbRE8FCFgQST9UKSI6RiNHzkzV0tnEpayGrvjqb7/wcr320/INNlwSeTGWdWGGr5&#10;/sf3/c/f+1/f2PlFsqh1PqfMO0e5oXsFHQ1OkuvdLcjPnlm4roVdqytEaGslSqI4iuZmJ09jU3zu&#10;I8iqfQslVRKbAAmoq9BE/8gRRujUnt2xPaoLTNLlbDSdDikiKXQ2m0zHiVsm8vvHDn14rcCwuCk4&#10;UvcTuNje+hDJiPw+JdaycKObJk1AY/+6oMR4k8hHvj3z0K06yo4iVlDuSAZCP1D0nWhTA37lrKVh&#10;Krj/shGoOGveWLIiMafpS4fpy3NizvA0sjqNCCsJquCBs357HfqJ3TjU65oq9eZbuCL7Kp2kPbA6&#10;8KaBSYoPwx0n8vScsh4+9O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ey6tdYAAAAJAQAADwAA&#10;AAAAAAABACAAAAAiAAAAZHJzL2Rvd25yZXYueG1sUEsBAhQAFAAAAAgAh07iQGzl3JY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pPr>
        <w:spacing w:line="360" w:lineRule="auto"/>
        <w:rPr>
          <w:rFonts w:ascii="仿宋" w:hAnsi="仿宋" w:eastAsia="仿宋"/>
          <w:b/>
          <w:bCs/>
          <w:color w:val="auto"/>
          <w:highlight w:val="none"/>
          <w:lang w:eastAsia="zh-CN"/>
        </w:rPr>
      </w:pPr>
      <w:bookmarkStart w:id="243"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2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338" name="文本框 781"/>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026" o:spt="202" type="#_x0000_t202" style="position:absolute;left:0pt;margin-left:-9pt;margin-top:0pt;height:49.4pt;width:81pt;z-index:251745280;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BSEoJ+GQIAABkEAAAOAAAAZHJzL2Uyb0RvYy54bWytU82O0zAQ&#10;viPxDpbvNOkP2xI1XS1bLUJafqSFB3Adp7FIPGbsNikPAG/AiQt3nqvPwdjJlrJc9sDFsj3jb+b7&#10;5vPysmtqtlfoNJicj0cpZ8pIKLTZ5vzjh5tnC86cF6YQNRiV84Ny/HL19MmytZmaQAV1oZARiHFZ&#10;a3NeeW+zJHGyUo1wI7DKULAEbISnI26TAkVL6E2dTNL0ImkBC4sglXN0u+6DfEDExwBCWWqp1iB3&#10;jTK+R0VVC0+UXKWt46vYbVkq6d+VpVOe1Tknpj6uVIT2m7Amq6XItihspeXQgnhMCw84NUIbKnqC&#10;Wgsv2A71P1CNlggOSj+S0CQ9kagIsRinD7S5q4RVkQtJ7exJdPf/YOXb/Xtkusj5dEqDN6KhkR+/&#10;fzv++HX8+ZXNF+MgUWtdRpl3lnJ99xI6Mk6k6+wtyE+OGbiuhNmqK0RoKyUKajG+TM6e9jgugGza&#10;N1BQJbHzEIG6EpugHynCCJ3GcziNR3WeyVAynSzmKYUkxS4m8+kizi8R2f1ri86/UtCwsMk50vgj&#10;utjfOk88KPU+JRQzcKPrOlqgNn9dUGK4id2HhvvWfbfpBjU2UByIB0LvKPpPtKkAv3DWkpty7j7v&#10;BCrO6teGtHgxns2C/eJh9nw+oQOeRzbnEWEkQeXcc9Zvr31v2Z1Fva2oUq++gSvSr9SRWhC672ro&#10;mxwTGQ/uDpY8P8esPz96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gOwG1AAAAAcBAAAPAAAA&#10;AAAAAAEAIAAAACIAAABkcnMvZG93bnJldi54bWxQSwECFAAUAAAACACHTuJAUhKCfhkCAAAZ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pPr>
        <w:spacing w:line="360" w:lineRule="auto"/>
        <w:rPr>
          <w:rFonts w:ascii="仿宋" w:hAnsi="仿宋" w:eastAsia="仿宋"/>
          <w:b/>
          <w:bCs/>
          <w:color w:val="auto"/>
          <w:highlight w:val="none"/>
          <w:u w:val="dotted"/>
          <w:lang w:eastAsia="zh-CN"/>
        </w:rPr>
      </w:pPr>
      <w:bookmarkStart w:id="244" w:name="_Toc16892"/>
      <w:r>
        <w:rPr>
          <w:rFonts w:ascii="仿宋" w:hAnsi="仿宋" w:eastAsia="仿宋" w:cs="仿宋"/>
          <w:b/>
          <w:bCs/>
          <w:color w:val="auto"/>
          <w:highlight w:val="none"/>
          <w:lang w:eastAsia="zh-CN" w:bidi="ar-SA"/>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337" name="文本框 782"/>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026" o:spt="202" type="#_x0000_t202" style="position:absolute;left:0pt;margin-left:-9pt;margin-top:18.7pt;height:55.05pt;width:81pt;z-index:251877376;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rpWudxsCAAAZBAAADgAAAGRycy9lMm9Eb2MueG1srVNL&#10;btswEN0X6B0I7mvJn8S2YDlIY6QokH6AtAegKcoiKnHYIW3JPUB7g6666b7n8jk6pBzXTTdZdCOQ&#10;nOGb9x6fFlddU7OdQqfB5Hw4SDlTRkKhzSbnHz/cvphx5rwwhajBqJzvleNXy+fPFq3N1AgqqAuF&#10;jECMy1qb88p7myWJk5VqhBuAVYaKJWAjPG1xkxQoWkJv6mSUppdJC1hYBKmco9NVX+RHRHwKIJSl&#10;lmoFctso43tUVLXwJMlV2jq+jGzLUkn/riyd8qzOOSn18UtDaL0O32S5ENkGha20PFIQT6HwSFMj&#10;tKGhJ6iV8IJtUf8D1WiJ4KD0AwlN0guJjpCKYfrIm/tKWBW1kNXOnkx3/w9Wvt29R6aLnI/HU86M&#10;aOjJD9+/HX78Ovz8yqazUbCotS6jzntLvb57CR0FJ8p19g7kJ8cM3FTCbNQ1IrSVEgVRHIabydnV&#10;HscFkHX7BgqaJLYeIlBXYhP8I0cYodPz7E/PozrPZBiZjmbTlEqSapfz+XB8EUeI7OG2RedfKWhY&#10;WOQc6fkjutjdOR/YiOyhJQwzcKvrOkagNn8dUGM4iewD4Z6679bd0Y01FHvSgdAniv4nWlSAXzhr&#10;KU05d5+3AhVn9WtDXsyHk0mIX9xMLqYj2uB5ZX1eEUYSVM49Z/3yxveR3VrUm4om9e4buCb/Sh2l&#10;BaN7VkfelJio+JjuEMnzfez680c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7ywcu2AAAAAoB&#10;AAAPAAAAAAAAAAEAIAAAACIAAABkcnMvZG93bnJldi54bWxQSwECFAAUAAAACACHTuJArpWudxsC&#10;AAAZBAAADgAAAAAAAAABACAAAAAnAQAAZHJzL2Uyb0RvYy54bWxQSwUGAAAAAAYABgBZAQAAtAUA&#10;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2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pPr>
        <w:spacing w:line="360" w:lineRule="auto"/>
        <w:rPr>
          <w:rFonts w:ascii="仿宋" w:hAnsi="仿宋" w:eastAsia="仿宋"/>
          <w:b/>
          <w:bCs/>
          <w:color w:val="auto"/>
          <w:highlight w:val="none"/>
          <w:u w:val="dotted"/>
          <w:lang w:eastAsia="zh-CN"/>
        </w:rPr>
      </w:pPr>
      <w:bookmarkStart w:id="245" w:name="_Toc20846"/>
      <w:r>
        <w:rPr>
          <w:rFonts w:ascii="仿宋" w:hAnsi="仿宋" w:eastAsia="仿宋" w:cs="仿宋"/>
          <w:b/>
          <w:bCs/>
          <w:color w:val="auto"/>
          <w:highlight w:val="none"/>
          <w:lang w:eastAsia="zh-CN" w:bidi="ar-SA"/>
        </w:rPr>
        <mc:AlternateContent>
          <mc:Choice Requires="wps">
            <w:drawing>
              <wp:anchor distT="0" distB="0" distL="114300" distR="114300" simplePos="0" relativeHeight="251878400" behindDoc="0" locked="0" layoutInCell="1" allowOverlap="1">
                <wp:simplePos x="0" y="0"/>
                <wp:positionH relativeFrom="column">
                  <wp:posOffset>-66675</wp:posOffset>
                </wp:positionH>
                <wp:positionV relativeFrom="paragraph">
                  <wp:posOffset>199390</wp:posOffset>
                </wp:positionV>
                <wp:extent cx="908685" cy="791845"/>
                <wp:effectExtent l="0" t="0" r="0" b="0"/>
                <wp:wrapNone/>
                <wp:docPr id="336" name="文本框 783"/>
                <wp:cNvGraphicFramePr/>
                <a:graphic xmlns:a="http://schemas.openxmlformats.org/drawingml/2006/main">
                  <a:graphicData uri="http://schemas.microsoft.com/office/word/2010/wordprocessingShape">
                    <wps:wsp>
                      <wps:cNvSpPr txBox="1">
                        <a:spLocks noChangeArrowheads="1"/>
                      </wps:cNvSpPr>
                      <wps:spPr bwMode="auto">
                        <a:xfrm>
                          <a:off x="0" y="0"/>
                          <a:ext cx="908685" cy="791845"/>
                        </a:xfrm>
                        <a:prstGeom prst="rect">
                          <a:avLst/>
                        </a:prstGeom>
                        <a:noFill/>
                        <a:ln>
                          <a:noFill/>
                        </a:ln>
                      </wps:spPr>
                      <wps:txbx>
                        <w:txbxContent>
                          <w:p>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026" o:spt="202" type="#_x0000_t202" style="position:absolute;left:0pt;margin-left:-5.25pt;margin-top:15.7pt;height:62.35pt;width:71.55pt;z-index:251878400;mso-width-relative:page;mso-height-relative:page;" filled="f" stroked="f" coordsize="21600,21600" o:gfxdata="UEsDBAoAAAAAAIdO4kAAAAAAAAAAAAAAAAAEAAAAZHJzL1BLAwQUAAAACACHTuJAhVoOj9cAAAAK&#10;AQAADwAAAGRycy9kb3ducmV2LnhtbE2PwU7DMAyG70i8Q2QkbluSba2gNN0BxBXEBkjcvMZrKxqn&#10;arK1vD3ZCW62/On395fb2fXiTGPoPBvQSwWCuPa248bA+/55cQciRGSLvWcy8EMBttX1VYmF9RO/&#10;0XkXG5FCOBRooI1xKKQMdUsOw9IPxOl29KPDmNaxkXbEKYW7Xq6UyqXDjtOHFgd6bKn+3p2cgY+X&#10;49fnRr02Ty4bJj8rye5eGnN7o9UDiEhz/IPhop/UoUpOB39iG0RvYKFVllADa70BcQHWqxzEIQ1Z&#10;rkFWpfxfofoFUEsDBBQAAAAIAIdO4kD1+GJzGgIAABgEAAAOAAAAZHJzL2Uyb0RvYy54bWytU8uO&#10;0zAU3SPxD5b3NH0/oqajYapBSMNDGvgA13Eai8TXXLtNygfAH7Biw57v6ndw7XRKGTazYBPZvtfn&#10;nnN8srxq64rtFToNJuODXp8zZSTk2mwz/vHD7Ys5Z84Lk4sKjMr4QTl+tXr+bNnYVA2hhCpXyAjE&#10;uLSxGS+9t2mSOFmqWrgeWGWoWADWwtMWt0mOoiH0ukqG/f40aQBziyCVc3S67or8hIhPAYSi0FKt&#10;Qe5qZXyHiqoSniS5UlvHV5FtUSjp3xWFU55VGSelPn5pCK034ZusliLdorCllicK4ikUHmmqhTY0&#10;9Ay1Fl6wHep/oGotERwUviehTjoh0RFSMeg/8ua+FFZFLWS1s2fT3f+DlW/375HpPOOj0ZQzI2p6&#10;8uP3b8cfv44/v7LZfBQsaqxLqfPeUq9vX0JLwYlynb0D+ckxAzelMFt1jQhNqUROFAfhZnJxtcNx&#10;AWTTvIGcJomdhwjUFlgH/8gRRuj0PIfz86jWM0mHi/58Op9wJqk0Wwzm40mcINKHyxadf6WgZmGR&#10;caTXj+Bif+d8ICPSh5Ywy8CtrqqYgMr8dUCN4SSSD3w75r7dtCczNpAfSAZCFyj6nWhRAn7hrKEw&#10;Zdx93glUnFWvDVmxGIzHIX1xM57MhrTBy8rmsiKMJKiMe8665Y3vEruzqLclTerMN3BN9hU6Sgs+&#10;d6xOvCkwUfEp3CGRl/vY9eeH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VoOj9cAAAAKAQAA&#10;DwAAAAAAAAABACAAAAAiAAAAZHJzL2Rvd25yZXYueG1sUEsBAhQAFAAAAAgAh07iQPX4YnMaAgAA&#10;GAQAAA4AAAAAAAAAAQAgAAAAJgEAAGRycy9lMm9Eb2MueG1sUEsFBgAAAAAGAAYAWQEAALIFAAAA&#10;AA==&#10;">
                <v:fill on="f" focussize="0,0"/>
                <v:stroke on="f"/>
                <v:imagedata o:title=""/>
                <o:lock v:ext="edit" aspectratio="f"/>
                <v:textbox>
                  <w:txbxContent>
                    <w:p>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2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bCs w:val="0"/>
          <w:color w:val="auto"/>
          <w:sz w:val="24"/>
          <w:szCs w:val="24"/>
          <w:highlight w:val="none"/>
        </w:rPr>
      </w:pPr>
      <w:bookmarkStart w:id="246" w:name="_Toc20502"/>
      <w:bookmarkStart w:id="247" w:name="_Toc47694302"/>
      <w:bookmarkStart w:id="248" w:name="_Toc6758"/>
      <w:r>
        <w:rPr>
          <w:rFonts w:hint="eastAsia" w:ascii="仿宋" w:hAnsi="仿宋" w:eastAsia="仿宋" w:cs="仿宋"/>
          <w:bCs w:val="0"/>
          <w:color w:val="auto"/>
          <w:sz w:val="24"/>
          <w:szCs w:val="24"/>
          <w:highlight w:val="none"/>
        </w:rPr>
        <w:t>31</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 xml:space="preserve"> 承包人劳务</w:t>
      </w:r>
      <w:bookmarkEnd w:id="246"/>
      <w:bookmarkEnd w:id="247"/>
      <w:bookmarkEnd w:id="248"/>
    </w:p>
    <w:p>
      <w:pPr>
        <w:spacing w:line="360" w:lineRule="auto"/>
        <w:rPr>
          <w:rFonts w:ascii="仿宋" w:hAnsi="仿宋" w:eastAsia="仿宋"/>
          <w:b/>
          <w:bCs/>
          <w:color w:val="auto"/>
          <w:highlight w:val="none"/>
          <w:lang w:eastAsia="zh-CN"/>
        </w:rPr>
      </w:pPr>
      <w:bookmarkStart w:id="249"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249"/>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335" name="文本框 784"/>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026" o:spt="202" type="#_x0000_t202" style="position:absolute;left:0pt;margin-left:-9pt;margin-top:0.65pt;height:54.5pt;width:72pt;z-index:251746304;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rapUQRkCAAAYBAAADgAAAGRycy9lMm9Eb2MueG1srVPNbhMx&#10;EL4j8Q6W72STNOnPKpuqNCpCKlCp8ACO15u1WHvM2MlueAB4A05cuPe58hyMvWkI5dIDF8v2jL/5&#10;vm/Gs8vONGyj0GuwBR8NhpwpK6HUdlXwTx9vXp1z5oOwpWjAqoJvleeX85cvZq3L1RhqaEqFjECs&#10;z1tX8DoEl2eZl7Uywg/AKUvBCtCIQEdcZSWKltBNk42Hw9OsBSwdglTe0+2iD/I9Ij4HEKpKS7UA&#10;uTbKhh4VVSMCSfK1dp7PE9uqUjJ8qCqvAmsKTkpDWqkI7ZdxzeYzka9QuFrLPQXxHApPNBmhLRU9&#10;QC1EEGyN+h8ooyWChyoMJJisF5IcIRWj4RNv7mvhVNJCVnt3MN3/P1j5fnOHTJcFPzmZcmaFoZbv&#10;fnzf/XzY/frGzs4n0aLW+Zwy7x3lhu41dDQ4Sa53tyA/e2bhuhZ2pa4Qoa2VKIniKL7Mjp72OD6C&#10;LNt3UFIlsQ6QgLoKTfSPHGGETu3ZHtqjusAkXV6MJpMhRSSFTi/Go2lqXybyx8cOfXijwLC4KThS&#10;9xO42Nz6EMmI/DEl1rJwo5smTUBj/7qgxHiTyEe+PfPQLbu9GUsotyQDoR8o+k60qQG/ctbSMBXc&#10;f1kLVJw1by1ZkZjT9KXDZHo2JhV4HFkeR4SVBFXwwFm/vQ79xK4d6lVNlXrzLVyRfZVO0qLPPas9&#10;bxqYpHg/3HEij88p68+Hn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7OqwtUAAAAJAQAADwAA&#10;AAAAAAABACAAAAAiAAAAZHJzL2Rvd25yZXYueG1sUEsBAhQAFAAAAAgAh07iQK2qVEEZAgAAG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360" w:lineRule="auto"/>
        <w:rPr>
          <w:rFonts w:ascii="仿宋" w:hAnsi="仿宋" w:eastAsia="仿宋" w:cs="仿宋"/>
          <w:b/>
          <w:bCs/>
          <w:color w:val="auto"/>
          <w:highlight w:val="none"/>
          <w:lang w:eastAsia="zh-CN"/>
        </w:rPr>
      </w:pPr>
      <w:bookmarkStart w:id="250"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2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34" name="文本框 78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026" o:spt="202" type="#_x0000_t202" style="position:absolute;left:0pt;margin-left:-9pt;margin-top:0.65pt;height:31.2pt;width:72pt;z-index:251747328;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v5ar3hgCAAAYBAAADgAAAGRycy9lMm9Eb2MueG1srVNLjhMx&#10;EN0jcQfLe9L5za+VzmiYaBDSACMNHMBxu9MWbZcpO+kOB4AbsGLDfs6Vc1B2Z0IYNrNgY9mu8qv3&#10;XpVnl51p2Eah12ALPhoMOVNWQqntquCfPt68OufMB2FL0YBVBd8qzy/nL1/MWperMdTQlAoZgVif&#10;t67gdQguzzIva2WEH4BTloIVoBGBjrjKShQtoZsmGw+Hp1kLWDoEqbyn20Uf5HtEfA4gVJWWagFy&#10;bZQNPSqqRgSS5GvtPJ8ntlWlZPhQVV4F1hSclIa0UhHaL+OazWciX6FwtZZ7CuI5FJ5oMkJbKnqA&#10;Wogg2Br1P1BGSwQPVRhIMFkvJDlCKkbDJ97c18KppIWs9u5guv9/sPL95g6ZLgs+mUw5s8JQy3c/&#10;vu9+Pux+fWNn5yfRotb5nDLvHeWG7jV0NDhJrne3ID97ZuG6FnalrhChrZUoieIovsyOnvY4PoIs&#10;23dQUiWxDpCAugpN9I8cYYRO7dke2qO6wCRdXoym0yFFJIUmF6fjaWpfJvLHxw59eKPAsLgpOFL3&#10;E7jY3PoQyYj8MSXWsnCjmyZNQGP/uqDEeJPIR74989Atu70ZSyi3JAOhHyj6TrSpAb9y1tIwFdx/&#10;WQtUnDVvLVmRmNP0pcP05GxMKvA4sjyOCCsJquCBs357HfqJXTvUq5oq9eZbuCL7Kp2kRZ97Vnve&#10;NDBJ8X6440Qen1PWnw89/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t2iW1QAAAAgBAAAPAAAA&#10;AAAAAAEAIAAAACIAAABkcnMvZG93bnJldi54bWxQSwECFAAUAAAACACHTuJAv5ar3h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pPr>
        <w:spacing w:line="360" w:lineRule="auto"/>
        <w:rPr>
          <w:rFonts w:ascii="仿宋" w:hAnsi="仿宋" w:eastAsia="仿宋"/>
          <w:b/>
          <w:bCs/>
          <w:color w:val="auto"/>
          <w:highlight w:val="none"/>
          <w:lang w:eastAsia="zh-CN"/>
        </w:rPr>
      </w:pPr>
      <w:bookmarkStart w:id="251"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25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333" name="文本框 786"/>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026" o:spt="202" type="#_x0000_t202" style="position:absolute;left:0pt;margin-left:-9pt;margin-top:4.7pt;height:39pt;width:72pt;z-index:251748352;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3L7bOBYCAAAYBAAADgAAAGRycy9lMm9Eb2MueG1srVNLbtsw&#10;EN0X6B0I7mv5l59gOUhjpCiQfoC0B6ApyiIqctghbck9QHODrrrpvufyOTqkHMdNN1l0Iwxnhm/e&#10;exzNLjvTsI1Cr8EWfDQYcqashFLbVcE/f7p5dc6ZD8KWogGrCr5Vnl/OX76YtS5XY6ihKRUyArE+&#10;b13B6xBcnmVe1soIPwCnLBUrQCMCHXGVlShaQjdNNh4OT7MWsHQIUnlP2UVf5HtEfA4gVJWWagFy&#10;bZQNPSqqRgSS5GvtPJ8ntlWlZPhQVV4F1hSclIb0pSEUL+M3m89EvkLhai33FMRzKDzRZIS2NPQA&#10;tRBBsDXqf6CMlggeqjCQYLJeSHKEVIyGT7y5q4VTSQtZ7d3BdP//YOX7zUdkuiz4ZDLhzApDT777&#10;cb/7+Xv36zs7Oz+NFrXO59R556g3dK+ho8VJcr27BfnFMwvXtbArdYUIba1ESRRH8WZ2dLXH8RFk&#10;2b6DkiaJdYAE1FVoon/kCCN0ep7t4XlUF5ik5MVoOh1SRVJpenEyoThOEPnDZYc+vFFgWAwKjvT6&#10;CVxsbn3oWx9a4iwLN7ppKC/yxv6VIMyYSeQj35556JYddUdFSyi3JAOhXyj6nSioAb9x1tIyFdx/&#10;XQtUnDVvLVmRmNP2pcP05GxMKvC4sjyuCCsJquCBsz68Dv3Grh3qVU2TevMtXJF9lU7SHlntedPC&#10;JHP2yx038vicuh5/6P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VgKKNUAAAAIAQAADwAAAAAA&#10;AAABACAAAAAiAAAAZHJzL2Rvd25yZXYueG1sUEsBAhQAFAAAAAgAh07iQNy+2zgWAgAAGAQAAA4A&#10;AAAAAAAAAQAgAAAAJAEAAGRycy9lMm9Eb2MueG1sUEsFBgAAAAAGAAYAWQEAAKw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（1）负责为雇员提供必要的食宿及各种生活设施，采取合理的卫生、劳动保护</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和安全防护措施，保证雇员的健康和安全；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（2）保障雇员的合法权利和人身安全，及时采取有效措施抢救和治疗施工中受伤害的雇员；</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（3）充分考虑和保障雇员的休息时间和法定节假日休假时间，尊重雇员的宗教信仰和风俗习惯；</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（4）在施工现场主要出入口处设榜公布雇员工资发放时间和投诉电话。</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（5）办理雇员的意外伤害等一切保险，处理雇员因工伤亡事故的善后事宜。</w:t>
      </w:r>
    </w:p>
    <w:p>
      <w:pPr>
        <w:spacing w:line="360" w:lineRule="auto"/>
        <w:rPr>
          <w:rFonts w:ascii="仿宋" w:hAnsi="仿宋" w:eastAsia="仿宋"/>
          <w:b/>
          <w:bCs/>
          <w:color w:val="auto"/>
          <w:highlight w:val="none"/>
          <w:lang w:eastAsia="zh-CN"/>
        </w:rPr>
      </w:pPr>
      <w:bookmarkStart w:id="252"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2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32" name="文本框 787"/>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026" o:spt="202" type="#_x0000_t202" style="position:absolute;left:0pt;margin-left:-9pt;margin-top:0pt;height:54.6pt;width:72pt;z-index:251749376;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BfYdrLGAIAABgEAAAOAAAAZHJzL2Uyb0RvYy54bWytU81uEzEQ&#10;viPxDpbvZPNH066yqUqjIqTyIxUewPF6sxZrjxk72Q0PQN+AExfuPFeeg7E3DaFceuBi2Z7xN9/3&#10;zXh+2ZmGbRV6Dbbgo8GQM2UllNquC/7p482Lc858ELYUDVhV8J3y/HLx/Nm8dbkaQw1NqZARiPV5&#10;6wpeh+DyLPOyVkb4AThlKVgBGhHoiOusRNESummy8XB4lrWApUOQynu6XfZBfkDEpwBCVWmpliA3&#10;RtnQo6JqRCBJvtbO80ViW1VKhvdV5VVgTcFJaUgrFaH9Kq7ZYi7yNQpXa3mgIJ5C4ZEmI7Slokeo&#10;pQiCbVD/A2W0RPBQhYEEk/VCkiOkYjR85M1dLZxKWshq746m+/8HK99tPyDTZcEnkzFnVhhq+f77&#10;/f7Hr/3Pb2x2PosWtc7nlHnnKDd0r6CjwUlyvbsF+dkzC9e1sGt1hQhtrURJFEfxZXbytMfxEWTV&#10;voWSKolNgATUVWiif+QII3Rqz+7YHtUFJunyYjSdDikiKXR2MZmOU/sykT88dujDawWGxU3Bkbqf&#10;wMX21odIRuQPKbGWhRvdNGkCGvvXBSXGm0Q+8u2Zh27VHcxYQbkjGQj9QNF3ok0N+JWzloap4P7L&#10;RqDirHljyYrEnKYvHaYvZ8Sc4WlkdRoRVhJUwQNn/fY69BO7cajXNVXqzbdwRfZVOkmLPvesDrxp&#10;YJLiw3DHiTw9p6w/H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5RFTPUAAAACAEAAA8AAAAA&#10;AAAAAQAgAAAAIgAAAGRycy9kb3ducmV2LnhtbFBLAQIUABQAAAAIAIdO4kBfYdrLGAIAABg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pPr>
        <w:spacing w:line="360" w:lineRule="auto"/>
        <w:rPr>
          <w:rFonts w:ascii="仿宋" w:hAnsi="仿宋" w:eastAsia="仿宋"/>
          <w:b/>
          <w:bCs/>
          <w:color w:val="auto"/>
          <w:highlight w:val="none"/>
          <w:lang w:eastAsia="zh-CN"/>
        </w:rPr>
      </w:pPr>
      <w:bookmarkStart w:id="253"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2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331" name="文本框 788"/>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026" o:spt="202" type="#_x0000_t202" style="position:absolute;left:0pt;margin-left:-9pt;margin-top:0pt;height:37.85pt;width:72pt;z-index:251750400;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oHRbbBkCAAAYBAAADgAAAGRycy9lMm9Eb2MueG1srVNLbtsw&#10;EN0X6B0I7mvJjpM4guUgjZGiQPoB0h6ApiiLqMhhh7Sl9ADtDbrqpvuey+fokHJcN91k0Y1AcoZv&#10;3nt8ml/2pmVbhV6DLfl4lHOmrIRK23XJP364eTHjzAdhK9GCVSW/V55fLp4/m3euUBNooK0UMgKx&#10;vuhcyZsQXJFlXjbKCD8CpywVa0AjAm1xnVUoOkI3bTbJ87OsA6wcglTe0+lyKPI9Ij4FEOpaS7UE&#10;uTHKhgEVVSsCSfKNdp4vEtu6VjK8q2uvAmtLTkpD+tIQWq/iN1vMRbFG4Rot9xTEUyg80mSEtjT0&#10;ALUUQbAN6n+gjJYIHuowkmCyQUhyhFSM80fe3DXCqaSFrPbuYLr/f7Dy7fY9Ml2V/ORkzJkVhp58&#10;9/3b7sev3c+v7Hw2ixZ1zhfUeeeoN/QvoafgJLne3YL85JmF60bYtbpChK5RoiKK43gzO7o64PgI&#10;sureQEWTxCZAAuprNNE/coQROj3P/eF5VB+YpMOL8XSaU0VSaTrLzy5O0wRRPFx26MMrBYbFRcmR&#10;Xj+Bi+2tD5GMKB5a4iwLN7ptUwJa+9cBNcaTRD7yHZiHftXvzVhBdU8yEIZA0e9EiwbwC2cdhank&#10;/vNGoOKsfW3JisSc0pc209PzCanA48rquCKsJKiSB86G5XUYErtxqNcNTRrMt3BF9tU6SYs+D6z2&#10;vCkwSfE+3DGRx/vU9eeH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jbnstUAAAAHAQAADwAA&#10;AAAAAAABACAAAAAiAAAAZHJzL2Rvd25yZXYueG1sUEsBAhQAFAAAAAgAh07iQKB0W2wZAgAAG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360" w:lineRule="auto"/>
        <w:rPr>
          <w:rFonts w:ascii="仿宋" w:hAnsi="仿宋" w:eastAsia="仿宋"/>
          <w:b/>
          <w:bCs/>
          <w:color w:val="auto"/>
          <w:highlight w:val="none"/>
          <w:lang w:eastAsia="zh-CN"/>
        </w:rPr>
      </w:pPr>
      <w:bookmarkStart w:id="254"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2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330" name="文本框 789"/>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026" o:spt="202" type="#_x0000_t202" style="position:absolute;left:0pt;margin-left:-9pt;margin-top:0pt;height:70.2pt;width:72pt;z-index:251751424;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D6Gr6oGAIAABgEAAAOAAAAZHJzL2Uyb0RvYy54bWytU0tu2zAQ&#10;3RfoHQjua9mO09iC5SCNkaJA+gHSHoCmKIuoyGGHtCX3AM0Nuuqm+57L5+iQclw33WTRjUByhm/e&#10;e3yaX3amYVuFXoMt+Ggw5ExZCaW264J/+njzYsqZD8KWogGrCr5Tnl8unj+bty5XY6ihKRUyArE+&#10;b13B6xBcnmVe1soIPwCnLBUrQCMCbXGdlShaQjdNNh4OX2YtYOkQpPKeTpd9kR8Q8SmAUFVaqiXI&#10;jVE29KioGhFIkq+183yR2FaVkuF9VXkVWFNwUhrSl4bQehW/2WIu8jUKV2t5oCCeQuGRJiO0paFH&#10;qKUIgm1Q/wNltETwUIWBBJP1QpIjpGI0fOTNXS2cSlrIau+Opvv/ByvfbT8g02XBz87IEysMPfn+&#10;+/3+x6/9z2/sYjqLFrXO59R556g3dK+go+Akud7dgvzsmYXrWti1ukKEtlaiJIqjeDM7udrj+Aiy&#10;at9CSZPEJkAC6io00T9yhBE6Udkdn0d1gUk6nI0mkyFVJJWms9H5JD1fJvKHyw59eK3AsLgoONLr&#10;J3CxvfUhkhH5Q0ucZeFGN01KQGP/OqDGeJLIR74989CtuoMZKyh3JAOhDxT9TrSoAb9y1lKYCu6/&#10;bAQqzpo3lqxIzCl9aTM5vxiTCjytrE4rwkqCKnjgrF9ehz6xG4d6XdOk3nwLV2RfpZO06HPP6sCb&#10;ApMUH8IdE3m6T11/fuj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KzjETUAAAACAEAAA8AAAAA&#10;AAAAAQAgAAAAIgAAAGRycy9kb3ducmV2LnhtbFBLAQIUABQAAAAIAIdO4kD6Gr6oGAIAABg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pPr>
        <w:widowControl w:val="0"/>
        <w:numPr>
          <w:ilvl w:val="1"/>
          <w:numId w:val="4"/>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r>
        <w:rPr>
          <w:rFonts w:ascii="仿宋" w:hAnsi="仿宋" w:eastAsia="仿宋" w:cs="仿宋"/>
          <w:color w:val="auto"/>
          <w:highlight w:val="none"/>
          <w:lang w:eastAsia="zh-CN"/>
        </w:rPr>
        <w:t xml:space="preserve"> </w:t>
      </w:r>
    </w:p>
    <w:p>
      <w:pPr>
        <w:widowControl w:val="0"/>
        <w:numPr>
          <w:ilvl w:val="1"/>
          <w:numId w:val="4"/>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pPr>
        <w:widowControl w:val="0"/>
        <w:numPr>
          <w:ilvl w:val="1"/>
          <w:numId w:val="4"/>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329" name="文本框 790"/>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026" o:spt="202" type="#_x0000_t202" style="position:absolute;left:0pt;margin-left:-9pt;margin-top:0pt;height:40.25pt;width:72pt;z-index:251752448;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D4iC7eGAIAABgEAAAOAAAAZHJzL2Uyb0RvYy54bWytU82O0zAQ&#10;viPxDpbvNE1pKY2arpatFiEtP9LCAziO01gkHjN2m5QHgDfgxIU7z9XnYOx0u2W57IGLZXvG33zf&#10;N+PlRd82bKfQaTA5T0djzpSRUGqzyfmnj9fPXnLmvDClaMConO+V4xerp0+Wnc3UBGpoSoWMQIzL&#10;Opvz2nubJYmTtWqFG4FVhoIVYCs8HXGTlCg6Qm+bZDIev0g6wNIiSOUc3a6HID8i4mMAoaq0VGuQ&#10;21YZP6CiaoQnSa7W1vFVZFtVSvr3VeWUZ03OSamPKxWhfRHWZLUU2QaFrbU8UhCPofBAUyu0oaIn&#10;qLXwgm1R/wPVaongoPIjCW0yCImOkIp0/MCb21pYFbWQ1c6eTHf/D1a+231ApsucP58sODOipZYf&#10;fnw//Px9+PWNzRfRos66jDJvLeX6/hX0NDhRrrM3ID87ZuCqFmajLhGhq5UoiWIazE3OnoamuMwF&#10;kKJ7CyVVElsPEaivsA3+kSOM0Kk9+1N7VO+ZpMtFOp2OKSIpNEvTdD6LFUR299ii868VtCxsco7U&#10;/QgudjfOBzIiu0sJtQxc66aJE9CYvy4oMdxE8oHvwNz3RU/ZQUQB5Z5kIAwDRd+JNjXgV846Gqac&#10;uy9bgYqz5o0hKyJzmr54mM7mE1KB55HiPCKMJKice86G7ZUfJnZrUW9qqjSYb+CS7Kt0lHbP6sib&#10;BiYqPg53mMjzc8y6/9C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vzKHUAAAABwEAAA8AAAAA&#10;AAAAAQAgAAAAIgAAAGRycy9kb3ducmV2LnhtbFBLAQIUABQAAAAIAIdO4kD4iC7eGAIAABg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pPr>
        <w:pStyle w:val="40"/>
        <w:rPr>
          <w:color w:val="auto"/>
          <w:highlight w:val="none"/>
        </w:rPr>
      </w:pP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328" name="文本框 791"/>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026" o:spt="202" type="#_x0000_t202" style="position:absolute;left:0pt;margin-left:-9pt;margin-top:0pt;height:34.25pt;width:72pt;z-index:251753472;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QvDlOBcCAAAYBAAADgAAAGRycy9lMm9Eb2MueG1srVPNbhMx&#10;EL4j8Q6W72STNCXNKpuqNCpCKj9S4QEcrzdrsfaYsZPd8ADwBpy4cO9z5TmYtdMQyqUHLpbtGX/z&#10;fd+M55edadhWoddgCz4aDDlTVkKp7brgnz7evLjgzAdhS9GAVQXfKc8vF8+fzVuXqzHU0JQKGYFY&#10;n7eu4HUILs8yL2tlhB+AU5aCFaARgY64zkoULaGbJhsPhy+zFrB0CFJ5T7fLFOQHRHwKIFSVlmoJ&#10;cmOUDQkVVSMCSfK1dp4vItuqUjK8ryqvAmsKTkpDXKkI7Vf9mi3mIl+jcLWWBwriKRQeaTJCWyp6&#10;hFqKINgG9T9QRksED1UYSDBZEhIdIRWj4SNv7mrhVNRCVnt3NN3/P1j5bvsBmS4LfjamxlthqOX7&#10;H9/3P+/3v76x6WzUW9Q6n1PmnaPc0L2CjgYnyvXuFuRnzyxc18Ku1RUitLUSJVGML7OTpwnH9yCr&#10;9i2UVElsAkSgrkLT+0eOMEKn9uyO7VFdYJIuZ6PJZEgRSaHJ2WQ2Pe+5ZSJ/eOzQh9cKDOs3BUfq&#10;fgQX21sfUupDSl/Lwo1umjgBjf3rgjD7m0i+55uYh27VHcxYQbkjGQhpoOg70aYG/MpZS8NUcP9l&#10;I1Bx1ryxZEVkTtMXD5Pz6ZhU4GlkdRoRVhJUwQNnaXsd0sRuHOp1TZWS+RauyL5KR2m9z4nVgTcN&#10;TDTnMNz9RJ6eY9af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S12O/VAAAABwEAAA8AAAAA&#10;AAAAAQAgAAAAIgAAAGRycy9kb3ducmV2LnhtbFBLAQIUABQAAAAIAIdO4kBC8OU4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pPr>
        <w:pStyle w:val="22"/>
        <w:adjustRightInd w:val="0"/>
        <w:snapToGrid w:val="0"/>
        <w:spacing w:line="360" w:lineRule="auto"/>
        <w:jc w:val="center"/>
        <w:outlineLvl w:val="1"/>
        <w:rPr>
          <w:rFonts w:ascii="仿宋" w:hAnsi="仿宋" w:eastAsia="仿宋"/>
          <w:b/>
          <w:bCs/>
          <w:color w:val="auto"/>
          <w:sz w:val="24"/>
          <w:szCs w:val="24"/>
          <w:highlight w:val="none"/>
        </w:rPr>
      </w:pPr>
      <w:bookmarkStart w:id="255" w:name="_Toc959"/>
      <w:bookmarkStart w:id="256" w:name="_Toc47694303"/>
      <w:bookmarkStart w:id="257" w:name="_Toc14708"/>
      <w:r>
        <w:rPr>
          <w:rFonts w:hint="eastAsia" w:ascii="仿宋" w:hAnsi="仿宋" w:eastAsia="仿宋" w:cs="仿宋"/>
          <w:b/>
          <w:bCs/>
          <w:color w:val="auto"/>
          <w:sz w:val="24"/>
          <w:szCs w:val="24"/>
          <w:highlight w:val="none"/>
        </w:rPr>
        <w:t>三、担保、保险与风险</w:t>
      </w:r>
      <w:bookmarkEnd w:id="255"/>
      <w:bookmarkEnd w:id="256"/>
      <w:bookmarkEnd w:id="257"/>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258" w:name="_Toc47694304"/>
      <w:bookmarkStart w:id="259" w:name="_Toc9189"/>
      <w:bookmarkStart w:id="260" w:name="_Toc10393"/>
      <w:r>
        <w:rPr>
          <w:rFonts w:hint="eastAsia" w:ascii="仿宋" w:hAnsi="仿宋" w:eastAsia="仿宋" w:cs="仿宋"/>
          <w:bCs w:val="0"/>
          <w:color w:val="auto"/>
          <w:sz w:val="24"/>
          <w:szCs w:val="24"/>
          <w:highlight w:val="none"/>
        </w:rPr>
        <w:t>32</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工程担保</w:t>
      </w:r>
      <w:bookmarkEnd w:id="258"/>
      <w:bookmarkEnd w:id="259"/>
      <w:bookmarkEnd w:id="260"/>
    </w:p>
    <w:p>
      <w:pPr>
        <w:pStyle w:val="22"/>
        <w:tabs>
          <w:tab w:val="left" w:pos="1320"/>
        </w:tabs>
        <w:adjustRightInd w:val="0"/>
        <w:snapToGrid w:val="0"/>
        <w:spacing w:line="360" w:lineRule="auto"/>
        <w:ind w:right="-24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32</w:t>
      </w:r>
      <w:r>
        <w:rPr>
          <w:rFonts w:ascii="仿宋" w:hAnsi="仿宋" w:eastAsia="仿宋" w:cs="仿宋"/>
          <w:b/>
          <w:bCs/>
          <w:color w:val="auto"/>
          <w:sz w:val="24"/>
          <w:szCs w:val="24"/>
          <w:highlight w:val="none"/>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80645</wp:posOffset>
                </wp:positionV>
                <wp:extent cx="914400" cy="396240"/>
                <wp:effectExtent l="0" t="0" r="0" b="0"/>
                <wp:wrapNone/>
                <wp:docPr id="327" name="文本框 792"/>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026" o:spt="202" type="#_x0000_t202" style="position:absolute;left:0pt;margin-left:-9pt;margin-top:6.35pt;height:31.2pt;width:72pt;z-index:251754496;mso-width-relative:page;mso-height-relative:page;" filled="f" stroked="f" coordsize="21600,21600" o:gfxdata="UEsDBAoAAAAAAIdO4kAAAAAAAAAAAAAAAAAEAAAAZHJzL1BLAwQUAAAACACHTuJApvYmadYAAAAJ&#10;AQAADwAAAGRycy9kb3ducmV2LnhtbE2PzW7CMBCE75V4B2uRegM7UfkLcThQ9dqq0FbqzcRLEhGv&#10;o9iQ9O27nNrjzoxmv8l3o2vFDfvQeNKQzBUIpNLbhioNH8eX2RpEiIasaT2hhh8MsCsmD7nJrB/o&#10;HW+HWAkuoZAZDXWMXSZlKGt0Jsx9h8Te2ffORD77StreDFzuWpkqtZTONMQfatPhvsbycrg6DZ+v&#10;5++vJ/VWPbtFN/hRSXIbqfXjNFFbEBHH+BeGOz6jQ8FMJ38lG0SrYZaseUtkI12BuAfSJQsnDatF&#10;ArLI5f8FxS9QSwMEFAAAAAgAh07iQBhESrsYAgAAGAQAAA4AAABkcnMvZTJvRG9jLnhtbK1TzW4T&#10;MRC+I/EOlu9kk21oySqbqjQqQio/UuEBHK83a7H2mLGT3fAA8AacuHDnufIcjL1pCOXSAxfL9oy/&#10;+b5vxvPL3rRsq9BrsCWfjMacKSuh0nZd8o8fbp694MwHYSvRglUl3ynPLxdPn8w7V6gcGmgrhYxA&#10;rC86V/ImBFdkmZeNMsKPwClLwRrQiEBHXGcVio7QTZvl4/F51gFWDkEq7+l2OQT5AREfAwh1raVa&#10;gtwYZcOAiqoVgST5RjvPF4ltXSsZ3tW1V4G1JSelIa1UhParuGaLuSjWKFyj5YGCeAyFB5qM0JaK&#10;HqGWIgi2Qf0PlNESwUMdRhJMNghJjpCKyfiBN3eNcCppIau9O5ru/x+sfLt9j0xXJT/LLzizwlDL&#10;99+/7X/82v/8yi5mebSoc76gzDtHuaF/CT0NTpLr3S3IT55ZuG6EXasrROgaJSqiOIkvs5OnA46P&#10;IKvuDVRUSWwCJKC+RhP9I0cYoVN7dsf2qD4wSZezyXQ6poik0NnsPJ+m9mWiuH/s0IdXCgyLm5Ij&#10;dT+Bi+2tD5GMKO5TYi0LN7pt0wS09q8LSow3iXzkOzAP/ao/mLGCakcyEIaBou9EmwbwC2cdDVPJ&#10;/eeNQMVZ+9qSFYk5TV86TJ9f5KQCTyOr04iwkqBKHjgbttdhmNiNQ71uqNJgvoUrsq/WSVr0eWB1&#10;4E0DkxQfhjtO5Ok5Zf350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vYmadYAAAAJAQAADwAA&#10;AAAAAAABACAAAAAiAAAAZHJzL2Rvd25yZXYueG1sUEsBAhQAFAAAAAgAh07iQBhESrs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pPr>
        <w:spacing w:line="360" w:lineRule="auto"/>
        <w:rPr>
          <w:rFonts w:ascii="仿宋" w:hAnsi="仿宋" w:eastAsia="仿宋"/>
          <w:b/>
          <w:bCs/>
          <w:color w:val="auto"/>
          <w:highlight w:val="none"/>
          <w:lang w:eastAsia="zh-CN"/>
        </w:rPr>
      </w:pPr>
      <w:bookmarkStart w:id="261" w:name="_Toc31260"/>
      <w:r>
        <w:rPr>
          <w:color w:val="auto"/>
          <w:highlight w:val="none"/>
          <w:lang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326" name="文本框 793"/>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026" o:spt="202" type="#_x0000_t202" style="position:absolute;left:0pt;margin-left:-9pt;margin-top:20.15pt;height:31.1pt;width:72pt;z-index:251755520;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BGfkW7GAIAABgEAAAOAAAAZHJzL2Uyb0RvYy54bWytU0uO&#10;EzEQ3SNxB8t70vkxIa10RsNEg5CGjzRwAMftTlu0XabspDscAG7Aig17zpVzUHZnQhg2s2Bj2a7y&#10;q/delReXnWnYTqHXYAs+Ggw5U1ZCqe2m4B8/3Dx7wZkPwpaiAasKvleeXy6fPlm0LldjqKEpFTIC&#10;sT5vXcHrEFyeZV7Wygg/AKcsBStAIwIdcZOVKFpCN002Hg4vshawdAhSeU+3qz7Ij4j4GECoKi3V&#10;CuTWKBt6VFSNCCTJ19p5vkxsq0rJ8K6qvAqsKTgpDWmlIrRfxzVbLkS+QeFqLY8UxGMoPNBkhLZU&#10;9AS1EkGwLep/oIyWCB6qMJBgsl5IcoRUjIYPvLmrhVNJC1nt3cl0//9g5dvde2S6LPhkfMGZFYZa&#10;fvj+7fDj1+HnVzabT6JFrfM5Zd45yg3dS+hocJJc725BfvLMwnUt7EZdIUJbK1ESxVF8mZ097XF8&#10;BFm3b6CkSmIbIAF1FZroHznCCJ3asz+1R3WBSbqcj6bTIUUkhSbz6XyW2peJ/P6xQx9eKTAsbgqO&#10;1P0ELna3PkQyIr9PibUs3OimSRPQ2L8uKDHeJPKRb888dOvuaMYayj3JQOgHir4TbWrAL5y1NEwF&#10;95+3AhVnzWtLViTmNH3pMH0+G5MKPI+szyPCSoIqeOCs316HfmK3DvWmpkq9+RauyL5KJ2nR557V&#10;kTcNTFJ8HO44kefnlPXn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HnUjXAAAACgEAAA8A&#10;AAAAAAAAAQAgAAAAIgAAAGRycy9kb3ducmV2LnhtbFBLAQIUABQAAAAIAIdO4kBGfkW7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bookmarkEnd w:id="2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pPr>
        <w:spacing w:line="360" w:lineRule="auto"/>
        <w:rPr>
          <w:rFonts w:ascii="仿宋" w:hAnsi="仿宋" w:eastAsia="仿宋"/>
          <w:b/>
          <w:bCs/>
          <w:color w:val="auto"/>
          <w:highlight w:val="none"/>
          <w:lang w:eastAsia="zh-CN"/>
        </w:rPr>
      </w:pPr>
      <w:bookmarkStart w:id="262" w:name="_Toc27420"/>
      <w:r>
        <w:rPr>
          <w:color w:val="auto"/>
          <w:highlight w:val="none"/>
          <w:lang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325" name="文本框 794"/>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026" o:spt="202" type="#_x0000_t202" style="position:absolute;left:0pt;margin-left:-9pt;margin-top:19.6pt;height:39pt;width:72pt;z-index:251756544;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66fnUBcCAAAYBAAADgAAAGRycy9lMm9Eb2MueG1srVNL&#10;btswEN0X6B0I7mvZjt3UguUgjZGiQPoB0h6ApiiLqMhhh7Ql9wDNDbrqpvuey+fokHIcN91k0Y0w&#10;nBm+ee9xNL/oTMO2Cr0GW/DRYMiZshJKbdcF//zp+sUrznwQthQNWFXwnfL8YvH82bx1uRpDDU2p&#10;kBGI9XnrCl6H4PIs87JWRvgBOGWpWAEaEeiI66xE0RK6abLxcPgyawFLhyCV95Rd9kV+QMSnAEJV&#10;aamWIDdG2dCjompEIEm+1s7zRWJbVUqGD1XlVWBNwUlpSF8aQvEqfrPFXORrFK7W8kBBPIXCI01G&#10;aEtDj1BLEQTboP4HymiJ4KEKAwkm64UkR0jFaPjIm9taOJW0kNXeHU33/w9Wvt9+RKbLgp+Np5xZ&#10;YejJ9z/u9j9/7399Z+ezSbSodT6nzltHvaF7DR0tTpLr3Q3IL55ZuKqFXatLRGhrJUqiOIo3s5Or&#10;PY6PIKv2HZQ0SWwCJKCuQhP9I0cYodPz7I7Po7rAJCVno8lkSBVJpclsekZxnCDy+8sOfXijwLAY&#10;FBzp9RO42N740Lfet8RZFq5101Be5I39K0GYMZPIR74989CtOuqOilZQ7kgGQr9Q9DtRUAN+46yl&#10;ZSq4/7oRqDhr3lqyIjGn7UuHyfR8TCrwtLI6rQgrCarggbM+vAr9xm4c6nVNk3rzLVySfZVO0h5Y&#10;HXjTwiRzDssdN/L0nLoefuj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W7JD7YAAAACgEAAA8A&#10;AAAAAAAAAQAgAAAAIgAAAGRycy9kb3ducmV2LnhtbFBLAQIUABQAAAAIAIdO4kDrp+dQFwIAABgE&#10;AAAOAAAAAAAAAAEAIAAAACc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2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spacing w:line="360" w:lineRule="auto"/>
        <w:rPr>
          <w:rFonts w:ascii="仿宋" w:hAnsi="仿宋" w:eastAsia="仿宋"/>
          <w:b/>
          <w:bCs/>
          <w:color w:val="auto"/>
          <w:highlight w:val="none"/>
          <w:lang w:eastAsia="zh-CN"/>
        </w:rPr>
      </w:pPr>
      <w:bookmarkStart w:id="263" w:name="_Toc325"/>
      <w:r>
        <w:rPr>
          <w:color w:val="auto"/>
          <w:highlight w:val="none"/>
          <w:lang w:eastAsia="zh-CN" w:bidi="ar-SA"/>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324" name="文本框 795"/>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026" o:spt="202" type="#_x0000_t202" style="position:absolute;left:0pt;margin-left:-9pt;margin-top:19.8pt;height:32.9pt;width:72pt;z-index:251879424;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j6E2VxgCAAAYBAAADgAAAGRycy9lMm9Eb2MueG1srVPB&#10;bhMxEL0j8Q+W72STNCXtKpuqNCpCKhSp8AGO15u1WHvM2Mlu+AD6B5y4cO935TsYe9MQyqUHLpbt&#10;Gb957814dtGZhm0Ueg224KPBkDNlJZTargr++dP1qzPOfBC2FA1YVfCt8vxi/vLFrHW5GkMNTamQ&#10;EYj1eesKXofg8izzslZG+AE4ZSlYARoR6IirrETRErppsvFw+DprAUuHIJX3dLvog3yPiM8BhKrS&#10;Ui1Aro2yoUdF1YhAknytnefzxLaqlAy3VeVVYE3BSWlIKxWh/TKu2Xwm8hUKV2u5pyCeQ+GJJiO0&#10;paIHqIUIgq1R/wNltETwUIWBBJP1QpIjpGI0fOLNXS2cSlrIau8Opvv/Bys/bD4i02XBT8YTzqww&#10;1PLdj/vdz4fdr+9sen4aLWqdzynzzlFu6N5AR4OT5Hp3A/KLZxauamFX6hIR2lqJkiiO4svs6GmP&#10;4yPIsn0PJVUS6wAJqKvQRP/IEUbo1J7toT2qC0zS5floMhlSRFJoMpqenaT2ZSJ/fOzQh7cKDIub&#10;giN1P4GLzY0PkYzIH1NiLQvXumnSBDT2rwtKjDeJfOTbMw/dstubsYRySzIQ+oGi70SbGvAbZy0N&#10;U8H917VAxVnzzpIViTlNXzpMTqdjUoHHkeVxRFhJUAUPnPXbq9BP7NqhXtVUqTffwiXZV+kkLfrc&#10;s9rzpoFJivfDHSfy+Jyy/nzo+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E7+Y2AAAAAoBAAAP&#10;AAAAAAAAAAEAIAAAACIAAABkcnMvZG93bnJldi54bWxQSwECFAAUAAAACACHTuJAj6E2VxgCAAAY&#10;BAAADgAAAAAAAAABACAAAAAn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2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pPr>
        <w:spacing w:line="360" w:lineRule="auto"/>
        <w:rPr>
          <w:rFonts w:ascii="仿宋" w:hAnsi="仿宋" w:eastAsia="仿宋"/>
          <w:b/>
          <w:bCs/>
          <w:color w:val="auto"/>
          <w:highlight w:val="none"/>
          <w:lang w:eastAsia="zh-CN"/>
        </w:rPr>
      </w:pPr>
      <w:bookmarkStart w:id="264" w:name="_Toc11769"/>
      <w:r>
        <w:rPr>
          <w:color w:val="auto"/>
          <w:highlight w:val="none"/>
          <w:lang w:eastAsia="zh-CN" w:bidi="ar-SA"/>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323" name="文本框 796"/>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026" o:spt="202" type="#_x0000_t202" style="position:absolute;left:0pt;margin-left:-9pt;margin-top:18.75pt;height:32.5pt;width:72pt;z-index:251880448;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oRI2mhgCAAAYBAAADgAAAGRycy9lMm9Eb2MueG1srVPB&#10;bhMxEL0j8Q+W72STNG3aVTZVaVSEVChS4QMcrzdrsfaYsZPd8AH0Dzhx4c535TsYe9MQyqUHLpbt&#10;Gb957814dtmZhm0Ueg224KPBkDNlJZTargr+6ePNq3POfBC2FA1YVfCt8vxy/vLFrHW5GkMNTamQ&#10;EYj1eesKXofg8izzslZG+AE4ZSlYARoR6IirrETRErppsvFweJa1gKVDkMp7ul30Qb5HxOcAQlVp&#10;qRYg10bZ0KOiakQgSb7WzvN5YltVSoa7qvIqsKbgpDSklYrQfhnXbD4T+QqFq7XcUxDPofBEkxHa&#10;UtED1EIEwdao/4EyWiJ4qMJAgsl6IckRUjEaPvHmvhZOJS1ktXcH0/3/g5XvNx+Q6bLgJ+MTzqww&#10;1PLd94fdj1+7n9/Y9OIsWtQ6n1PmvaPc0L2GjgYnyfXuFuRnzyxc18Ku1BUitLUSJVEcxZfZ0dMe&#10;x0eQZfsOSqok1gESUFehif6RI4zQqT3bQ3tUF5iky4vRZDKkiKTQZDSenqb2ZSJ/fOzQhzcKDIub&#10;giN1P4GLza0PkYzIH1NiLQs3umnSBDT2rwtKjDeJfOTbMw/dstubsYRySzIQ+oGi70SbGvArZy0N&#10;U8H9l7VAxVnz1pIViTlNXzpMTqdjUoHHkeVxRFhJUAUPnPXb69BP7NqhXtVUqTffwhXZV+kkLfrc&#10;s9rzpoFJivfDHSfy+Jyy/nzo+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8MnY2AAAAAoBAAAP&#10;AAAAAAAAAAEAIAAAACIAAABkcnMvZG93bnJldi54bWxQSwECFAAUAAAACACHTuJAoRI2mhgCAAAY&#10;BAAADgAAAAAAAAABACAAAAAn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2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pPr>
        <w:spacing w:line="360" w:lineRule="auto"/>
        <w:rPr>
          <w:rFonts w:ascii="仿宋" w:hAnsi="仿宋" w:eastAsia="仿宋"/>
          <w:b/>
          <w:bCs/>
          <w:color w:val="auto"/>
          <w:highlight w:val="none"/>
          <w:lang w:eastAsia="zh-CN"/>
        </w:rPr>
      </w:pPr>
      <w:bookmarkStart w:id="265" w:name="_Toc6720"/>
      <w:r>
        <w:rPr>
          <w:color w:val="auto"/>
          <w:highlight w:val="none"/>
          <w:lang w:eastAsia="zh-CN" w:bidi="ar-SA"/>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322" name="文本框 79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026" o:spt="202" type="#_x0000_t202" style="position:absolute;left:0pt;margin-left:-9pt;margin-top:19.5pt;height:31.2pt;width:72pt;z-index:251881472;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IiPl7YYAgAAGAQAAA4AAABkcnMvZTJvRG9jLnhtbK1TzW4T&#10;MRC+I/EOlu9kk21oySqbqjQqQio/UuEBHK83a7H2mLGT3fAA8AacuHDnufIcjL1pCOXSAxfL9oy/&#10;+b5vxvPL3rRsq9BrsCWfjMacKSuh0nZd8o8fbp694MwHYSvRglUl3ynPLxdPn8w7V6gcGmgrhYxA&#10;rC86V/ImBFdkmZeNMsKPwClLwRrQiEBHXGcVio7QTZvl4/F51gFWDkEq7+l2OQT5AREfAwh1raVa&#10;gtwYZcOAiqoVgST5RjvPF4ltXSsZ3tW1V4G1JSelIa1UhParuGaLuSjWKFyj5YGCeAyFB5qM0JaK&#10;HqGWIgi2Qf0PlNESwUMdRhJMNghJjpCKyfiBN3eNcCppIau9O5ru/x+sfLt9j0xXJT/Lc86sMNTy&#10;/fdv+x+/9j+/sovZRbSoc76gzDtHuaF/CT0NTpLr3S3IT55ZuG6EXasrROgaJSqiOIkvs5OnA46P&#10;IKvuDVRUSWwCJKC+RhP9I0cYoVN7dsf2qD4wSZezyXQ6poik0NnsPJ+m9mWiuH/s0IdXCgyLm5Ij&#10;dT+Bi+2tD5GMKO5TYi0LN7pt0wS09q8LSow3iXzkOzAP/ao/mLGCakcyEIaBou9EmwbwC2cdDVPJ&#10;/eeNQMVZ+9qSFYk5TV86TJ9f5KQCTyOr04iwkqBKHjgbttdhmNiNQ71uqNJgvoUrsq/WSVr0eWB1&#10;4E0DkxQfhjtO5Ok5Zf350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oaQYtYAAAAKAQAADwAA&#10;AAAAAAABACAAAAAiAAAAZHJzL2Rvd25yZXYueG1sUEsBAhQAFAAAAAgAh07iQIiPl7Y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bookmarkEnd w:id="2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spacing w:line="360" w:lineRule="auto"/>
        <w:rPr>
          <w:rFonts w:ascii="仿宋" w:hAnsi="仿宋" w:eastAsia="仿宋"/>
          <w:b/>
          <w:bCs/>
          <w:color w:val="auto"/>
          <w:highlight w:val="none"/>
          <w:lang w:eastAsia="zh-CN"/>
        </w:rPr>
      </w:pPr>
      <w:bookmarkStart w:id="266" w:name="_Toc32372"/>
      <w:r>
        <w:rPr>
          <w:color w:val="auto"/>
          <w:highlight w:val="none"/>
          <w:lang w:eastAsia="zh-CN" w:bidi="ar-SA"/>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321" name="文本框 798"/>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026" o:spt="202" type="#_x0000_t202" style="position:absolute;left:0pt;margin-left:-9pt;margin-top:19.15pt;height:33.3pt;width:72pt;z-index:251882496;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Bi6dNHGAIAABgEAAAOAAAAZHJzL2Uyb0RvYy54bWytU82O&#10;0zAQviPxDpbvNE0o7DZqulq2WoS0/EgLD+A6TmOReMzYbVIegH0DTly481x9DsZOtpTlsgculu0Z&#10;f/N934wXF33bsJ1Cp8EUPJ1MOVNGQqnNpuCfPl4/O+fMeWFK0YBRBd8rxy+WT58sOpurDGpoSoWM&#10;QIzLO1vw2nubJ4mTtWqFm4BVhoIVYCs8HXGTlCg6Qm+bJJtOXyYdYGkRpHKObldDkI+I+BhAqCot&#10;1QrktlXGD6ioGuFJkqu1dXwZ2VaVkv59VTnlWVNwUurjSkVovw5rslyIfIPC1lqOFMRjKDzQ1Apt&#10;qOgRaiW8YFvU/0C1WiI4qPxEQpsMQqIjpCKdPvDmthZWRS1ktbNH093/g5Xvdh+Q6bLgz7OUMyNa&#10;avnh+93hx6/Dz2/sbH4eLOqsyynz1lKu719BT4MT5Tp7A/KzYwauamE26hIRulqJkiim4WVy8nTA&#10;cQFk3b2FkiqJrYcI1FfYBv/IEUbo1J79sT2q90zS5TydzaYUkRSaZdk8je1LRH7/2KLzrxW0LGwK&#10;jtT9CC52N84HMiK/Twm1DFzrpokT0Ji/Ligx3ETyge/A3PfrfjRjDeWeZCAMA0XfiTY14FfOOhqm&#10;grsvW4GKs+aNISsic5q+eJi9OMtIBZ5G1qcRYSRBFdxzNmyv/DCxW4t6U1OlwXwDl2RfpaO04PPA&#10;auRNAxMVj8MdJvL0HLP+fOj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AE2KnXAAAACgEAAA8A&#10;AAAAAAAAAQAgAAAAIgAAAGRycy9kb3ducmV2LnhtbFBLAQIUABQAAAAIAIdO4kBi6dNH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bookmarkEnd w:id="2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pPr>
        <w:spacing w:line="360" w:lineRule="auto"/>
        <w:rPr>
          <w:rFonts w:ascii="仿宋" w:hAnsi="仿宋" w:eastAsia="仿宋"/>
          <w:b/>
          <w:bCs/>
          <w:color w:val="auto"/>
          <w:highlight w:val="none"/>
          <w:lang w:eastAsia="zh-CN"/>
        </w:rPr>
      </w:pPr>
      <w:bookmarkStart w:id="267" w:name="_Toc5677"/>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bookmarkEnd w:id="2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41275</wp:posOffset>
                </wp:positionV>
                <wp:extent cx="914400" cy="339090"/>
                <wp:effectExtent l="0" t="0" r="0" b="0"/>
                <wp:wrapNone/>
                <wp:docPr id="320"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026" o:spt="202" type="#_x0000_t202" style="position:absolute;left:0pt;margin-left:-9pt;margin-top:3.25pt;height:26.7pt;width:72pt;z-index:251883520;mso-width-relative:page;mso-height-relative:page;" filled="f" stroked="f" coordsize="21600,21600" o:gfxdata="UEsDBAoAAAAAAIdO4kAAAAAAAAAAAAAAAAAEAAAAZHJzL1BLAwQUAAAACACHTuJA/h3s09UAAAAI&#10;AQAADwAAAGRycy9kb3ducmV2LnhtbE2PzW6DMBCE75X6DtZWyi2xiQIKlCWHVr02avoj9ebgDaDi&#10;NcJOIG9f59QeRzOa+abczbYXFxp95xghWSkQxLUzHTcIH+8vyy0IHzQb3TsmhCt52FX3d6UujJv4&#10;jS6H0IhYwr7QCG0IQyGlr1uy2q/cQBy9kxutDlGOjTSjnmK57eVaqUxa3XFcaPVATy3VP4ezRfh8&#10;PX1/bdS+ebbpMLlZSba5RFw8JOoRRKA5/IXhhh/RoYpMR3dm40WPsEy28UtAyFIQN3+dRX1ESPMc&#10;ZFXK/weqX1BLAwQUAAAACACHTuJA+p7BbBcCAAAYBAAADgAAAGRycy9lMm9Eb2MueG1srVPLjtMw&#10;FN0j8Q+W9zTpA4ZGTUfDVIOQhoc08AGu4zQWsa+5dpsMH8D8ASs27PmufgfXTqeUYTMLNpHte33u&#10;Occni/PetGyn0GuwJR+Pcs6UlVBpuyn5p49Xz15y5oOwlWjBqpLfKs/Pl0+fLDpXqAk00FYKGYFY&#10;X3Su5E0IrsgyLxtlhB+BU5aKNaARgba4ySoUHaGbNpvk+YusA6wcglTe0+lqKPIDIj4GEOpaS7UC&#10;uTXKhgEVVSsCSfKNdp4vE9u6VjK8r2uvAmtLTkpD+tIQWq/jN1suRLFB4RotDxTEYyg80GSEtjT0&#10;CLUSQbAt6n+gjJYIHuowkmCyQUhyhFSM8wfe3DTCqaSFrPbuaLr/f7Dy3e4DMl2VfDohT6ww9OT7&#10;73f7H7/2P7+xs/k8WtQ5X1DnjaPe0L+CnoKT5Hp3DfKzZxYuG2E36gIRukaJiiiO483s5OqA4yPI&#10;unsLFU0S2wAJqK/RRP/IEUboROX2+DyqD0zS4Xw8m+VUkVSaTuf5PD1fJor7yw59eK3AsLgoOdLr&#10;J3Cxu/YhkhHFfUucZeFKt21KQGv/OqDGeJLIR74D89Cv+4MZa6huSQbCECj6nWjRAH7lrKMwldx/&#10;2QpUnLVvLFmRmFP60mb2/CxajaeV9WlFWElQJQ+cDcvLMCR261BvGpo0mG/hguyrdZIWfR5YHXhT&#10;YJLiQ7hjIk/3qevPD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4d7NPVAAAACAEAAA8AAAAA&#10;AAAAAQAgAAAAIgAAAGRycy9kb3ducmV2LnhtbFBLAQIUABQAAAAIAIdO4kD6nsFs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268" w:name="_Toc13653"/>
      <w:bookmarkStart w:id="269" w:name="_Toc47694305"/>
      <w:bookmarkStart w:id="270" w:name="_Toc14174"/>
      <w:r>
        <w:rPr>
          <w:rFonts w:hint="eastAsia" w:ascii="仿宋" w:hAnsi="仿宋" w:eastAsia="仿宋" w:cs="仿宋"/>
          <w:bCs w:val="0"/>
          <w:color w:val="auto"/>
          <w:sz w:val="24"/>
          <w:szCs w:val="24"/>
          <w:highlight w:val="none"/>
        </w:rPr>
        <w:t>33</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发包人风险</w:t>
      </w:r>
      <w:bookmarkEnd w:id="268"/>
      <w:bookmarkEnd w:id="269"/>
      <w:bookmarkEnd w:id="270"/>
    </w:p>
    <w:p>
      <w:pPr>
        <w:pStyle w:val="22"/>
        <w:adjustRightInd w:val="0"/>
        <w:snapToGrid w:val="0"/>
        <w:spacing w:line="360" w:lineRule="auto"/>
        <w:ind w:right="-240"/>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319" name="文本框 80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026" o:spt="202" type="#_x0000_t202" style="position:absolute;left:0pt;margin-left:-9pt;margin-top:17.85pt;height:31.2pt;width:72pt;z-index:251884544;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AF3dR7GAIAABgEAAAOAAAAZHJzL2Uyb0RvYy54bWytU8Fu&#10;EzEQvSPxD5bvZJM0lGaVTVUaFSEVilT4AMfrzVqsPWbsZDd8AP0DTly497vyHYy9aRrKpQculu0Z&#10;v3nvzXh23pmGbRR6Dbbgo8GQM2UllNquCv7l89WrM858ELYUDVhV8K3y/Hz+8sWsdbkaQw1NqZAR&#10;iPV56wpeh+DyLPOyVkb4AThlKVgBGhHoiKusRNESummy8XB4mrWApUOQynu6XfRBvkfE5wBCVWmp&#10;FiDXRtnQo6JqRCBJvtbO83liW1VKhpuq8iqwpuCkNKSVitB+GddsPhP5CoWrtdxTEM+h8ESTEdpS&#10;0QPUQgTB1qj/gTJaIniowkCCyXohyRFSMRo+8ea2Fk4lLWS1dwfT/f+DlR83n5DpsuAnoylnVhhq&#10;+e7n3e7X/e73D3Y2TBa1zueUeesoN3RvoaPBSXK9uwb51TMLl7WwK3WBCG2tREkUR9Hc7OhpbIrP&#10;fQRZth+gpEpiHSABdRWa6B85wgid2rM9tEd1gUm6nI4mE+LDJIVOpqfjSeKWifzhsUMf3ikwLG4K&#10;jtT9BC421z5EMiJ/SIm1LFzppkkT0Ni/Ligx3iTykW/PPHTLjrKjiCWUW5KB0A8UfSfa1IDfOWtp&#10;mAruv60FKs6a95asSMxp+tJh8vrNmFTgcWR5HBFWElTBA2f99jL0E7t2qFc1VerNt3BB9lU6SXtk&#10;tedNA5MU74c7TuTxOWU9fuj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Fo6vjXAAAACQEAAA8A&#10;AAAAAAAAAQAgAAAAIgAAAGRycy9kb3ducmV2LnhtbFBLAQIUABQAAAAIAIdO4kAF3dR7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3</w:t>
      </w:r>
      <w:r>
        <w:rPr>
          <w:rFonts w:ascii="仿宋" w:hAnsi="仿宋" w:eastAsia="仿宋" w:cs="仿宋"/>
          <w:b/>
          <w:bCs/>
          <w:color w:val="auto"/>
          <w:sz w:val="24"/>
          <w:szCs w:val="24"/>
          <w:highlight w:val="none"/>
          <w:lang w:val="en-US"/>
        </w:rPr>
        <w:t>.1</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发包人应承担本合同中规定应由发包人承担的风险。</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3</w:t>
      </w:r>
      <w:r>
        <w:rPr>
          <w:rFonts w:ascii="仿宋" w:hAnsi="仿宋" w:eastAsia="仿宋" w:cs="仿宋"/>
          <w:b/>
          <w:bCs/>
          <w:color w:val="auto"/>
          <w:sz w:val="24"/>
          <w:szCs w:val="24"/>
          <w:highlight w:val="none"/>
          <w:lang w:val="en-US"/>
        </w:rPr>
        <w:t xml:space="preserve">.2  </w:t>
      </w:r>
      <w:r>
        <w:rPr>
          <w:rFonts w:ascii="仿宋" w:hAnsi="仿宋" w:eastAsia="仿宋" w:cs="仿宋"/>
          <w:b/>
          <w:bCs/>
          <w:color w:val="auto"/>
          <w:sz w:val="24"/>
          <w:szCs w:val="24"/>
          <w:highlight w:val="none"/>
          <w:u w:val="dotted"/>
        </w:rPr>
        <w:t xml:space="preserve">                                                      </w:t>
      </w:r>
      <w:r>
        <w:rPr>
          <w:rFonts w:hint="eastAsia"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318" name="文本框 801"/>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026" o:spt="202" type="#_x0000_t202" style="position:absolute;left:0pt;margin-left:-9pt;margin-top:0.85pt;height:28.05pt;width:72pt;z-index:251757568;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8TQHDhYCAAAYBAAADgAAAGRycy9lMm9Eb2MueG1srVNLjhMx&#10;EN0jcQfLe9Kd3zC00hkNEw1CGj7SwAEctztt0XaZspPu4QBwA1Zs2HOunINqOxPCsJkFG8t2lV+9&#10;96q8uOhNy3YKvQZb8vEo50xZCZW2m5J//HD97JwzH4StRAtWlfxOeX6xfPpk0blCTaCBtlLICMT6&#10;onMlb0JwRZZ52Sgj/AicshSsAY0IdMRNVqHoCN202STPz7IOsHIIUnlPt6sU5AdEfAwg1LWWagVy&#10;a5QNCRVVKwJJ8o12ni8j27pWMryra68Ca0tOSkNcqQjt18OaLRei2KBwjZYHCuIxFB5oMkJbKnqE&#10;Wokg2Bb1P1BGSwQPdRhJMFkSEh0hFeP8gTe3jXAqaiGrvTua7v8frHy7e49MVyWfjqnxVhhq+f77&#10;t/2PX/ufX9l5Ph4s6pwvKPPWUW7oX0JPgxPlencD8pNnFq4aYTfqEhG6RomKKMaX2cnThOMHkHX3&#10;BiqqJLYBIlBfoxn8I0cYoVN77o7tUX1gki5fjGeznCKSQtP52WQ6H7hlorh/7NCHVwoMGzYlR+p+&#10;BBe7Gx9S6n3KUMvCtW7bOAGt/euCMIebSH7gm5iHft0fzFhDdUcyENJA0XeiTQP4hbOOhqnk/vNW&#10;oOKsfW3Jisicpi8eZvPnE1KBp5H1aURYSVAlD5yl7VVIE7t1qDcNVUrmW7gk+2odpQ0+J1YH3jQw&#10;0ZzDcA8TeXqOWX8+9P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RBU2NUAAAAIAQAADwAAAAAA&#10;AAABACAAAAAiAAAAZHJzL2Rvd25yZXYueG1sUEsBAhQAFAAAAAgAh07iQPE0Bw4WAgAAGAQAAA4A&#10;AAAAAAAAAQAgAAAAJAEAAGRycy9lMm9Eb2MueG1sUEsFBgAAAAAGAAYAWQEAAK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（1）由非承包人原因导致的勘察、设计等工作延误、暂停或终止；</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（2）由非承包人原因导致的勘察、设计等工作缺陷；</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（3）由于永久工程本身或施工而不可避免造成的财产（除工程本身、工程材料、工程设备和施工设备外）损失或损坏；</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（4）由于发包人工作人员及其相关人员（除承包人外）的疏忽或违规造成的人员伤亡、财产损失或损坏；</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（5）由于发包人提前使用或占用永久工程或其部分造成的损失或损坏；</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（6）由于发包人提供或发包人负责的设计造成的对永久工程、工程材料、工程设备和施工设备的损失或损害；</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（7）由于地质、邻近建筑物、古树名木等发包人和第三方责任人原因造成施工过程中费用的增加；</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（8）专用条款约定由发包人承担的物价上涨等非承包人原因造成施工过程中费用的增加；</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（9）其它风险。</w:t>
      </w:r>
    </w:p>
    <w:p>
      <w:pPr>
        <w:pStyle w:val="22"/>
        <w:adjustRightInd w:val="0"/>
        <w:snapToGrid w:val="0"/>
        <w:spacing w:line="360" w:lineRule="auto"/>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271" w:name="_Toc47694306"/>
      <w:bookmarkStart w:id="272" w:name="_Toc22538"/>
      <w:bookmarkStart w:id="273" w:name="_Toc7332"/>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271"/>
      <w:bookmarkEnd w:id="272"/>
      <w:bookmarkEnd w:id="273"/>
    </w:p>
    <w:p>
      <w:pPr>
        <w:pStyle w:val="22"/>
        <w:tabs>
          <w:tab w:val="left" w:pos="1320"/>
          <w:tab w:val="left" w:pos="1440"/>
        </w:tabs>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885568"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317" name="文本框 802"/>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026" o:spt="202" type="#_x0000_t202" style="position:absolute;left:0pt;margin-left:-10.5pt;margin-top:20.05pt;height:33.65pt;width:81pt;z-index:251885568;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D4i6ugaAgAAGQQAAA4AAABkcnMvZTJvRG9jLnhtbK1Ty47T&#10;MBTdI/EPlvc0aaalJWo6GqYahDQ8pIEPcB2nsUh8zbXbpHwA/AErNuz5rn4H106nlGEzCzaR7Xt9&#10;7jnHJ4vLvm3YTqHTYAo+HqWcKSOh1GZT8I8fbp7NOXNemFI0YFTB98rxy+XTJ4vO5iqDGppSISMQ&#10;4/LOFrz23uZJ4mStWuFGYJWhYgXYCk9b3CQlio7Q2ybJ0vR50gGWFkEq5+h0NRT5EREfAwhVpaVa&#10;gdy2yvgBFVUjPElytbaOLyPbqlLSv6sqpzxrCk5KffzSEFqvwzdZLkS+QWFrLY8UxGMoPNDUCm1o&#10;6AlqJbxgW9T/QLVaIjio/EhCmwxCoiOkYpw+8OauFlZFLWS1syfT3f+DlW9375HpsuAX4xlnRrT0&#10;5Ifv3w4/fh1+fmXzNAsWddbl1Hlnqdf3L6Gn4ES5zt6C/OSYgetamI26QoSuVqIkiuNwMzm7OuC4&#10;ALLu3kBJk8TWQwTqK2yDf+QII3R6nv3peVTvmQwj02w+S6kkqTbJZhfTaRwh8vvbFp1/paBlYVFw&#10;pOeP6GJ363xgI/L7ljDMwI1umhiBxvx1QI3hJLIPhAfqvl/3RzfWUO5JB8KQKPqfaFEDfuGsozQV&#10;3H3eClScNa8NefFiPJmE+MXNZDrLaIPnlfV5RRhJUAX3nA3Laz9EdmtRb2qaNLhv4Ir8q3SUFowe&#10;WB15U2Ki4mO6QyTP97Hrzx+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KqyZ1gAAAAoBAAAP&#10;AAAAAAAAAAEAIAAAACIAAABkcnMvZG93bnJldi54bWxQSwECFAAUAAAACACHTuJAPiLq6BoCAAAZ&#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4</w:t>
      </w:r>
      <w:r>
        <w:rPr>
          <w:rFonts w:ascii="仿宋" w:hAnsi="仿宋" w:eastAsia="仿宋" w:cs="仿宋"/>
          <w:b/>
          <w:bCs/>
          <w:color w:val="auto"/>
          <w:sz w:val="24"/>
          <w:szCs w:val="24"/>
          <w:highlight w:val="none"/>
          <w:lang w:val="en-US"/>
        </w:rPr>
        <w:t>.1</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承包人应承担本合同中规定应由承包人承担的风险。</w:t>
      </w:r>
    </w:p>
    <w:p>
      <w:pPr>
        <w:pStyle w:val="22"/>
        <w:tabs>
          <w:tab w:val="left" w:pos="1320"/>
          <w:tab w:val="left" w:pos="1440"/>
        </w:tabs>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316" name="文本框 803"/>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026" o:spt="202" type="#_x0000_t202" style="position:absolute;left:0pt;margin-left:-9pt;margin-top:20.65pt;height:24.25pt;width:72pt;z-index:251886592;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CiD7CJGQIAABgEAAAOAAAAZHJzL2Uyb0RvYy54bWytU0tu&#10;2zAQ3RfoHQjua8mfxIlgOUhjpCiQfoC0B6ApyiIqcdghbck9QHuDrrrpvufyOTqkFNdNN1l0I5Cc&#10;4Zv3Hp8WV11Ts51Cp8HkfDxKOVNGQqHNJucfP9y+uODMeWEKUYNROd8rx6+Wz58tWpupCVRQFwoZ&#10;gRiXtTbnlfc2SxInK9UINwKrDBVLwEZ42uImKVC0hN7UySRNz5MWsLAIUjlHp6u+yAdEfAoglKWW&#10;agVy2yjje1RUtfAkyVXaOr6MbMtSSf+uLJ3yrM45KfXxS0NovQ7fZLkQ2QaFrbQcKIinUHikqRHa&#10;0NAj1Ep4wbao/4FqtERwUPqRhCbphURHSMU4feTNfSWsilrIamePprv/Byvf7t4j00XOp+Nzzoxo&#10;6MkP378dfvw6/PzKLtJpsKi1LqPOe0u9vnsJHQUnynX2DuQnxwzcVMJs1DUitJUSBVEch5vJydUe&#10;xwWQdfsGCpokth4iUFdiE/wjRxih0/Psj8+jOs8kHV6OZ7OUKpJK03R+OT+LE0T2cNmi868UNCws&#10;co70+hFc7O6cD2RE9tASZhm41XUdE1Cbvw6oMZxE8oFvz9x3624wYw3FnmQg9IGi34kWFeAXzloK&#10;U87d561AxVn92pAVkTmlL25mZ/MJqcDTyvq0IowkqJx7zvrlje8Tu7WoNxVN6s03cE32lTpKCz73&#10;rAbeFJioeAh3SOTpPnb9+aG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vk+c1wAAAAkBAAAP&#10;AAAAAAAAAAEAIAAAACIAAABkcnMvZG93bnJldi54bWxQSwECFAAUAAAACACHTuJAog+wiRkCAAAY&#10;BAAADgAAAAAAAAABACAAAAAm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4</w:t>
      </w:r>
      <w:r>
        <w:rPr>
          <w:rFonts w:ascii="仿宋" w:hAnsi="仿宋" w:eastAsia="仿宋" w:cs="仿宋"/>
          <w:b/>
          <w:bCs/>
          <w:color w:val="auto"/>
          <w:sz w:val="24"/>
          <w:szCs w:val="24"/>
          <w:highlight w:val="none"/>
          <w:lang w:val="en-US"/>
        </w:rPr>
        <w:t xml:space="preserve">.2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5条以外的人员伤亡以及财产（包括但不限于合同工程、材料、工程设备和施工设备）的损失或损坏。</w:t>
      </w:r>
    </w:p>
    <w:p>
      <w:pPr>
        <w:pStyle w:val="22"/>
        <w:adjustRightInd w:val="0"/>
        <w:snapToGrid w:val="0"/>
        <w:spacing w:line="360" w:lineRule="auto"/>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274" w:name="_Toc1411"/>
      <w:bookmarkStart w:id="275" w:name="_Toc9418"/>
      <w:bookmarkStart w:id="276" w:name="_Toc47694307"/>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5</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不可抗力</w:t>
      </w:r>
      <w:bookmarkEnd w:id="274"/>
      <w:bookmarkEnd w:id="275"/>
      <w:bookmarkEnd w:id="276"/>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5</w:t>
      </w:r>
      <w:r>
        <w:rPr>
          <w:rFonts w:ascii="仿宋" w:hAnsi="仿宋" w:eastAsia="仿宋" w:cs="仿宋"/>
          <w:b/>
          <w:bCs/>
          <w:color w:val="auto"/>
          <w:sz w:val="24"/>
          <w:szCs w:val="24"/>
          <w:highlight w:val="none"/>
          <w:lang w:val="en-US"/>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5440" behindDoc="0" locked="0" layoutInCell="1" allowOverlap="1">
                <wp:simplePos x="0" y="0"/>
                <wp:positionH relativeFrom="column">
                  <wp:posOffset>-22225</wp:posOffset>
                </wp:positionH>
                <wp:positionV relativeFrom="paragraph">
                  <wp:posOffset>48895</wp:posOffset>
                </wp:positionV>
                <wp:extent cx="914400" cy="492760"/>
                <wp:effectExtent l="0" t="0" r="0" b="0"/>
                <wp:wrapNone/>
                <wp:docPr id="451"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rPr>
                              <w:t>不可抗力</w:t>
                            </w:r>
                            <w:r>
                              <w:rPr>
                                <w:rFonts w:hint="eastAsia" w:ascii="楷体_GB2312" w:hAnsi="宋体" w:eastAsia="楷体_GB2312" w:cs="楷体_GB2312"/>
                                <w:b/>
                                <w:bCs/>
                                <w:color w:val="000000"/>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1.75pt;margin-top:3.85pt;height:38.8pt;width:72pt;z-index:251965440;mso-width-relative:page;mso-height-relative:page;" filled="f" stroked="f" coordsize="21600,21600" o:gfxdata="UEsDBAoAAAAAAIdO4kAAAAAAAAAAAAAAAAAEAAAAZHJzL1BLAwQUAAAACACHTuJAktSlkNQAAAAH&#10;AQAADwAAAGRycy9kb3ducmV2LnhtbE2OTU/DMBBE70j8B2uRuLXr0oaWkE0PIK4gyofEzY23SUS8&#10;jmK3Cf8e9wTH0YzevGI7uU6deAitF4LFXINiqbxtpSZ4f3uabUCFaMSazgsT/HCAbXl5UZjc+lFe&#10;+bSLtUoQCbkhaGLsc8RQNexMmPueJXUHPzgTUxxqtIMZE9x1eKP1LTrTSnpoTM8PDVffu6Mj+Hg+&#10;fH2u9Ev96LJ+9JNGcXdIdH210PegIk/xbwxn/aQOZXLa+6PYoDqC2TJLS4L1GtS5XumU9wSbbAlY&#10;Fvjfv/wFUEsDBBQAAAAIAIdO4kChVT3OGAIAABgEAAAOAAAAZHJzL2Uyb0RvYy54bWytU0tu2zAQ&#10;3RfoHQjua8mG8hMsB2mMFAXSD5D2ADRFWURFDjukLaUHaG/QVTfd91w+R4eU47rpJotuCJIzfPPe&#10;m+H8cjAd2yr0GmzFp5OcM2Ul1NquK/7xw82Lc858ELYWHVhV8Xvl+eXi+bN570o1gxa6WiEjEOvL&#10;3lW8DcGVWeZlq4zwE3DKUrABNCLQEddZjaIndNNlszw/zXrA2iFI5T3dLscg3yPiUwChabRUS5Ab&#10;o2wYUVF1IpAk32rn+SKxbRolw7um8SqwruKkNKSVitB+FddsMRflGoVrtdxTEE+h8EiTEdpS0QPU&#10;UgTBNqj/gTJaInhowkSCyUYhyRFSMc0feXPXCqeSFrLau4Pp/v/Byrfb98h0XfHiZMqZFYZavvv+&#10;bffj1+7nV3aeF9Gi3vmSMu8c5YbhJQw0OEmud7cgP3lm4boVdq2uEKFvlaiJ4jS+zI6ejjg+gqz6&#10;N1BTJbEJkICGBk30jxxhhE7tuT+0Rw2BSbq8mBZFThFJoeJidnaa2peJ8uGxQx9eKTAsbiqO1P0E&#10;Lra3PkQyonxIibUs3OiuSxPQ2b8uKDHeJPKR78g8DKthb8YK6nuSgTAOFH0n2rSAXzjraZgq7j9v&#10;BCrOuteWrEjMafrSoTg5m5EKPI6sjiPCSoKqeOBs3F6HcWI3DvW6pUqj+RauyL5GJ2nR55HVnjcN&#10;TFK8H+44kcfnlPXn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LUpZDUAAAABwEAAA8AAAAA&#10;AAAAAQAgAAAAIgAAAGRycy9kb3ducmV2LnhtbFBLAQIUABQAAAAIAIdO4kChVT3OGAIAABg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rPr>
                        <w:t>不可抗力</w:t>
                      </w:r>
                      <w:r>
                        <w:rPr>
                          <w:rFonts w:hint="eastAsia" w:ascii="楷体_GB2312" w:hAnsi="宋体" w:eastAsia="楷体_GB2312" w:cs="楷体_GB2312"/>
                          <w:b/>
                          <w:bCs/>
                          <w:color w:val="000000"/>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5</w:t>
      </w:r>
      <w:r>
        <w:rPr>
          <w:rFonts w:ascii="仿宋" w:hAnsi="仿宋" w:eastAsia="仿宋" w:cs="仿宋"/>
          <w:b/>
          <w:bCs/>
          <w:color w:val="auto"/>
          <w:sz w:val="24"/>
          <w:szCs w:val="24"/>
          <w:highlight w:val="none"/>
          <w:lang w:val="en-US"/>
        </w:rPr>
        <w:t xml:space="preserve">.2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315"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9pt;margin-top:0.6pt;height:38.8pt;width:72pt;z-index:251758592;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EAnZhgCAAAYBAAADgAAAGRycy9lMm9Eb2MueG1srVNLjhMx&#10;EN0jcQfLe9KdkPm10hkNEw1CGj7SwAEctztt0XaZspPucADmBqzYsOdcOQdldyaEYTMLNpbtKr96&#10;71V5dtmblm0Ueg225ONRzpmyEiptVyX/9PHmxTlnPghbiRasKvlWeX45f/5s1rlCTaCBtlLICMT6&#10;onMlb0JwRZZ52Sgj/AicshSsAY0IdMRVVqHoCN202STPT7MOsHIIUnlPt4shyPeI+BRAqGst1QLk&#10;2igbBlRUrQgkyTfaeT5PbOtayfC+rr0KrC05KQ1ppSK0X8Y1m89EsULhGi33FMRTKDzSZIS2VPQA&#10;tRBBsDXqf6CMlgge6jCSYLJBSHKEVIzzR97cNcKppIWs9u5guv9/sPLd5gMyXZX85fiEMysMtXz3&#10;/X7349fu5zd2nk+jRZ3zBWXeOcoN/SvoaXCSXO9uQX72zMJ1I+xKXSFC1yhREcVxfJkdPR1wfARZ&#10;dm+hokpiHSAB9TWa6B85wgid2rM9tEf1gUm6vBhPpzlFJIWmF5Oz09S+TBQPjx368FqBYXFTcqTu&#10;J3CxufUhkhHFQ0qsZeFGt22agNb+dUGJ8SaRj3wH5qFf9nszllBtSQbCMFD0nWjTAH7lrKNhKrn/&#10;shaoOGvfWLIiMafpS4fpydmEVOBxZHkcEVYSVMkDZ8P2OgwTu3aoVw1VGsy3cEX21TpJiz4PrPa8&#10;aWCS4v1wx4k8PqesPx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7S/t1QAAAAgBAAAPAAAA&#10;AAAAAAEAIAAAACIAAABkcnMvZG93bnJldi54bWxQSwECFAAUAAAACACHTuJA+EAnZh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天内，承包人应分别按照第43条、第80条规定索赔工期、费用。</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5</w:t>
      </w:r>
      <w:r>
        <w:rPr>
          <w:rFonts w:ascii="仿宋" w:hAnsi="仿宋" w:eastAsia="仿宋" w:cs="仿宋"/>
          <w:b/>
          <w:bCs/>
          <w:color w:val="auto"/>
          <w:sz w:val="24"/>
          <w:szCs w:val="24"/>
          <w:highlight w:val="none"/>
          <w:lang w:val="en-US"/>
        </w:rPr>
        <w:t xml:space="preserve">.3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314" name="文本框 805"/>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026" o:spt="202" type="#_x0000_t202" style="position:absolute;left:0pt;margin-left:-9pt;margin-top:1.75pt;height:54.6pt;width:72pt;z-index:251759616;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DWrqMzGAIAABgEAAAOAAAAZHJzL2Uyb0RvYy54bWytU81u&#10;EzEQviPxDpbvZDdpWtpVNlVpVIRUfqTCAzheb9Zi7TFjJ7vhAegbcOLCnefKczD2piGUSw9cLNsz&#10;/ub7vhnPLnvTso1Cr8GWfDzKOVNWQqXtquSfPt68OOfMB2Er0YJVJd8qzy/nz5/NOleoCTTQVgoZ&#10;gVhfdK7kTQiuyDIvG2WEH4FTloI1oBGBjrjKKhQdoZs2m+T5WdYBVg5BKu/pdjEE+R4RnwIIda2l&#10;WoBcG2XDgIqqFYEk+UY7z+eJbV0rGd7XtVeBtSUnpSGtVIT2y7hm85koVihco+WegngKhUeajNCW&#10;ih6gFiIItkb9D5TREsFDHUYSTDYISY6QinH+yJu7RjiVtJDV3h1M9/8PVr7bfECmq5KfjKecWWGo&#10;5bvv97sfv3Y/v7Hz/DRa1DlfUOado9zQv4KeBifJ9e4W5GfPLFw3wq7UFSJ0jRIVURzHl9nR0wHH&#10;R5Bl9xYqqiTWARJQX6OJ/pEjjNCpPdtDe1QfmKTLi/F0mlNEUujs4mQ6Se3LRPHw2KEPrxUYFjcl&#10;R+p+AhebWx8iGVE8pMRaFm5026YJaO1fF5QYbxL5yHdgHvplvzdjCdWWZCAMA0XfiTYN4FfOOhqm&#10;kvsva4GKs/aNJSsSc5q+dJieviTmDI8jy+OIsJKgSh44G7bXYZjYtUO9aqjSYL6FK7Kv1kla9Hlg&#10;tedNA5MU74c7TuTxOWX9+dD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hLrpXXAAAACQEAAA8A&#10;AAAAAAAAAQAgAAAAIgAAAGRycy9kb3ducmV2LnhtbFBLAQIUABQAAAAIAIdO4kDWrqMz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因不可抗力事项导致的费用，由合同双方当事人按照下列规定承担，并相应调整合同价格：</w:t>
      </w:r>
    </w:p>
    <w:p>
      <w:pPr>
        <w:pStyle w:val="22"/>
        <w:widowControl w:val="0"/>
        <w:numPr>
          <w:ilvl w:val="0"/>
          <w:numId w:val="5"/>
        </w:numPr>
        <w:adjustRightInd w:val="0"/>
        <w:snapToGrid w:val="0"/>
        <w:spacing w:line="360" w:lineRule="auto"/>
        <w:ind w:left="1850" w:leftChars="771" w:firstLine="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永久工程本身的损害、已运至施工场地的材料和工程设备的损害，以及因工程损害导致第三者人员伤亡和财产损失，由发包人承担；</w:t>
      </w:r>
    </w:p>
    <w:p>
      <w:pPr>
        <w:pStyle w:val="22"/>
        <w:widowControl w:val="0"/>
        <w:numPr>
          <w:ilvl w:val="0"/>
          <w:numId w:val="5"/>
        </w:numPr>
        <w:adjustRightInd w:val="0"/>
        <w:snapToGrid w:val="0"/>
        <w:spacing w:line="360" w:lineRule="auto"/>
        <w:ind w:left="1850" w:leftChars="771" w:firstLine="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承包人施工设备和用于合同工程的周转材料损坏以及停工损失，由承包人承担；发包人提供的施工设备损坏，由发包人承担；</w:t>
      </w:r>
    </w:p>
    <w:p>
      <w:pPr>
        <w:pStyle w:val="22"/>
        <w:widowControl w:val="0"/>
        <w:numPr>
          <w:ilvl w:val="0"/>
          <w:numId w:val="5"/>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施工场地内的人员伤亡和本款第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点以外财产损失及其相关费用，由合同双方当事人各自承担；</w:t>
      </w:r>
    </w:p>
    <w:p>
      <w:pPr>
        <w:pStyle w:val="22"/>
        <w:widowControl w:val="0"/>
        <w:numPr>
          <w:ilvl w:val="0"/>
          <w:numId w:val="5"/>
        </w:numPr>
        <w:adjustRightInd w:val="0"/>
        <w:snapToGrid w:val="0"/>
        <w:spacing w:line="360" w:lineRule="auto"/>
        <w:ind w:left="1850" w:leftChars="771" w:firstLine="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停工期间，承包人应监理工程师要求照管工程的费用，由发包人承担；</w:t>
      </w:r>
    </w:p>
    <w:p>
      <w:pPr>
        <w:pStyle w:val="22"/>
        <w:widowControl w:val="0"/>
        <w:numPr>
          <w:ilvl w:val="0"/>
          <w:numId w:val="5"/>
        </w:numPr>
        <w:adjustRightInd w:val="0"/>
        <w:snapToGrid w:val="0"/>
        <w:spacing w:line="360" w:lineRule="auto"/>
        <w:ind w:left="2328" w:leftChars="772" w:hanging="475" w:hangingChars="198"/>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工程所需的清理、修复费用，由发包人承担。</w:t>
      </w:r>
    </w:p>
    <w:p>
      <w:pPr>
        <w:spacing w:line="360" w:lineRule="auto"/>
        <w:rPr>
          <w:rFonts w:ascii="仿宋" w:hAnsi="仿宋" w:eastAsia="仿宋"/>
          <w:b/>
          <w:bCs/>
          <w:color w:val="auto"/>
          <w:highlight w:val="none"/>
          <w:lang w:eastAsia="zh-CN"/>
        </w:rPr>
      </w:pPr>
      <w:bookmarkStart w:id="277" w:name="_Toc18665"/>
      <w:r>
        <w:rPr>
          <w:color w:val="auto"/>
          <w:highlight w:val="none"/>
          <w:lang w:eastAsia="zh-CN" w:bidi="ar-SA"/>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13" name="文本框 806"/>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026" o:spt="202" type="#_x0000_t202" style="position:absolute;left:0pt;margin-left:-9pt;margin-top:19.5pt;height:44.35pt;width:72pt;z-index:25188761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3XrwUFwIAABgEAAAOAAAAZHJzL2Uyb0RvYy54bWytU8uO&#10;0zAU3SPxD5b3NOmTIWo6GqYahDQ8pIEPcB2nsUh8zbXbpHwA/AErNuz5rn4H106mlGEzCzaR7Xt9&#10;7jnHJ8vLrqnZXqHTYHI+HqWcKSOh0Gab848fbp5dcOa8MIWowaicH5Tjl6unT5atzdQEKqgLhYxA&#10;jMtam/PKe5sliZOVaoQbgVWGiiVgIzxtcZsUKFpCb+pkkqaLpAUsLIJUztHpui/yAREfAwhlqaVa&#10;g9w1yvgeFVUtPElylbaOryLbslTSvytLpzyrc05KffzSEFpvwjdZLUW2RWErLQcK4jEUHmhqhDY0&#10;9AS1Fl6wHep/oBotERyUfiShSXoh0RFSMU4feHNXCauiFrLa2ZPp7v/Byrf798h0kfPpeMqZEQ09&#10;+fH7t+OPX8efX9lFuggWtdZl1Hlnqdd3L6Gj4ES5zt6C/OSYgetKmK26QoS2UqIgiuNwMzm72uO4&#10;ALJp30BBk8TOQwTqSmyCf+QII3R6nsPpeVTnmaTDF+PZLKWKpNJ8MZ3M5nGCyO4vW3T+lYKGhUXO&#10;kV4/gov9rfOBjMjuW8IsAze6rmMCavPXATWGk0g+8O2Z+27TDWZsoDiQDIQ+UPQ70aIC/MJZS2HK&#10;ufu8E6g4q18bsiIyp/TFzWz+fEIq8LyyOa8IIwkq556zfnnt+8TuLOptRZN68w1ckX2ljtKCzz2r&#10;gTcFJioewh0Seb6PXX9+6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5whodcAAAAKAQAADwAA&#10;AAAAAAABACAAAAAiAAAAZHJzL2Rvd25yZXYueG1sUEsBAhQAFAAAAAgAh07iQPdevBQXAgAAGAQA&#10;AA4AAAAAAAAAAQAgAAAAJgEAAGRycy9lMm9Eb2MueG1sUEsFBgAAAAAGAAYAWQEAAK8FA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bookmarkEnd w:id="2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pPr>
        <w:spacing w:line="360" w:lineRule="auto"/>
        <w:rPr>
          <w:rFonts w:ascii="仿宋" w:hAnsi="仿宋" w:eastAsia="仿宋"/>
          <w:b/>
          <w:bCs/>
          <w:color w:val="auto"/>
          <w:highlight w:val="none"/>
          <w:lang w:eastAsia="zh-CN"/>
        </w:rPr>
      </w:pPr>
      <w:bookmarkStart w:id="278" w:name="_Toc30872"/>
      <w:r>
        <w:rPr>
          <w:color w:val="auto"/>
          <w:highlight w:val="none"/>
          <w:lang w:eastAsia="zh-CN" w:bidi="ar-SA"/>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312" name="文本框 807"/>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026" o:spt="202" type="#_x0000_t202" style="position:absolute;left:0pt;margin-left:-9pt;margin-top:19.5pt;height:44.35pt;width:72pt;z-index:25188864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YNP+hGQIAABgEAAAOAAAAZHJzL2Uyb0RvYy54bWytU0tu&#10;2zAQ3RfoHQjua8mOnaSC5SCNkaJA+gHSHoCmKIuoyGGHtKX0AM0Nuuqm+57L5+iQclw33WTRjUBy&#10;hm/ee3yaX/SmZVuFXoMt+XiUc6ashErbdck/fbx+cc6ZD8JWogWrSn6nPL9YPH8271yhJtBAWylk&#10;BGJ90bmSNyG4Isu8bJQRfgROWSrWgEYE2uI6q1B0hG7abJLnp1kHWDkEqbyn0+VQ5HtEfAog1LWW&#10;aglyY5QNAyqqVgSS5BvtPF8ktnWtZHhf114F1paclIb0pSG0XsVvtpiLYo3CNVruKYinUHikyQht&#10;aegBaimCYBvU/0AZLRE81GEkwWSDkOQIqRjnj7y5bYRTSQtZ7d3BdP//YOW77Qdkuir5yXjCmRWG&#10;nnz3/X7349fu5zd2np9FizrnC+q8ddQb+lfQU3CSXO9uQH72zMJVI+xaXSJC1yhREcVxvJkdXR1w&#10;fARZdW+hokliEyAB9TWa6B85wgidnufu8DyqD0zS4cvxdJpTRVJpdnoymc7SBFE8XHbow2sFhsVF&#10;yZFeP4GL7Y0PkYwoHlriLAvXum1TAlr71wE1xpNEPvIdmId+1e/NWEF1RzIQhkDR70SLBvArZx2F&#10;qeT+y0ag4qx9Y8mKxJzSlzbT2dmEVOBxZXVcEVYSVMkDZ8PyKgyJ3TjU64YmDeZbuCT7ap2kRZ8H&#10;VnveFJikeB/umMjjfer680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nCGh1wAAAAoBAAAP&#10;AAAAAAAAAAEAIAAAACIAAABkcnMvZG93bnJldi54bWxQSwECFAAUAAAACACHTuJAGDT/oRkCAAAY&#10;BAAADgAAAAAAAAABACAAAAAm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bookmarkEnd w:id="2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pPr>
        <w:spacing w:line="360" w:lineRule="auto"/>
        <w:rPr>
          <w:rFonts w:ascii="仿宋" w:hAnsi="仿宋" w:eastAsia="仿宋"/>
          <w:b/>
          <w:bCs/>
          <w:color w:val="auto"/>
          <w:highlight w:val="none"/>
          <w:lang w:eastAsia="zh-CN"/>
        </w:rPr>
      </w:pPr>
      <w:bookmarkStart w:id="279" w:name="_Toc8778"/>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bookmarkEnd w:id="2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34290</wp:posOffset>
                </wp:positionV>
                <wp:extent cx="914400" cy="563245"/>
                <wp:effectExtent l="0" t="0" r="0" b="0"/>
                <wp:wrapNone/>
                <wp:docPr id="311"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9pt;margin-top:2.7pt;height:44.35pt;width:72pt;z-index:251760640;mso-width-relative:page;mso-height-relative:page;" filled="f" stroked="f" coordsize="21600,21600" o:gfxdata="UEsDBAoAAAAAAIdO4kAAAAAAAAAAAAAAAAAEAAAAZHJzL1BLAwQUAAAACACHTuJA7uAGlNUAAAAI&#10;AQAADwAAAGRycy9kb3ducmV2LnhtbE2PwW7CMBBE75X4B2uRegM7KCBIs+FA1WurUkDqzcRLEhGv&#10;o9iQ9O9rTu1xNKOZN/l2tK24U+8bxwjJXIEgLp1puEI4fL3N1iB80Gx065gQfsjDtpg85TozbuBP&#10;uu9DJWIJ+0wj1CF0mZS+rMlqP3cdcfQurrc6RNlX0vR6iOW2lQulVtLqhuNCrTva1VRe9zeLcHy/&#10;fJ9S9VG92mU3uFFJthuJ+DxN1AuIQGP4C8MDP6JDEZnO7sbGixZhlqzjl4CwTEE8/MUq6jPCJk1A&#10;Frn8f6D4BVBLAwQUAAAACACHTuJAlPS1VhgCAAAYBAAADgAAAGRycy9lMm9Eb2MueG1srVNBjtMw&#10;FN0jcQfLe5qk0w4lajoaphqENMBIAwdwHaexSPzNt9ukHABuwIoN+zlXz8G30yll2MyCTWT7f7//&#10;3vPL/KJvG7ZV6DSYgmejlDNlJJTarAv+6eP1ixlnzgtTigaMKvhOOX6xeP5s3tlcjaGGplTICMS4&#10;vLMFr723eZI4WatWuBFYZahYAbbC0xbXSYmiI/S2ScZpep50gKVFkMo5Ol0ORX5AxKcAQlVpqZYg&#10;N60yfkBF1QhPklytreOLyLaqlPQfqsopz5qCk1IfvzSE1qvwTRZzka9R2FrLAwXxFAqPNLVCGxp6&#10;hFoKL9gG9T9QrZYIDio/ktAmg5DoCKnI0kfe3NXCqqiFrHb2aLr7f7Dy/fYWmS4LfpZlnBnR0pPv&#10;f3zf/7zf//rGZuksWNRZl1PnnaVe37+GnoIT5Tp7A/KzYwauamHW6hIRulqJkihm4WZycnXAcQFk&#10;1b2DkiaJjYcI1FfYBv/IEUbo9Dy74/Oo3jNJh6+yySSliqTS9PxsPJnGCSJ/uGzR+TcKWhYWBUd6&#10;/QgutjfOBzIif2gJswxc66aJCWjMXwfUGE4i+cB3YO77VX8wYwXljmQgDIGi34kWNeBXzjoKU8Hd&#10;l41AxVnz1pAVkTmlL24m05djUoGnldVpRRhJUAX3nA3LKz8kdmNRr2uaNJhv4JLsq3SUFnweWB14&#10;U2Ci4kO4QyJP97Hrz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4AaU1QAAAAgBAAAPAAAA&#10;AAAAAAEAIAAAACIAAABkcnMvZG93bnJldi54bWxQSwECFAAUAAAACACHTuJAlPS1Vh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rPr>
        <w:t>不可抗力事项发生后，合同双方当事人应采取措施尽量避免和减少由此发生的损失。因合同任何一方当事人没有采取有效措施而导致损失扩大的，则损失扩大部分由其自身承担。</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66464" behindDoc="0" locked="0" layoutInCell="1" allowOverlap="1">
                <wp:simplePos x="0" y="0"/>
                <wp:positionH relativeFrom="column">
                  <wp:posOffset>6985</wp:posOffset>
                </wp:positionH>
                <wp:positionV relativeFrom="paragraph">
                  <wp:posOffset>22860</wp:posOffset>
                </wp:positionV>
                <wp:extent cx="914400" cy="563245"/>
                <wp:effectExtent l="0" t="0" r="0" b="0"/>
                <wp:wrapNone/>
                <wp:docPr id="452"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0.55pt;margin-top:1.8pt;height:44.35pt;width:72pt;z-index:251966464;mso-width-relative:page;mso-height-relative:page;" filled="f" stroked="f" coordsize="21600,21600" o:gfxdata="UEsDBAoAAAAAAIdO4kAAAAAAAAAAAAAAAAAEAAAAZHJzL1BLAwQUAAAACACHTuJA4GTNGNIAAAAG&#10;AQAADwAAAGRycy9kb3ducmV2LnhtbE2OTU/DMBBE70j8B2uRuFE7/RINcXoAcQXRAhK3bbxNIuJ1&#10;FLtN+PdsT3B8mtHMK7aT79SZhtgGtpDNDCjiKriWawvv++e7e1AxITvsApOFH4qwLa+vCsxdGPmN&#10;zrtUKxnhmKOFJqU+1zpWDXmMs9ATS3YMg8ckONTaDTjKuO/03Ji19tiyPDTY02ND1ffu5C18vBy/&#10;PpfmtX7yq34Mk9HsN9ra25vMPIBKNKW/Mlz0RR1KcTqEE7uoOuFMihYWa1CXdLkSPljYzBegy0L/&#10;1y9/AVBLAwQUAAAACACHTuJA6bAvLxgCAAAYBAAADgAAAGRycy9lMm9Eb2MueG1srVPLjtMwFN0j&#10;8Q+W9zRpaYcSNR0NUw1CGh7SwAe4jtNYxL7m2m0yfADzB6zYsOe7+h1cO51Shs0s2ES27/W55xyf&#10;LM5707KdQq/Blnw8yjlTVkKl7abknz5ePZtz5oOwlWjBqpLfKs/Pl0+fLDpXqAk00FYKGYFYX3Su&#10;5E0IrsgyLxtlhB+BU5aKNaARgba4ySoUHaGbNpvk+VnWAVYOQSrv6XQ1FPkBER8DCHWtpVqB3Bpl&#10;w4CKqhWBJPlGO8+XiW1dKxne17VXgbUlJ6UhfWkIrdfxmy0XotigcI2WBwriMRQeaDJCWxp6hFqJ&#10;INgW9T9QRksED3UYSTDZICQ5QirG+QNvbhrhVNJCVnt3NN3/P1j5bvcBma5KPp1NOLPC0JPvv9/t&#10;f/za//zG5vk8WtQ5X1DnjaPe0L+CnoKT5Hp3DfKzZxYuG2E36gIRukaJiiiO483s5OqA4yPIunsL&#10;FU0S2wAJqK/RRP/IEUbo9Dy3x+dRfWCSDl+Op9OcKpJKs7Pnk+ksTRDF/WWHPrxWYFhclBzp9RO4&#10;2F37EMmI4r4lzrJwpds2JaC1fx1QYzxJ5CPfgXno1/3BjDVUtyQDYQgU/U60aAC/ctZRmEruv2wF&#10;Ks7aN5asSMwpfWkznb2YkAo8raxPK8JKgip54GxYXoYhsVuHetPQpMF8CxdkX62TtOjzwOrAmwKT&#10;FB/CHRN5uk9df37o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gZM0Y0gAAAAYBAAAPAAAAAAAA&#10;AAEAIAAAACIAAABkcnMvZG93bnJldi54bWxQSwECFAAUAAAACACHTuJA6bAvLxgCAAAYBAAADgAA&#10;AAAAAAABACAAAAAhAQAAZHJzL2Uyb0RvYy54bWxQSwUGAAAAAAYABgBZAQAAqw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不可抗力影响分包人</w:t>
                      </w:r>
                    </w:p>
                  </w:txbxContent>
                </v:textbox>
              </v:shape>
            </w:pict>
          </mc:Fallback>
        </mc:AlternateContent>
      </w:r>
      <w:r>
        <w:rPr>
          <w:rFonts w:hint="eastAsia" w:ascii="仿宋" w:hAnsi="仿宋" w:eastAsia="仿宋" w:cs="仿宋"/>
          <w:color w:val="auto"/>
          <w:sz w:val="24"/>
          <w:szCs w:val="24"/>
          <w:highlight w:val="none"/>
        </w:rPr>
        <w:t>分包人根据分包合同的约定，以更大范围的不可抗力而免除某些义务的，承包人不得以分包合同中不可抗力约定向发包人抗辩免除其义务。</w:t>
      </w:r>
    </w:p>
    <w:p>
      <w:pPr>
        <w:pStyle w:val="22"/>
        <w:adjustRightInd w:val="0"/>
        <w:snapToGrid w:val="0"/>
        <w:spacing w:line="360" w:lineRule="auto"/>
        <w:rPr>
          <w:rFonts w:ascii="仿宋" w:hAnsi="仿宋" w:eastAsia="仿宋" w:cs="仿宋"/>
          <w:color w:val="auto"/>
          <w:sz w:val="24"/>
          <w:szCs w:val="24"/>
          <w:highlight w:val="none"/>
          <w:u w:val="single"/>
        </w:rPr>
      </w:pPr>
      <w:r>
        <w:rPr>
          <w:rFonts w:ascii="仿宋" w:hAnsi="仿宋" w:eastAsia="仿宋" w:cs="仿宋"/>
          <w:b/>
          <w:bCs/>
          <w:color w:val="auto"/>
          <w:sz w:val="24"/>
          <w:szCs w:val="24"/>
          <w:highlight w:val="none"/>
          <w:u w:val="single"/>
        </w:rPr>
        <w:t xml:space="preserve">                                                                             </w:t>
      </w:r>
    </w:p>
    <w:p>
      <w:pPr>
        <w:rPr>
          <w:color w:val="auto"/>
          <w:highlight w:val="none"/>
          <w:lang w:eastAsia="zh-CN"/>
        </w:rPr>
      </w:pP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280" w:name="_Toc22655"/>
      <w:bookmarkStart w:id="281" w:name="_Toc47694308"/>
      <w:bookmarkStart w:id="282" w:name="_Toc12832"/>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6</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保险</w:t>
      </w:r>
      <w:bookmarkEnd w:id="280"/>
      <w:bookmarkEnd w:id="281"/>
      <w:bookmarkEnd w:id="282"/>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310" name="文本框 809"/>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w:pict>
              <v:shape id="文本框 809" o:spid="_x0000_s1026" o:spt="202" type="#_x0000_t202" style="position:absolute;left:0pt;margin-left:-9pt;margin-top:0.6pt;height:31.2pt;width:81pt;z-index:251761664;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Trn8JhoCAAAZBAAADgAAAGRycy9lMm9Eb2MueG1srVNLbtsw&#10;EN0X6B0I7mvJjpvYguUgjZGiQPoB0h6ApiiLqMRhh7Ql9wDNDbrqpvuey+fokFJcN91k0Q0x5Azf&#10;vPc4XFx2Tc12Cp0Gk/PxKOVMGQmFNpucf/p482LGmfPCFKIGo3K+V45fLp8/W7Q2UxOooC4UMgIx&#10;LmttzivvbZYkTlaqEW4EVhlKloCN8LTFTVKgaAm9qZNJmp4nLWBhEaRyjk5XfZIPiPgUQChLLdUK&#10;5LZRxveoqGrhSZKrtHV8GdmWpZL+fVk65Vmdc1Lq40pNKF6HNVkuRLZBYSstBwriKRQeaWqENtT0&#10;CLUSXrAt6n+gGi0RHJR+JKFJeiHREVIxTh95c1cJq6IWstrZo+nu/8HKd7sPyHSR87MxeWJEQ09+&#10;+H5/+PHr8PMbm6XzYFFrXUaVd5ZqffcKOhqcKNfZW5CfHTNwXQmzUVeI0FZKFERxHG4mJ1d7HBdA&#10;1u1bKKiT2HqIQF2JTfCPHGGETlT2x+dRnWcytEwns4uUUpJyZ/PzyTS+XyKyh9sWnX+toGEhyDnS&#10;80d0sbt1PrAR2UNJaGbgRtd1HIHa/HVAheEksg+Ee+q+W3eDG2so9qQDoZ8o+k8UVIBfOWtpmnLu&#10;vmwFKs7qN4a8mI+nRJb5uJm+vJjQBk8z69OMMJKgcu4568Nr34/s1qLeVNSpd9/AFflX6igtGN2z&#10;GnjTxETFw3SHkTzdx6o/P3r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jJ8EbVAAAACAEAAA8A&#10;AAAAAAAAAQAgAAAAIgAAAGRycy9kb3ducmV2LnhtbFBLAQIUABQAAAAIAIdO4kBOufwmGgIAABk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 w:hAnsi="仿宋" w:eastAsia="仿宋" w:cs="仿宋"/>
          <w:color w:val="auto"/>
          <w:sz w:val="24"/>
          <w:szCs w:val="24"/>
          <w:highlight w:val="none"/>
        </w:rPr>
        <w:t>发包人应按照下列规定办理保险，并支付保险费：</w:t>
      </w:r>
    </w:p>
    <w:p>
      <w:pPr>
        <w:pStyle w:val="22"/>
        <w:widowControl w:val="0"/>
        <w:numPr>
          <w:ilvl w:val="0"/>
          <w:numId w:val="6"/>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工程开工前，为合同工程办理建筑工程一切险、安装工程一切险；</w:t>
      </w:r>
    </w:p>
    <w:p>
      <w:pPr>
        <w:pStyle w:val="22"/>
        <w:widowControl w:val="0"/>
        <w:numPr>
          <w:ilvl w:val="0"/>
          <w:numId w:val="6"/>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工程开工前，为施工场地内的自有人员（包括设计顾问工程师、监理工程师、造价工程师在内）办理工伤保险、意外伤害保险；</w:t>
      </w:r>
    </w:p>
    <w:p>
      <w:pPr>
        <w:pStyle w:val="22"/>
        <w:widowControl w:val="0"/>
        <w:numPr>
          <w:ilvl w:val="0"/>
          <w:numId w:val="6"/>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为第三者办理第三者责任险；</w:t>
      </w:r>
    </w:p>
    <w:p>
      <w:pPr>
        <w:pStyle w:val="22"/>
        <w:widowControl w:val="0"/>
        <w:numPr>
          <w:ilvl w:val="0"/>
          <w:numId w:val="6"/>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为运至施工场地内用于永久工程的材料和待安装工程设备办理保险。</w:t>
      </w:r>
    </w:p>
    <w:p>
      <w:pPr>
        <w:pStyle w:val="22"/>
        <w:tabs>
          <w:tab w:val="left" w:pos="1080"/>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上述保险的保险期从办理保险之日起至工程竣工验收合格之日止。</w:t>
      </w:r>
    </w:p>
    <w:p>
      <w:pPr>
        <w:pStyle w:val="22"/>
        <w:widowControl w:val="0"/>
        <w:numPr>
          <w:ilvl w:val="0"/>
          <w:numId w:val="6"/>
        </w:numPr>
        <w:tabs>
          <w:tab w:val="left" w:pos="1980"/>
        </w:tabs>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pPr>
        <w:pStyle w:val="22"/>
        <w:tabs>
          <w:tab w:val="left" w:pos="1080"/>
        </w:tabs>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发包人可将其中部分事项委托给承包人办理，具体由合同双方当事人在专用条款中约定。除合同价格已包括外，由发包人承担所需保险费用，并向承包人支付合理利润。</w:t>
      </w:r>
    </w:p>
    <w:p>
      <w:pPr>
        <w:pStyle w:val="22"/>
        <w:tabs>
          <w:tab w:val="left" w:pos="132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 xml:space="preserve">.2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635</wp:posOffset>
                </wp:positionV>
                <wp:extent cx="963930" cy="478155"/>
                <wp:effectExtent l="0" t="0" r="0" b="0"/>
                <wp:wrapNone/>
                <wp:docPr id="309" name="文本框 810"/>
                <wp:cNvGraphicFramePr/>
                <a:graphic xmlns:a="http://schemas.openxmlformats.org/drawingml/2006/main">
                  <a:graphicData uri="http://schemas.microsoft.com/office/word/2010/wordprocessingShape">
                    <wps:wsp>
                      <wps:cNvSpPr txBox="1">
                        <a:spLocks noChangeArrowheads="1"/>
                      </wps:cNvSpPr>
                      <wps:spPr bwMode="auto">
                        <a:xfrm>
                          <a:off x="0" y="0"/>
                          <a:ext cx="963930" cy="4781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026" o:spt="202" type="#_x0000_t202" style="position:absolute;left:0pt;margin-left:-9pt;margin-top:0.05pt;height:37.65pt;width:75.9pt;z-index:251762688;mso-width-relative:page;mso-height-relative:page;" filled="f" stroked="f" coordsize="21600,21600" o:gfxdata="UEsDBAoAAAAAAIdO4kAAAAAAAAAAAAAAAAAEAAAAZHJzL1BLAwQUAAAACACHTuJAjWImItQAAAAH&#10;AQAADwAAAGRycy9kb3ducmV2LnhtbE2PQU/CQBCF7yb+h82YeIPdCgiWbjlovGpEIPE2dIe2oTvb&#10;dBda/73bkxwn3+S972WbwTbiSp2vHWtIpgoEceFMzaWG3ff7ZAXCB2SDjWPS8EseNvn9XYapcT1/&#10;0XUbShFD2KeooQqhTaX0RUUW/dS1xJGdXGcxxLMrpemwj+G2kU9KPUuLNceGClt6rag4by9Ww/7j&#10;9HOYq8/yzS7a3g1Ksn2RWj8+JGoNItAQ/p9h1I/qkEeno7uw8aLRMElWcUsYgRjxbBaXHDUsF3OQ&#10;eSZv/fM/UEsDBBQAAAAIAIdO4kAeAOdGGwIAABgEAAAOAAAAZHJzL2Uyb0RvYy54bWytU0tu2zAQ&#10;3RfoHQjua1n+JLZgOUhjpCiQfoC0B6ApyiIqcdghbSk9QHODrrrpvufyOTqkHMdNN1l0Q5Cc4Zv3&#10;3gwXF11Ts51Cp8HkPB0MOVNGQqHNJuefP12/mnHmvDCFqMGonN8pxy+WL18sWpupEVRQFwoZgRiX&#10;tTbnlfc2SxInK9UINwCrDAVLwEZ4OuImKVC0hN7UyWg4PEtawMIiSOUc3a76ID8g4nMAoSy1VCuQ&#10;20YZ36OiqoUnSa7S1vFlZFuWSvoPZemUZ3XOSamPKxWh/TqsyXIhsg0KW2l5oCCeQ+GJpkZoQ0WP&#10;UCvhBdui/geq0RLBQekHEpqkFxIdIRXp8Ik3t5WwKmohq509mu7+H6x8v/uITBc5Hw/nnBnRUMv3&#10;P+73P3/vf31nszRa1FqXUeatpVzfvYaOBifKdfYG5BfHDFxVwmzUJSK0lRIFUUyDucnJ09AUl7kA&#10;sm7fQUGVxNZDBOpKbIJ/5AgjdGrP3bE9qvNM0uX8bDwfU0RSaHI+S6fTWEFkD48tOv9GQcPCJudI&#10;3Y/gYnfjfCAjsoeUUMvAta7rOAG1+euCEsNNJB/49sx9t+4oO4hYQ3FHMhD6gaLvRJsK8BtnLQ1T&#10;zt3XrUDFWf3WkBXzdDIJ0xcPk+n5iA54GlmfRoSRBJVzz1m/vfL9xG4t6k1FlXrzDVySfaWO0h5Z&#10;HXjTwETFh+EOE3l6jlmPH3r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1iJiLUAAAABwEAAA8A&#10;AAAAAAAAAQAgAAAAIgAAAGRycy9kb3ducmV2LnhtbFBLAQIUABQAAAAIAIdO4kAeAOdGGwIAABg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rPr>
        <w:t>承包人应按照下列规定办理保险，并支付保险费：</w:t>
      </w:r>
    </w:p>
    <w:p>
      <w:pPr>
        <w:pStyle w:val="22"/>
        <w:widowControl w:val="0"/>
        <w:numPr>
          <w:ilvl w:val="0"/>
          <w:numId w:val="7"/>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工程开工前，为施工场地内自有人员（包括分包人在内）办理工伤保险、意外伤害保险；</w:t>
      </w:r>
    </w:p>
    <w:p>
      <w:pPr>
        <w:pStyle w:val="22"/>
        <w:widowControl w:val="0"/>
        <w:numPr>
          <w:ilvl w:val="0"/>
          <w:numId w:val="7"/>
        </w:numPr>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为施工场地内的自有施工设备、第</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6</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点以外采购进场的材料和工程设备等办理保险。</w:t>
      </w:r>
    </w:p>
    <w:p>
      <w:pPr>
        <w:pStyle w:val="22"/>
        <w:tabs>
          <w:tab w:val="left" w:pos="1080"/>
        </w:tabs>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上述保险的保险期从开工之日起至工程竣工验收合格之日止。</w:t>
      </w:r>
    </w:p>
    <w:p>
      <w:pPr>
        <w:pStyle w:val="22"/>
        <w:widowControl w:val="0"/>
        <w:numPr>
          <w:ilvl w:val="0"/>
          <w:numId w:val="7"/>
        </w:numPr>
        <w:adjustRightInd w:val="0"/>
        <w:snapToGrid w:val="0"/>
        <w:spacing w:line="360" w:lineRule="auto"/>
        <w:ind w:left="1850" w:leftChars="771" w:firstLine="0"/>
        <w:jc w:val="both"/>
        <w:rPr>
          <w:color w:val="auto"/>
          <w:sz w:val="24"/>
          <w:szCs w:val="24"/>
          <w:highlight w:val="none"/>
        </w:rPr>
      </w:pPr>
      <w:r>
        <w:rPr>
          <w:rFonts w:hint="eastAsia" w:ascii="仿宋" w:hAnsi="仿宋" w:eastAsia="仿宋" w:cs="仿宋"/>
          <w:color w:val="auto"/>
          <w:sz w:val="24"/>
          <w:szCs w:val="24"/>
          <w:highlight w:val="none"/>
        </w:rPr>
        <w:t>工程开工前，为合同工程办理建设工程勘察设计责任保险，保险期限由承包人与保险公司具体约定。</w:t>
      </w:r>
    </w:p>
    <w:p>
      <w:pPr>
        <w:pStyle w:val="22"/>
        <w:tabs>
          <w:tab w:val="left" w:pos="108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308" name="文本框 811"/>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026" o:spt="202" type="#_x0000_t202" style="position:absolute;left:0pt;margin-left:-9pt;margin-top:22.6pt;height:42.6pt;width:72pt;z-index:251889664;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MoCB/RYCAAAYBAAADgAAAGRycy9lMm9Eb2MueG1srVPN&#10;jtMwEL4j8Q6W7zRJ6cISNV0tWy1CWn6khQdwHSexiD1m7DQpDwBvwIkLd56rz8HE6ZayXPbAxbI9&#10;42++75vx8mIwLdsq9BpswbNZypmyEkpt64J//HD95JwzH4QtRQtWFXynPL9YPX607F2u5tBAWypk&#10;BGJ93ruCNyG4PEm8bJQRfgZOWQpWgEYEOmKdlCh6QjdtMk/TZ0kPWDoEqbyn2/UU5AdEfAggVJWW&#10;ag2yM8qGCRVVKwJJ8o12nq8i26pSMryrKq8CawtOSkNcqQjtN+OarJYir1G4RssDBfEQCvc0GaEt&#10;FT1CrUUQrEP9D5TREsFDFWYSTDIJiY6Qiiy9581tI5yKWshq746m+/8HK99u3yPTZcGfptR4Kwy1&#10;fP/92/7Hr/3Pr+w8y0aLeudzyrx1lBuGlzDQ4ES53t2A/OSZhatG2FpdIkLfKFESxfgyOXk64fgR&#10;ZNO/gZIqiS5ABBoqNKN/5AgjdGrP7tgeNQQm6fJFtlikFJEUOltk6Ty2LxH53WOHPrxSYNi4KThS&#10;9yO42N74QDIo9S5lrGXhWrdtnIDW/nVBieNNJD/ynZiHYTMczNhAuSMZCNNA0XeiTQP4hbOehqng&#10;/nMnUHHWvrZkRWRO0xcPi7PnxJzhaWRzGhFWElTBA2fT9ipME9s51HVDlSbzLVySfZWO0kafJ1YH&#10;3jQwUfFhuMeJPD3HrD8fe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yRneNgAAAAKAQAADwAA&#10;AAAAAAABACAAAAAiAAAAZHJzL2Rvd25yZXYueG1sUEsBAhQAFAAAAAgAh07iQDKAgf0WAgAAGAQA&#10;AA4AAAAAAAAAAQAgAAAAJw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 xml:space="preserve">.3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合同一方当事人应按照本合同要求向另一方当事人提供有效的投保保险单和保险凭证。</w:t>
      </w:r>
    </w:p>
    <w:p>
      <w:pPr>
        <w:pStyle w:val="22"/>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307" name="文本框 812"/>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w:pict>
              <v:shape id="文本框 812" o:spid="_x0000_s1026" o:spt="202" type="#_x0000_t202" style="position:absolute;left:0pt;margin-left:-9pt;margin-top:18.65pt;height:31.2pt;width:72pt;z-index:251890688;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AlLg8bGQIAABgEAAAOAAAAZHJzL2Uyb0RvYy54bWytU0tu&#10;2zAQ3RfoHQjua8mOm49gOUhjpCiQfoC0B6ApyiIqctghbck9QHODrrrpvufyOTqkHNdNN1l0Q5Cc&#10;4Zv33gxnl71p2Uah12BLPh7lnCkrodJ2VfJPH29enHPmg7CVaMGqkm+V55fz589mnSvUBBpoK4WM&#10;QKwvOlfyJgRXZJmXjTLCj8ApS8Ea0IhAR1xlFYqO0E2bTfL8NOsAK4cglfd0uxiCfI+ITwGEutZS&#10;LUCujbJhQEXVikCSfKOd5/PEtq6VDO/r2qvA2pKT0pBWKkL7ZVyz+UwUKxSu0XJPQTyFwiNNRmhL&#10;RQ9QCxEEW6P+B8poieChDiMJJhuEJEdIxTh/5M1dI5xKWshq7w6m+/8HK99tPiDTVclP8jPOrDDU&#10;8t33+92PX7uf39j5eBIt6pwvKPPOUW7oX0FPg5PkencL8rNnFq4bYVfqChG6RomKKI7jy+zo6YDj&#10;I8iyewsVVRLrAAmor9FE/8gRRujUnu2hPaoPTNLlxXg6zSkiKXRycTqZpvZlonh47NCH1woMi5uS&#10;I3U/gYvNrQ+RjCgeUmItCze6bdMEtPavC0qMN4l85DswD/2y35uxhGpLMhCGgaLvRJsG8CtnHQ1T&#10;yf2XtUDFWfvGkhWJOU1fOkxfnk1IBR5HlscRYSVBlTxwNmyvwzCxa4d61VClwXwLV2RfrZO06PPA&#10;as+bBiYp3g93nMjjc8r686H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KJDi1wAAAAkBAAAP&#10;AAAAAAAAAAEAIAAAACIAAABkcnMvZG93bnJldi54bWxQSwECFAAUAAAACACHTuJAJS4PGxkCAAAY&#10;BAAADgAAAAAAAAABACAAAAAmAQAAZHJzL2Uyb0RvYy54bWxQSwUGAAAAAAYABgBZAQAAs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 xml:space="preserve">.4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合同双方当事人应遵守本条规定办理有关保险事项。如果未按规定投保的，应按下列规定补偿：</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（1）由于负有投保义务的合同一方当事人未按合同约定办理保险，或未能使保险持续有效的，则另一方当事人可代为办理，所需费用由对方当事人承担；</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（2）由于负有投保义务的合同一方当事人未按合同约定办理某项保险，导致受益人未能得到保险人的赔偿，则该项保险金应由负有投保义务的一方当事人支付。</w:t>
      </w:r>
    </w:p>
    <w:p>
      <w:pPr>
        <w:pStyle w:val="22"/>
        <w:adjustRightInd w:val="0"/>
        <w:snapToGrid w:val="0"/>
        <w:spacing w:line="360" w:lineRule="auto"/>
        <w:rPr>
          <w:rFonts w:ascii="仿宋" w:hAnsi="仿宋" w:eastAsia="仿宋" w:cs="仿宋"/>
          <w:color w:val="auto"/>
          <w:sz w:val="24"/>
          <w:szCs w:val="24"/>
          <w:highlight w:val="none"/>
          <w:u w:val="dotted"/>
        </w:rPr>
      </w:pPr>
      <w:r>
        <w:rPr>
          <w:color w:val="auto"/>
          <w:highlight w:val="none"/>
          <w:lang w:val="en-US"/>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306" name="文本框 813"/>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026" o:spt="202" type="#_x0000_t202" style="position:absolute;left:0pt;margin-left:-9pt;margin-top:23pt;height:42.6pt;width:72pt;z-index:251891712;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CRz1qtGAIAABgEAAAOAAAAZHJzL2Uyb0RvYy54bWytU81u&#10;EzEQviPxDpbvZHfTtJRVNlVpVIRUfqTCAzheb9Zi7TFjJ7vlAeANOHHhznPlORh70xDKpQculu0Z&#10;f/N934znF4Pp2Fah12ArXkxyzpSVUGu7rvjHD9fPzjnzQdhadGBVxe+U5xeLp0/mvSvVFFroaoWM&#10;QKwve1fxNgRXZpmXrTLCT8ApS8EG0IhAR1xnNYqe0E2XTfP8LOsBa4cglfd0uxyDfI+IjwGEptFS&#10;LUFujLJhREXViUCSfKud54vEtmmUDO+axqvAuoqT0pBWKkL7VVyzxVyUaxSu1XJPQTyGwgNNRmhL&#10;RQ9QSxEE26D+B8poieChCRMJJhuFJEdIRZE/8Oa2FU4lLWS1dwfT/f+DlW+375HpuuIn+RlnVhhq&#10;+e77t92PX7ufX9l5cRIt6p0vKfPWUW4YXsJAg5PkencD8pNnFq5aYdfqEhH6VomaKBbxZXb0dMTx&#10;EWTVv4GaKolNgAQ0NGiif+QII3Rqz92hPWoITNLli2I2yykiKXQ6K/Jpal8myvvHDn14pcCwuKk4&#10;UvcTuNje+BDJiPI+JdaycK27Lk1AZ/+6oMR4k8hHviPzMKyGvRkrqO9IBsI4UPSdaNMCfuGsp2Gq&#10;uP+8Eag4615bsiIxp+lLh9npc2LO8DiyOo4IKwmq4oGzcXsVxondONTrliqN5lu4JPsanaRFn0dW&#10;e940MEnxfrjjRB6fU9afD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Y8pRfXAAAACgEAAA8A&#10;AAAAAAAAAQAgAAAAIgAAAGRycy9kb3ducmV2LnhtbFBLAQIUABQAAAAIAIdO4kCRz1qt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 xml:space="preserve">.5 </w:t>
      </w:r>
      <w:r>
        <w:rPr>
          <w:rFonts w:ascii="仿宋" w:hAnsi="仿宋" w:eastAsia="仿宋" w:cs="仿宋"/>
          <w:color w:val="auto"/>
          <w:sz w:val="24"/>
          <w:szCs w:val="24"/>
          <w:highlight w:val="none"/>
          <w:lang w:val="en-US"/>
        </w:rPr>
        <w:t xml:space="preserve"> </w:t>
      </w:r>
      <w:r>
        <w:rPr>
          <w:rFonts w:ascii="仿宋" w:hAnsi="仿宋" w:eastAsia="仿宋" w:cs="仿宋"/>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当合同工程发生保险事故时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被保险人应及时通知保险人，并提供有关资料。合同双方当事人有责任采取合理有效措施防止或减少损失，并应相互协助做好向保险人的报告和理赔工作。</w:t>
      </w:r>
    </w:p>
    <w:p>
      <w:pPr>
        <w:pStyle w:val="22"/>
        <w:tabs>
          <w:tab w:val="left" w:pos="1320"/>
          <w:tab w:val="left" w:pos="162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lang w:val="en-US"/>
        </w:rPr>
        <w:t>3</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 xml:space="preserve">.6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305" name="文本框 814"/>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026" o:spt="202" type="#_x0000_t202" style="position:absolute;left:0pt;margin-left:-9pt;margin-top:0pt;height:43.5pt;width:72pt;z-index:251763712;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VDljWFwIAABgEAAAOAAAAZHJzL2Uyb0RvYy54bWytU8FuEzEQ&#10;vSPxD5bvZDchgbLKpiqNipAKVCp8gOP1Zi3WHjN2shs+AP6AExfu/a58B2NvGkK59MDFsj3jN++9&#10;Gc/Pe9OyrUKvwZZ8PMo5U1ZCpe265J8+Xj0748wHYSvRglUl3ynPzxdPn8w7V6gJNNBWChmBWF90&#10;ruRNCK7IMi8bZYQfgVOWgjWgEYGOuM4qFB2hmzab5PmLrAOsHIJU3tPtcgjyAyI+BhDqWku1BLkx&#10;yoYBFVUrAknyjXaeLxLbulYyfKhrrwJrS05KQ1qpCO1Xcc0Wc1GsUbhGywMF8RgKDzQZoS0VPUIt&#10;RRBsg/ofKKMlgoc6jCSYbBCSHCEV4/yBN7eNcCppIau9O5ru/x+sfL+9Qaarkj/PZ5xZYajl+x/f&#10;9z/v9r++sbPxNFrUOV9Q5q2j3NC/hp4GJ8n17hrkZ88sXDbCrtUFInSNEhVRHMeX2cnTAcdHkFX3&#10;DiqqJDYBElBfo4n+kSOM0Kk9u2N7VB+YpMtX4+k0p4ik0Gw2mc5S+zJR3D926MMbBYbFTcmRup/A&#10;xfbah0hGFPcpsZaFK922aQJa+9cFJcabRD7yHZiHftUfzFhBtSMZCMNA0XeiTQP4lbOOhqnk/stG&#10;oOKsfWvJisScpi8dprOXE1KBp5HVaURYSVAlD5wN28swTOzGoV43VGkw38IF2VfrJC36PLA68KaB&#10;SYoPwx0n8vScsv586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0QCftQAAAAHAQAADwAAAAAA&#10;AAABACAAAAAiAAAAZHJzL2Rvd25yZXYueG1sUEsBAhQAFAAAAAgAh07iQJUOWNYXAgAAGAQAAA4A&#10;AAAAAAAAAQAgAAAAIwEAAGRycy9lMm9Eb2MueG1sUEsFBgAAAAAGAAYAWQEAAKw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rPr>
        <w:t>当合同工程的性质、规模或计划发生变更时，被保险人应及时通知保险人，并在合同履行期间按照本条规定保证足够的保险额，由此造成的费用由责任方承担。</w:t>
      </w:r>
    </w:p>
    <w:p>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val="en-US"/>
        </w:rPr>
      </w:pPr>
      <w:r>
        <w:rPr>
          <w:color w:val="auto"/>
          <w:highlight w:val="none"/>
          <w:lang w:val="en-US"/>
        </w:rPr>
        <mc:AlternateContent>
          <mc:Choice Requires="wps">
            <w:drawing>
              <wp:anchor distT="0" distB="0" distL="114300" distR="114300" simplePos="0" relativeHeight="251764736"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304" name="文本框 815"/>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026" o:spt="202" type="#_x0000_t202" style="position:absolute;left:0pt;margin-left:-5.25pt;margin-top:1.1pt;height:33.5pt;width:72pt;z-index:251764736;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HMz89xgCAAAYBAAADgAAAGRycy9lMm9Eb2MueG1srVPNjtMw&#10;EL4j8Q6W7zRpSWGJmq6WrRYhLT/SwgO4jtNYxB4zdpssDwBvwIkLd56rz8HY6ZayXPbAxbI942++&#10;75vx4nwwHdsp9BpsxaeTnDNlJdTabir+8cPVkzPOfBC2Fh1YVfFb5fn58vGjRe9KNYMWulohIxDr&#10;y95VvA3BlVnmZauM8BNwylKwATQi0BE3WY2iJ3TTZbM8f5b1gLVDkMp7ul2NQX5AxIcAQtNoqVYg&#10;t0bZMKKi6kQgSb7VzvNlYts0SoZ3TeNVYF3FSWlIKxWh/Tqu2XIhyg0K12p5oCAeQuGeJiO0paJH&#10;qJUIgm1R/wNltETw0ISJBJONQpIjpGKa3/PmphVOJS1ktXdH0/3/g5Vvd++R6briT/OCMysMtXz/&#10;/dv+x6/9z6/sbDqPFvXOl5R54yg3DC9hoMFJcr27BvnJMwuXrbAbdYEIfatETRSn8WV28nTE8RFk&#10;3b+BmiqJbYAENDRoon/kCCN0as/tsT1qCEzS5YtpUeQUkRQqZvNintqXifLusUMfXikwLG4qjtT9&#10;BC521z5EMqK8S4m1LFzprksT0Nm/Ligx3iTyke/IPAzr4WDGGupbkoEwDhR9J9q0gF8462mYKu4/&#10;bwUqzrrXlqxIzGn60qGYP5+RCjyNrE8jwkqCqnjgbNxehnFitw71pqVKo/kWLsi+Ridp0eeR1YE3&#10;DUxSfBjuOJGn55T150M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P1NR1QAAAAgBAAAPAAAA&#10;AAAAAAEAIAAAACIAAABkcnMvZG93bnJldi54bWxQSwECFAAUAAAACACHTuJAHMz89x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rPr>
        <w:t>从保险人处收到的因合同工程本身损失或损坏的保险金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应专项用于修复合同工程的损失或损坏，或作为对未能修复合同工程这些损失或损坏的补偿。</w:t>
      </w:r>
    </w:p>
    <w:p>
      <w:pPr>
        <w:spacing w:line="360" w:lineRule="auto"/>
        <w:rPr>
          <w:rFonts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303" name="文本框 816"/>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026" o:spt="202" type="#_x0000_t202" style="position:absolute;left:0pt;margin-left:-9pt;margin-top:17.9pt;height:32.05pt;width:72pt;z-index:25189273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PA6AvYYAgAAGAQAAA4AAABkcnMvZTJvRG9jLnhtbK1TS27b&#10;MBDdF+gdCO5ryZ98KlgO0hgpCqQfIO0BaIqyiIocdkhbSg/Q3KCrbrrvuXyODinHddNNFt0IJGf4&#10;5r3Hp/lFb1q2Veg12JKPRzlnykqotF2X/NPH6xfnnPkgbCVasKrkd8rzi8XzZ/POFWoCDbSVQkYg&#10;1hedK3kTgiuyzMtGGeFH4JSlYg1oRKAtrrMKRUfops0meX6adYCVQ5DKezpdDkW+R8SnAEJda6mW&#10;IDdG2TCgompFIEm+0c7zRWJb10qG93XtVWBtyUlpSF8aQutV/GaLuSjWKFyj5Z6CeAqFR5qM0JaG&#10;HqCWIgi2Qf0PlNESwUMdRhJMNghJjpCKcf7Im9tGOJW0kNXeHUz3/w9Wvtt+QKarkk/zKWdWGHry&#10;3ff73Y9fu5/f2Pn4NFrUOV9Q562j3tC/gp6Ck+R6dwPys2cWrhph1+oSEbpGiYoojuPN7OjqgOMj&#10;yKp7CxVNEpsACaiv0UT/yBFG6PQ8d4fnUX1gkg5fjmeznCqSSrP8LJ+epAmieLjs0IfXCgyLi5Ij&#10;vX4CF9sbHyIZUTy0xFkWrnXbpgS09q8DaowniXzkOzAP/arfm7GC6o5kIAyBot+JFg3gV846ClPJ&#10;/ZeNQMVZ+8aSFYk5pS9tZidnE1KBx5XVcUVYSVAlD5wNy6swJHbjUK8bmjSYb+GS7Kt1khZ9Hljt&#10;eVNgkuJ9uGMij/ep688P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dw8uNYAAAAJAQAADwAA&#10;AAAAAAABACAAAAAiAAAAZHJzL2Rvd25yZXYueG1sUEsBAhQAFAAAAAgAh07iQPA6AvYYAgAAGAQA&#10;AA4AAAAAAAAAAQAgAAAAJQEAAGRycy9lMm9Eb2MueG1sUEsFBgAAAAAGAAYAWQEAAK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具体投保内容、保险金、保险期限及相关责任等事项，合同双方当事人应在专用条款中约定。</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pPr>
        <w:spacing w:line="360" w:lineRule="auto"/>
        <w:jc w:val="center"/>
        <w:outlineLvl w:val="1"/>
        <w:rPr>
          <w:rFonts w:ascii="仿宋" w:hAnsi="仿宋" w:eastAsia="仿宋" w:cs="仿宋"/>
          <w:b/>
          <w:bCs/>
          <w:color w:val="auto"/>
          <w:highlight w:val="none"/>
          <w:lang w:eastAsia="zh-CN"/>
        </w:rPr>
      </w:pPr>
      <w:bookmarkStart w:id="283" w:name="_Toc14547"/>
      <w:bookmarkStart w:id="284" w:name="_Toc28591"/>
      <w:bookmarkStart w:id="285" w:name="_Toc47694309"/>
      <w:r>
        <w:rPr>
          <w:rFonts w:hint="eastAsia" w:ascii="仿宋" w:hAnsi="仿宋" w:eastAsia="仿宋" w:cs="仿宋"/>
          <w:b/>
          <w:bCs/>
          <w:color w:val="auto"/>
          <w:highlight w:val="none"/>
          <w:lang w:eastAsia="zh-CN"/>
        </w:rPr>
        <w:t>四、勘察、设计与BIM技术应用</w:t>
      </w:r>
      <w:bookmarkEnd w:id="283"/>
      <w:bookmarkEnd w:id="284"/>
      <w:bookmarkEnd w:id="285"/>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286" w:name="_Toc3812"/>
      <w:bookmarkStart w:id="287" w:name="_Toc15433"/>
      <w:bookmarkStart w:id="288" w:name="_Toc47694310"/>
      <w:r>
        <w:rPr>
          <w:rFonts w:hint="eastAsia" w:ascii="仿宋" w:hAnsi="仿宋" w:eastAsia="仿宋" w:cs="仿宋"/>
          <w:bCs w:val="0"/>
          <w:color w:val="auto"/>
          <w:sz w:val="24"/>
          <w:szCs w:val="24"/>
          <w:highlight w:val="none"/>
        </w:rPr>
        <w:t>37  工程勘察</w:t>
      </w:r>
      <w:bookmarkEnd w:id="286"/>
      <w:bookmarkEnd w:id="287"/>
      <w:bookmarkEnd w:id="288"/>
    </w:p>
    <w:p>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65088" behindDoc="0" locked="0" layoutInCell="1" allowOverlap="1">
                <wp:simplePos x="0" y="0"/>
                <wp:positionH relativeFrom="column">
                  <wp:posOffset>-9525</wp:posOffset>
                </wp:positionH>
                <wp:positionV relativeFrom="paragraph">
                  <wp:posOffset>53340</wp:posOffset>
                </wp:positionV>
                <wp:extent cx="914400" cy="694055"/>
                <wp:effectExtent l="0" t="0" r="0" b="0"/>
                <wp:wrapNone/>
                <wp:docPr id="30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694055"/>
                        </a:xfrm>
                        <a:prstGeom prst="rect">
                          <a:avLst/>
                        </a:prstGeom>
                        <a:noFill/>
                        <a:ln>
                          <a:noFill/>
                        </a:ln>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4.2pt;height:54.65pt;width:72pt;z-index:251865088;mso-width-relative:page;mso-height-relative:page;" filled="f" stroked="f" coordsize="21600,21600" o:gfxdata="UEsDBAoAAAAAAIdO4kAAAAAAAAAAAAAAAAAEAAAAZHJzL1BLAwQUAAAACACHTuJAHF+FH9YAAAAI&#10;AQAADwAAAGRycy9kb3ducmV2LnhtbE2PzW7CMBCE75V4B2sr9QZ2UCgQ4nCg6rVV+anUm4mXJGq8&#10;jmJD0rfvcmpvO5rR7Df5dnStuGEfGk8akpkCgVR621Cl4Xh4na5AhGjImtYTavjBANti8pCbzPqB&#10;PvC2j5XgEgqZ0VDH2GVShrJGZ8LMd0jsXXzvTGTZV9L2ZuBy18q5Us/SmYb4Q2063NVYfu+vTsPp&#10;7fL1mar36sUtusGPSpJbS62fHhO1ARFxjH9huOMzOhTMdPZXskG0GqbJgpMaVimIu53OWZ/5SJZL&#10;kEUu/w8ofgFQSwMEFAAAAAgAh07iQF6A/E0WAgAAFwQAAA4AAABkcnMvZTJvRG9jLnhtbK1Ty47T&#10;MBTdI/EPlvc0aWkHJmo6GqYahDQ8pIEPcB2nsUh8zbXbpHwA8wes2LDnu/odXNudUobNLNhEtu/1&#10;ueccn8wvhq5lW4VOgyn5eJRzpoyESpt1yT99vH72kjPnhalEC0aVfKccv1g8fTLvbaEm0EBbKWQE&#10;YlzR25I33tsiy5xsVCfcCKwyVKwBO+Fpi+usQtETetdmkzw/y3rAyiJI5RydLlORHxDxMYBQ11qq&#10;JchNp4xPqKha4UmSa7R1fBHZ1rWS/n1dO+VZW3JS6uOXhtB6Fb7ZYi6KNQrbaHmgIB5D4YGmTmhD&#10;Q49QS+EF26D+B6rTEsFB7UcSuiwJiY6QinH+wJvbRlgVtZDVzh5Nd/8PVr7bfkCmq5I/zyecGdHR&#10;k++/3+1//Nr//MbG4+BQb11BjbeWWv3wCgbKTVTr7A3Iz44ZuGqEWatLROgbJSpiGG9mJ1cTjgsg&#10;q/4tVDRIbDxEoKHGLthHhjBCp9fZHV9HDZ5JOjwfT6c5VSSVzs6n+WwWuGWiuL9s0fnXCjoWFiVH&#10;evwILrY3zqfW+5Ywy8C1btsYgNb8dUCY4SSSD3wTcz+shoMZK6h2JAMh5Yn+Jlo0gF856ylLJXdf&#10;NgIVZ+0bQ1ZE5hS+uJnOXkxIBZ5WVqcVYSRBldxzlpZXPgV2Y1GvG5qUzDdwSfbVOkoLPidWB96U&#10;l2jOIdshkKf72PXnf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xfhR/WAAAACAEAAA8AAAAA&#10;AAAAAQAgAAAAIgAAAGRycy9kb3ducmV2LnhtbFBLAQIUABQAAAAIAIdO4kBegPxNFgIAABcEAAAO&#10;AAAAAAAAAAEAIAAAACUBAABkcnMvZTJvRG9jLnhtbFBLBQYAAAAABgAGAFkBAACtBQ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63040" behindDoc="0" locked="0" layoutInCell="1" allowOverlap="1">
                <wp:simplePos x="0" y="0"/>
                <wp:positionH relativeFrom="column">
                  <wp:posOffset>-44450</wp:posOffset>
                </wp:positionH>
                <wp:positionV relativeFrom="paragraph">
                  <wp:posOffset>124460</wp:posOffset>
                </wp:positionV>
                <wp:extent cx="914400" cy="648970"/>
                <wp:effectExtent l="0" t="0" r="0" b="0"/>
                <wp:wrapNone/>
                <wp:docPr id="30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3.5pt;margin-top:9.8pt;height:51.1pt;width:72pt;z-index:251863040;mso-width-relative:page;mso-height-relative:page;" filled="f" stroked="f" coordsize="21600,21600" o:gfxdata="UEsDBAoAAAAAAIdO4kAAAAAAAAAAAAAAAAAEAAAAZHJzL1BLAwQUAAAACACHTuJAF/IA9dYAAAAJ&#10;AQAADwAAAGRycy9kb3ducmV2LnhtbE2PQW/CMAyF75P4D5GRdoOkbGPQNeWwadehsQ2JW2hMW61x&#10;qibQ7t/jnsbNfs96/l62GVwjLtiF2pOGZK5AIBXe1lRq+P56n61AhGjImsYTavjDAJt8cpeZ1Pqe&#10;PvGyi6XgEAqp0VDF2KZShqJCZ8Lct0jsnXznTOS1K6XtTM/hrpELpZbSmZr4Q2VafK2w+N2dnYaf&#10;j9Nh/6i25Zt7ans/KEluLbW+nybqBUTEIf4fw4jP6JAz09GfyQbRaJg9c5XI+noJYvQfRuHIwyJZ&#10;gcwzedsgvwJQSwMEFAAAAAgAh07iQGpU4lsWAgAAFwQAAA4AAABkcnMvZTJvRG9jLnhtbK1TzY7T&#10;MBC+I/EOlu80SSn7EzVdLVstQlpgpYUHcB2nsYg9Zuw2KQ8Ab8CJC/d9rj4HEydbynLZAxfL9oy/&#10;+b5vxvOLzjRsq9BrsAXPJilnykootV0X/NPH6xdnnPkgbCkasKrgO+X5xeL5s3nrcjWFGppSISMQ&#10;6/PWFbwOweVJ4mWtjPATcMpSsAI0ItAR10mJoiV00yTTND1JWsDSIUjlPd0uhyAfEfEpgFBVWqol&#10;yI1RNgyoqBoRSJKvtfN8EdlWlZLhQ1V5FVhTcFIa4kpFaL/q12QxF/kahau1HCmIp1B4pMkIbano&#10;AWopgmAb1P9AGS0RPFRhIsEkg5DoCKnI0kfe3NXCqaiFrPbuYLr/f7Dy/fYWmS4L/jLNOLPCUMv3&#10;P77vf97vf31jWdY71DqfU+Kdo9TQvYaO5iaq9e4G5GfPLFzVwq7VJSK0tRIlMYwvk6OnA47vQVbt&#10;OyipkNgEiEBdhaa3jwxhhE7d2R26o7rAJF2eZ7NZShFJoZPZ2flp7F4i8ofHDn14o8CwflNwpOZH&#10;cLG98YFkUOpDSl/LwrVumjgAjf3rghL7m0i+5zswD92qG81YQbkjGQjDPNFvok0N+JWzlmap4P7L&#10;RqDirHlryYrInIYvHmavTqekAo8jq+OIsJKgCh44G7ZXYRjYjUO9rqnSYL6FS7Kv0lFa7/PAauRN&#10;8xIVj7PdD+TxOWb9+c+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fyAPXWAAAACQEAAA8AAAAA&#10;AAAAAQAgAAAAIgAAAGRycy9kb3ducmV2LnhtbFBLAQIUABQAAAAIAIdO4kBqVOJbFgIAABcEAAAO&#10;AAAAAAAAAAEAIAAAACUBAABkcnMvZTJvRG9jLnhtbFBLBQYAAAAABgAGAFkBAACtBQ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 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14天内予以确定或提出修改意见，逾期不确认也不提出书面意见的，视为同意。</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37.2.2 勘察实施方案应包括项目基本情况、人员安排、工作进度、技术方法、工作量、质量保证体系以及需要发包人配合事项等，并制定环境保护的具体措施，在勘察期间合理保护作业现场环境。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37.2.3 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 14 天内予以确定或提出修改意见，逾期不确认也不提出书面意见的，视为无异议。</w:t>
      </w:r>
    </w:p>
    <w:p>
      <w:pPr>
        <w:tabs>
          <w:tab w:val="left" w:pos="1320"/>
        </w:tabs>
        <w:spacing w:line="360" w:lineRule="auto"/>
        <w:rPr>
          <w:rFonts w:ascii="仿宋" w:hAnsi="仿宋" w:eastAsia="仿宋" w:cs="仿宋"/>
          <w:b/>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310515</wp:posOffset>
                </wp:positionV>
                <wp:extent cx="857250" cy="390525"/>
                <wp:effectExtent l="0" t="0" r="0" b="0"/>
                <wp:wrapNone/>
                <wp:docPr id="30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24.45pt;height:30.75pt;width:67.5pt;z-index:251893760;mso-width-relative:page;mso-height-relative:page;" filled="f" stroked="f" coordsize="21600,21600" o:gfxdata="UEsDBAoAAAAAAIdO4kAAAAAAAAAAAAAAAAAEAAAAZHJzL1BLAwQUAAAACACHTuJA67GbXNYAAAAK&#10;AQAADwAAAGRycy9kb3ducmV2LnhtbE2PQU/DMAyF70j8h8hIu21JUWFdqbsDaFcQ20DiljVeW9E4&#10;VZOt5d+TnuBm+z09f6/YTrYTVxp86xghWSkQxJUzLdcIx8NumYHwQbPRnWNC+CEP2/L2ptC5cSO/&#10;03UfahFD2OcaoQmhz6X0VUNW+5XriaN2doPVIa5DLc2gxxhuO3mv1KO0uuX4odE9PTdUfe8vFuHj&#10;9fz1maq3+sU+9KOblGS7kYiLu0Q9gQg0hT8zzPgRHcrIdHIXNl50CMski10CQpptQMyGZB0Pp3lQ&#10;KciykP8rlL9QSwMEFAAAAAgAh07iQHG9KNcWAgAAFwQAAA4AAABkcnMvZTJvRG9jLnhtbK1TzW4T&#10;MRC+I/EOlu9kN2kC7SqbqjQqQio/UuEBHK83a7H2mLGT3fAA8AacuHDnufIczNppCOXSAxfLnhl/&#10;832fx/PL3rRsq9BrsCUfj3LOlJVQabsu+ccPN8/OOfNB2Eq0YFXJd8rzy8XTJ/POFWoCDbSVQkYg&#10;1hedK3kTgiuyzMtGGeFH4JSlZA1oRKAjrrMKRUfops0mef486wArhyCV9xRdpiQ/IOJjAKGutVRL&#10;kBujbEioqFoRSJJvtPN8EdnWtZLhXV17FVhbclIa4kpNaL8a1mwxF8UahWu0PFAQj6HwQJMR2lLT&#10;I9RSBME2qP+BMloieKjDSILJkpDoCKkY5w+8uWuEU1ELWe3d0XT//2Dl2+17ZLoq+VlOnlhh6Mn3&#10;37/tf/za//zKxuPBoc75ggrvHJWG/iX0NDdRrXe3ID95ZuG6EXatrhCha5SoiGG8mZ1cTTh+AFl1&#10;b6CiRmITIAL1NZrBPjKEETox2R1fR/WBSQqez15MZpSRlDq7yGeT2cAtE8X9ZYc+vFJg2LApOdLj&#10;R3CxvfUhld6XDL0s3Oi2jQPQ2r8ChDlEIvmBb2Ie+lV/MGMF1Y5kIKR5ot9EmwbwC2cdzVLJ/eeN&#10;QMVZ+9qSFRfj6ZSIh3iYkgw64GlmdZoRVhJUyQNnaXsd0sBuHOp1Q52S+RauyL5aR2mDz4nVgTfN&#10;SzTnMNvDQJ6eY9Wf/7z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uxm1zWAAAACgEAAA8AAAAA&#10;AAAAAQAgAAAAIgAAAGRycy9kb3ducmV2LnhtbFBLAQIUABQAAAAIAIdO4kBxvSjXFgIAABcEAAAO&#10;AAAAAAAAAAEAIAAAACUBAABkcnMvZTJvRG9jLnhtbFBLBQYAAAAABgAGAFkBAACt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37.3.1承包人应根据发包人审查批准或备案的勘察实施方案及应急预案、发包人及要求、设计顾问人指示并依据有关技术标准进行工程勘察工作。</w:t>
      </w:r>
    </w:p>
    <w:p>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37.3.2 承包人应核查并在勘察报告及后续设计文件中明示工程项目工程场地范围内城市轨道交通隧道、给水管道、燃气管道等分布情况。</w:t>
      </w:r>
    </w:p>
    <w:p>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pPr>
        <w:spacing w:line="360" w:lineRule="auto"/>
        <w:ind w:left="1687" w:hanging="1687" w:hangingChars="700"/>
        <w:rPr>
          <w:rFonts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58272" behindDoc="0" locked="0" layoutInCell="1" allowOverlap="1">
                <wp:simplePos x="0" y="0"/>
                <wp:positionH relativeFrom="column">
                  <wp:posOffset>-9525</wp:posOffset>
                </wp:positionH>
                <wp:positionV relativeFrom="paragraph">
                  <wp:posOffset>257175</wp:posOffset>
                </wp:positionV>
                <wp:extent cx="857250" cy="390525"/>
                <wp:effectExtent l="0" t="0" r="0" b="0"/>
                <wp:wrapNone/>
                <wp:docPr id="29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20.25pt;height:30.75pt;width:67.5pt;z-index:251958272;mso-width-relative:page;mso-height-relative:page;" filled="f" stroked="f" coordsize="21600,21600" o:gfxdata="UEsDBAoAAAAAAIdO4kAAAAAAAAAAAAAAAAAEAAAAZHJzL1BLAwQUAAAACACHTuJAUQ8Ns9UAAAAJ&#10;AQAADwAAAGRycy9kb3ducmV2LnhtbE2PS0/DMBCE70j8B2uRuLXr9IEgxOkBxLWI8pC4ufE2iYjX&#10;Uew26b9ne4LTzmpGs98Wm8l36kRDbAMbyOYaFHEVXMu1gY/3l9k9qJgsO9sFJgNnirApr68Km7sw&#10;8huddqlWUsIxtwaalPocMVYNeRvnoScW7xAGb5OsQ41usKOU+w4XWt+hty3Lhcb29NRQ9bM7egOf&#10;28P310q/1s9+3Y9h0sj+AY25vcn0I6hEU/oLwwVf0KEUpn04souqMzDL1pI0sNIyL/5yKWIvQi80&#10;YFng/w/KX1BLAwQUAAAACACHTuJAHfkv9RYCAAAXBAAADgAAAGRycy9lMm9Eb2MueG1srVNBbhMx&#10;FN0jcQfLezJJSKAZZVKVRkVIhSIVDuB4PBmLGX/z7WQmHIDegBUb9j1XzsG3nYZQNl2wGdn+3++/&#10;9/xmft63DdsqdBpMwUeDIWfKSCi1WRf886erF2ecOS9MKRowquA75fj54vmzeWdzNYYamlIhIxDj&#10;8s4WvPbe5lnmZK1a4QZglaFiBdgKT1tcZyWKjtDbJhsPh6+yDrC0CFI5R6fLVOQHRHwKIFSVlmoJ&#10;ctMq4xMqqkZ4kuRqbR1fRLZVpaS/qSqnPGsKTkp9/NIQWq/CN1vMRb5GYWstDxTEUyg80tQKbWjo&#10;EWopvGAb1P9AtVoiOKj8QEKbJSHREVIxGj7y5rYWVkUtZLWzR9Pd/4OVH7Yfkemy4OPZjDMjWnry&#10;/Y+7/c/7/a/vbDQKDnXW5dR4a6nV92+gp9xEtc5eg/zimIHLWpi1ukCErlaiJIbxZnZyNeG4ALLq&#10;3kNJg8TGQwTqK2yDfWQII3R6nd3xdVTvmaTDs+nr8ZQqkkovZ8PpeBq4ZSJ/uGzR+bcKWhYWBUd6&#10;/AguttfOp9aHljDLwJVumhiAxvx1QJjhJJIPfBNz36/6gxkrKHckAyHlif4mWtSA3zjrKEsFd183&#10;AhVnzTtDVsxGk0kIX9xMSAZt8LSyOq0IIwmq4J6ztLz0KbAbi3pd06RkvoELsq/SUVrwObE68Ka8&#10;RHMO2Q6BPN3Hrj//8+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Q8Ns9UAAAAJAQAADwAAAAAA&#10;AAABACAAAAAiAAAAZHJzL2Rvd25yZXYueG1sUEsBAhQAFAAAAAgAh07iQB35L/UWAgAAFwQAAA4A&#10;AAAAAAAAAQAgAAAAJAEAAGRycy9lMm9Eb2MueG1sUEsFBgAAAAAGAAYAWQEAAKw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37.4.1 承包人向发包人提交合格的勘察报告的方式、数量和时间，由双方在专用条款中约定。发包人要求增加的勘察报告，费用由发包人承担；承包人内部使用的勘察报告，其费用由承包人自己承担。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37.4.2 承包人完成勘察工作并提交勘察报告后，发包人应及时组织设计顾问人、监理人和承包人进行验收。发包人应及时签收勘察报告、确认勘察工作完成时间，并按专用条款约定计付工程勘察费。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37.4.3 政府部门审查或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37.4.3.1 承包人的勘察报告需政府有关部门或施工图审查机构审查或批准的，发包人应在审查同意后 7天内，向政府有关部门或施工图审查机构报送勘察报告，承包人应予以协助。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37.4.3.2 发包人应向承包人提供政府有关部门或施工图审查机构的批准文件和审查会议纪要。承包人应按照相关审查批准文件和纪要对勘察报告进行补充、修改和完善。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37.4.3.3 经政府有关部门或施工图审查机构审查，需要修改发包人要求的，发包人应重新提出发包人要求，通知承包人相应修改设计文件，并重新送审，承包人可根据第 63 条约定提出变更申请，由发包人承担增加的工程费或工程勘察费。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37.4.4 因承包人原因造成勘察报告存在遗漏、错误和不足的，承包人应补充、修正和完善，由此产生的费用由承包人承担。因此对后续设计、采购、施工等造成的工期延误及费用增加由承包人承担。</w:t>
      </w:r>
    </w:p>
    <w:p>
      <w:pPr>
        <w:spacing w:line="360" w:lineRule="auto"/>
        <w:ind w:left="1687" w:hanging="1687" w:hangingChars="700"/>
        <w:rPr>
          <w:rFonts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894784" behindDoc="0" locked="0" layoutInCell="1" allowOverlap="1">
                <wp:simplePos x="0" y="0"/>
                <wp:positionH relativeFrom="column">
                  <wp:posOffset>-9525</wp:posOffset>
                </wp:positionH>
                <wp:positionV relativeFrom="paragraph">
                  <wp:posOffset>272415</wp:posOffset>
                </wp:positionV>
                <wp:extent cx="857250" cy="390525"/>
                <wp:effectExtent l="0" t="0" r="0" b="0"/>
                <wp:wrapNone/>
                <wp:docPr id="29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配合设计与施工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21.45pt;height:30.75pt;width:67.5pt;z-index:251894784;mso-width-relative:page;mso-height-relative:page;" filled="f" stroked="f" coordsize="21600,21600" o:gfxdata="UEsDBAoAAAAAAIdO4kAAAAAAAAAAAAAAAAAEAAAAZHJzL1BLAwQUAAAACACHTuJAIpnTrNYAAAAJ&#10;AQAADwAAAGRycy9kb3ducmV2LnhtbE2PQW/CMAyF75P2HyJP4gZJoSDomnLYxHXTgE3iFhrTVmuc&#10;qgm0+/czp+1m+z09fy/fjq4VN+xD40lDMlMgkEpvG6o0HA+76RpEiIasaT2hhh8MsC0eH3KTWT/Q&#10;B972sRIcQiEzGuoYu0zKUNboTJj5Dom1i++dibz2lbS9GTjctXKu1Eo60xB/qE2HLzWW3/ur0/D5&#10;djl9peq9enXLbvCjkuQ2UuvJU6KeQUQc458Z7viMDgUznf2VbBCthmmyZKeGdL4BcdcXCz6ceVBp&#10;CrLI5f8GxS9QSwMEFAAAAAgAh07iQLy9ozIWAgAAFwQAAA4AAABkcnMvZTJvRG9jLnhtbK1TwW4T&#10;MRC9I/EPlu9kk5BAs8qmKo2KkApFKnyA4/VmLXY9ZuxkN3wA/QNOXLj3u/IdjO00hHLpgYtle8Zv&#10;3nsznp/3bcO2Cp0GU/DRYMiZMhJKbdYF//zp6sUZZ84LU4oGjCr4Tjl+vnj+bN7ZXI2hhqZUyAjE&#10;uLyzBa+9t3mWOVmrVrgBWGUoWAG2wtMR11mJoiP0tsnGw+GrrAMsLYJUztHtMgX5ARGfAghVpaVa&#10;gty0yviEiqoRniS5WlvHF5FtVSnpb6rKKc+agpNSH1cqQvtVWLPFXORrFLbW8kBBPIXCI02t0IaK&#10;HqGWwgu2Qf0PVKslgoPKDyS0WRISHSEVo+Ejb25rYVXUQlY7ezTd/T9Y+WH7EZkuCz6eUeONaKnl&#10;+x93+5/3+1/f2WgUHOqsyynx1lKq799AT3MT1Tp7DfKLYwYua2HW6gIRulqJkhjGl9nJ04TjAsiq&#10;ew8lFRIbDxGor7AN9pEhjNCpO7tjd1TvmaTLs+nr8ZQikkIvZ8PpeBq4ZSJ/eGzR+bcKWhY2BUdq&#10;fgQX22vnU+pDSqhl4Eo3TRyAxvx1QZjhJpIPfBNz36/6gxkrKHckAyHNE/0m2tSA3zjraJYK7r5u&#10;BCrOmneGrJiNJpMwfPEwIRl0wNPI6jQijCSognvO0vbSp4HdWNTrmiol8w1ckH2VjtKCz4nVgTfN&#10;SzTnMNthIE/PMevPf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KZ06zWAAAACQEAAA8AAAAA&#10;AAAAAQAgAAAAIgAAAGRycy9kb3ducmV2LnhtbFBLAQIUABQAAAAIAIdO4kC8vaMyFgIAABcEAAAO&#10;AAAAAAAAAAEAIAAAACUBAABkcnMvZTJvRG9jLnhtbFBLBQYAAAAABgAGAFkBAACtBQ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配合设计与施工</w:t>
                      </w:r>
                    </w:p>
                  </w:txbxContent>
                </v:textbox>
              </v:shape>
            </w:pict>
          </mc:Fallback>
        </mc:AlternateContent>
      </w:r>
      <w:r>
        <w:rPr>
          <w:rFonts w:hint="eastAsia" w:ascii="仿宋" w:hAnsi="仿宋" w:eastAsia="仿宋" w:cs="仿宋"/>
          <w:b/>
          <w:bCs/>
          <w:color w:val="auto"/>
          <w:highlight w:val="none"/>
          <w:lang w:eastAsia="zh-CN"/>
        </w:rPr>
        <w:t>37.5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承包人完成勘察阶段的工作并提交勘察报告后，应配合设计人员及施工人员开展相关工作，解释相关数据，并根据后续设计及施工需要补充勘察或修正勘察成果，因此增加的费用由承包人自行承担。</w:t>
      </w:r>
    </w:p>
    <w:p>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289" w:name="_Toc16420"/>
      <w:bookmarkStart w:id="290" w:name="_Toc871"/>
      <w:bookmarkStart w:id="291" w:name="_Toc47694311"/>
      <w:r>
        <w:rPr>
          <w:rFonts w:hint="eastAsia" w:ascii="仿宋" w:hAnsi="仿宋" w:eastAsia="仿宋" w:cs="仿宋"/>
          <w:bCs w:val="0"/>
          <w:color w:val="auto"/>
          <w:sz w:val="24"/>
          <w:szCs w:val="24"/>
          <w:highlight w:val="none"/>
        </w:rPr>
        <w:t>38  工程设计</w:t>
      </w:r>
      <w:bookmarkEnd w:id="289"/>
      <w:bookmarkEnd w:id="290"/>
      <w:bookmarkEnd w:id="291"/>
    </w:p>
    <w:p>
      <w:pPr>
        <w:tabs>
          <w:tab w:val="left" w:pos="4970"/>
        </w:tabs>
        <w:spacing w:line="360" w:lineRule="auto"/>
        <w:rPr>
          <w:rFonts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1895808" behindDoc="0" locked="0" layoutInCell="1" allowOverlap="1">
                <wp:simplePos x="0" y="0"/>
                <wp:positionH relativeFrom="column">
                  <wp:posOffset>-121920</wp:posOffset>
                </wp:positionH>
                <wp:positionV relativeFrom="paragraph">
                  <wp:posOffset>281305</wp:posOffset>
                </wp:positionV>
                <wp:extent cx="914400" cy="648970"/>
                <wp:effectExtent l="0" t="0" r="0" b="0"/>
                <wp:wrapNone/>
                <wp:docPr id="29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51.1pt;width:72pt;z-index:251895808;mso-width-relative:page;mso-height-relative:page;" filled="f" stroked="f" coordsize="21600,21600" o:gfxdata="UEsDBAoAAAAAAIdO4kAAAAAAAAAAAAAAAAAEAAAAZHJzL1BLAwQUAAAACACHTuJAScINZ9cAAAAK&#10;AQAADwAAAGRycy9kb3ducmV2LnhtbE2PwU7DMAyG70i8Q2QkblvSkk2sNN0BxBXEBkjcssZrKxqn&#10;arK1vD3eCW62/On395fb2ffijGPsAhnIlgoEUh1cR42B9/3z4h5ETJac7QOhgR+MsK2ur0pbuDDR&#10;G553qREcQrGwBtqUhkLKWLfobVyGAYlvxzB6m3gdG+lGO3G472Wu1Fp62xF/aO2Ajy3W37uTN/Dx&#10;cvz61Oq1efKrYQqzkuQ30pjbm0w9gEg4pz8YLvqsDhU7HcKJXBS9gUW2yRk1oPUdiAuQa+5y4EGv&#10;VyCrUv6vUP0CUEsDBBQAAAAIAIdO4kDv/wTIFgIAABcEAAAOAAAAZHJzL2Uyb0RvYy54bWytU8Fu&#10;EzEQvSPxD5bvZJMoNM0qm6o0KkIqUKnwAV6vd9di7TFjJ7vhA+APeuLCne/Kd3TWm4ZQLj1wsWzP&#10;+M17b8bLi840bKvQa7AZn4zGnCkrodC2yvjnT9evzjnzQdhCNGBVxnfK84vVyxfL1qVqCjU0hUJG&#10;INanrct4HYJLk8TLWhnhR+CUpWAJaESgI1ZJgaIldNMk0/H4LGkBC4cglfd0ux6C/ICIzwGEstRS&#10;rUFujLJhQEXViECSfK2d56vItiyVDB/L0qvAmoyT0hBXKkL7vF+T1VKkFQpXa3mgIJ5D4YkmI7Sl&#10;okeotQiCbVD/A2W0RPBQhpEEkwxCoiOkYjJ+4s1dLZyKWshq746m+/8HKz9sb5HpIuPTxZwzKwy1&#10;fH//Y//z9/7XdzaZ9A61zqeUeOcoNXRvoKO5iWq9uwH5xTMLV7WwlbpEhLZWoiCG8WVy8nTA8T1I&#10;3r6HggqJTYAI1JVoevvIEEbo1J3dsTuqC0zS5WIym40pIil0NjtfzGP3EpE+Pnbow1sFhvWbjCM1&#10;P4KL7Y0PJINSH1P6WhauddPEAWjsXxeU2N9E8j3fgXno8u5gRg7FjmQgDPNEv4k2NeA3zlqapYz7&#10;rxuBirPmnSUrInMavniYvZ5PSQWeRvLTiLCSoDIeOBu2V2EY2I1DXdVUaTDfwiXZV+oorfd5YHXg&#10;TfMSFR9mux/I03PM+vOf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wg1n1wAAAAoBAAAPAAAA&#10;AAAAAAEAIAAAACIAAABkcnMvZG93bnJldi54bWxQSwECFAAUAAAACACHTuJA7/8EyBYCAAAXBAAA&#10;DgAAAAAAAAABACAAAAAmAQAAZHJzL2Uyb0RvYy54bWxQSwUGAAAAAAYABgBZAQAArgU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62016" behindDoc="0" locked="0" layoutInCell="1" allowOverlap="1">
                <wp:simplePos x="0" y="0"/>
                <wp:positionH relativeFrom="column">
                  <wp:posOffset>-113665</wp:posOffset>
                </wp:positionH>
                <wp:positionV relativeFrom="paragraph">
                  <wp:posOffset>9525</wp:posOffset>
                </wp:positionV>
                <wp:extent cx="914400" cy="364490"/>
                <wp:effectExtent l="0" t="0" r="0" b="0"/>
                <wp:wrapNone/>
                <wp:docPr id="29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36449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28.7pt;width:72pt;z-index:251862016;mso-width-relative:page;mso-height-relative:page;" filled="f" stroked="f" coordsize="21600,21600" o:gfxdata="UEsDBAoAAAAAAIdO4kAAAAAAAAAAAAAAAAAEAAAAZHJzL1BLAwQUAAAACACHTuJAuXPCotYAAAAI&#10;AQAADwAAAGRycy9kb3ducmV2LnhtbE2PwU7DMBBE70j8g7VIvbXrVE1pQpweQFyLaAGJmxtvk4h4&#10;HcVuk/497gmOqzeaeVtsJ9uJCw2+dawgWUgQxJUzLdcKPg6v8w0IHzQb3TkmBVfysC3v7wqdGzfy&#10;O132oRaxhH2uFTQh9Dmirxqy2i9cTxzZyQ1Wh3gONZpBj7HcdriUco1WtxwXGt3Tc0PVz/5sFXzu&#10;Tt9fK/lWv9i0H90kkW2GSs0eEvkEItAU/sJw04/qUEanozuz8aJTME8esxiNIAVx48t1AuKoIN1k&#10;gGWB/x8ofwFQSwMEFAAAAAgAh07iQG5fDnEWAgAAFwQAAA4AAABkcnMvZTJvRG9jLnhtbK1TzY7T&#10;MBC+I/EOlu80bSmFRk1Xy1aLkJYfaeEBHMdJLGKPGbtNygPAG3Diwp3n6nMwcbKlLJc9cLFsz/ib&#10;7/tmvL7oTMP2Cr0Gm/HZZMqZshIKbauMf/xw/eQFZz4IW4gGrMr4QXl+sXn8aN26VM2hhqZQyAjE&#10;+rR1Ga9DcGmSeFkrI/wEnLIULAGNCHTEKilQtIRummQ+nS6TFrBwCFJ5T7fbIchHRHwIIJSllmoL&#10;cmeUDQMqqkYEkuRr7TzfRLZlqWR4V5ZeBdZknJSGuFIR2uf9mmzWIq1QuFrLkYJ4CIV7mozQloqe&#10;oLYiCLZD/Q+U0RLBQxkmEkwyCImOkIrZ9J43t7VwKmohq707me7/H6x8u3+PTBcZn6+WnFlhqOXH&#10;79+OP34df35ls1nvUOt8Som3jlJD9xI6mpuo1rsbkJ88s3BVC1upS0RoayUKYhhfJmdPBxzfg+Tt&#10;GyiokNgFiEBdiaa3jwxhhE7dOZy6o7rAJF2uZovFlCKSQk+Xi8Uqdi8R6d1jhz68UmBYv8k4UvMj&#10;uNjf+EAyKPUupa9l4Vo3TRyAxv51QYn9TSTf8x2Yhy7vRjNyKA4kA2GYJ/pNtKkBv3DW0ixl3H/e&#10;CVScNa8tWRGZ0/DFw+LZ8zmpwPNIfh4RVhJUxgNnw/YqDAO7c6irmioN5lu4JPtKHaX1Pg+sRt40&#10;L1HxONv9QJ6fY9af/7z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lzwqLWAAAACAEAAA8AAAAA&#10;AAAAAQAgAAAAIgAAAGRycy9kb3ducmV2LnhtbFBLAQIUABQAAAAIAIdO4kBuXw5xFgIAABcEAAAO&#10;AAAAAAAAAAEAIAAAACUBAABkcnMvZTJvRG9jLnhtbFBLBQYAAAAABgAGAFkBAACt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pPr>
        <w:tabs>
          <w:tab w:val="left" w:pos="4970"/>
        </w:tabs>
        <w:spacing w:line="360" w:lineRule="auto"/>
        <w:rPr>
          <w:rFonts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896832" behindDoc="0" locked="0" layoutInCell="1" allowOverlap="1">
                <wp:simplePos x="0" y="0"/>
                <wp:positionH relativeFrom="column">
                  <wp:posOffset>-49530</wp:posOffset>
                </wp:positionH>
                <wp:positionV relativeFrom="paragraph">
                  <wp:posOffset>295275</wp:posOffset>
                </wp:positionV>
                <wp:extent cx="914400" cy="648970"/>
                <wp:effectExtent l="0" t="0" r="0" b="0"/>
                <wp:wrapNone/>
                <wp:docPr id="29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3.9pt;margin-top:23.25pt;height:51.1pt;width:72pt;z-index:251896832;mso-width-relative:page;mso-height-relative:page;" filled="f" stroked="f" coordsize="21600,21600" o:gfxdata="UEsDBAoAAAAAAIdO4kAAAAAAAAAAAAAAAAAEAAAAZHJzL1BLAwQUAAAACACHTuJAxOUQkNcAAAAJ&#10;AQAADwAAAGRycy9kb3ducmV2LnhtbE2PwW7CMBBE75X6D9ZW6g3W0BBoiMOhVa+tCrRSbyZekoh4&#10;HcWGpH9fcyq3Hc1o5m2+GW0rLtT7xrGC2VSCIC6dabhSsN+9TVYgfNBsdOuYFPySh01xf5frzLiB&#10;P+myDZWIJewzraAOocsQfVmT1X7qOuLoHV1vdYiyr9D0eojltsW5lCla3XBcqHVHLzWVp+3ZKvh6&#10;P/58J/KjerWLbnCjRLbPqNTjw0yuQQQaw38YrvgRHYrIdHBnNl60CibLSB4UJOkCxNV/SucgDvFI&#10;VkvAIsfbD4o/UEsDBBQAAAAIAIdO4kDscG2cFgIAABcEAAAOAAAAZHJzL2Uyb0RvYy54bWytU82O&#10;0zAQviPxDpbvNE3V/WnUdLVstQhp+ZEWHsBxnMYi9pix26Q8ALwBJy7cea4+BxMnW8py2QMXy/aM&#10;v/m+b8bLq840bKfQa7A5TydTzpSVUGq7yfnHD7cvLjnzQdhSNGBVzvfK86vV82fL1mVqBjU0pUJG&#10;INZnrct5HYLLksTLWhnhJ+CUpWAFaESgI26SEkVL6KZJZtPpedIClg5BKu/pdj0E+YiITwGEqtJS&#10;rUFujbJhQEXViECSfK2d56vItqqUDO+qyqvAmpyT0hBXKkL7ol+T1VJkGxSu1nKkIJ5C4ZEmI7Sl&#10;okeotQiCbVH/A2W0RPBQhYkEkwxCoiOkIp0+8ua+Fk5FLWS1d0fT/f+DlW9375HpMuezxRlnVhhq&#10;+eH7t8OPX4efX1ma9g61zmeUeO8oNXQvoaO5iWq9uwP5yTMLN7WwG3WNCG2tREkM48vk5OmA43uQ&#10;on0DJRUS2wARqKvQ9PaRIYzQqTv7Y3dUF5iky0U6n08pIil0Pr9cXMTuJSJ7eOzQh1cKDOs3OUdq&#10;fgQXuzsfSAalPqT0tSzc6qaJA9DYvy4osb+J5Hu+A/PQFd1oRgHlnmQgDPNEv4k2NeAXzlqapZz7&#10;z1uBirPmtSUrInMavniYn13MSAWeRorTiLCSoHIeOBu2N2EY2K1Dvamp0mC+hWuyr9JRWu/zwGrk&#10;TfMSFY+z3Q/k6Tlm/fnP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5RCQ1wAAAAkBAAAPAAAA&#10;AAAAAAEAIAAAACIAAABkcnMvZG93bnJldi54bWxQSwECFAAUAAAACACHTuJA7HBtnBYCAAAXBAAA&#10;DgAAAAAAAAABACAAAAAmAQAAZHJzL2Uyb0RvYy54bWxQSwUGAAAAAAYABgBZAQAArg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b/>
          <w:bCs/>
          <w:color w:val="auto"/>
          <w:highlight w:val="none"/>
          <w:lang w:eastAsia="zh-CN"/>
        </w:rPr>
        <w:t>38.3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38.3.1 承包人应根据发包人审查批准或备案的设计实施方案、发包人要求、设计顾问人指示并遵守有关法律、技术标准进行初步设计和（或）施工图设计。适用于发包人按单项工程接收和（或）整个工程接收的标准和规范，由合同当事人在专用条款中约定。</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38.3.2 承包人应按照现行有关工程建设标准规范中设计深度的规定，遵循限额设计原则开展工程设计。承包人的设计应做到功能合理、技术先进、质量可靠、施工安全、绿色环保、经济合理。</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38.3.3 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查、工程验收等无风险的情况下，发包人可决定采用或不采用，决定采用时，作为变更处理。</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38.3.4 工程完工后需要购置设备及工器具以达到生产和运营能力的建筑物或构筑物，承包人的设计应满足其工艺流程、设备配置要求。需要专利人、设备商或发包人提供的相关资料，由双方在专用条款中约定。</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38.3.5 承包人应充分利用 BIM 技术进行正向设计或建模与出图同步完成的设计方式，通过使用建筑信息模型（BIM），优化设计成果。</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59296" behindDoc="0" locked="0" layoutInCell="1" allowOverlap="1">
                <wp:simplePos x="0" y="0"/>
                <wp:positionH relativeFrom="column">
                  <wp:posOffset>-102870</wp:posOffset>
                </wp:positionH>
                <wp:positionV relativeFrom="paragraph">
                  <wp:posOffset>278765</wp:posOffset>
                </wp:positionV>
                <wp:extent cx="914400" cy="648970"/>
                <wp:effectExtent l="0" t="0" r="0" b="0"/>
                <wp:wrapNone/>
                <wp:docPr id="294"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51.1pt;width:72pt;z-index:251959296;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Ayqh5nFwIAABcEAAAOAAAAZHJzL2Uyb0RvYy54bWytU81u&#10;EzEQviPxDpbvZLNRaJtVNlVpVIRUfqTCAzheb9Zi7TFjJ7vhAeANeuLCnefKczD2piGUSw9cLNsz&#10;/ub7vhnPL3vTsq1Cr8GWPB+NOVNWQqXtuuSfPt68uODMB2Er0YJVJd8pzy8Xz5/NO1eoCTTQVgoZ&#10;gVhfdK7kTQiuyDIvG2WEH4FTloI1oBGBjrjOKhQdoZs2m4zHZ1kHWDkEqbyn2+UQ5AdEfAog1LWW&#10;aglyY5QNAyqqVgSS5BvtPF8ktnWtZHhf114F1paclIa0UhHar+KaLeaiWKNwjZYHCuIpFB5pMkJb&#10;KnqEWoog2Ab1P1BGSwQPdRhJMNkgJDlCKvLxI2/uGuFU0kJWe3c03f8/WPlu+wGZrko+mU05s8JQ&#10;y/f33/c/fu1/fmP5JDrUOV9Q4p2j1NC/gp7mJqn17hbkZ88sXDfCrtUVInSNEhUxzOPL7OTpgOMj&#10;yKp7CxUVEpsACaiv0UT7yBBG6NSd3bE7qg9M0uUsn07HFJEUOptezM5T9zJRPDx26MNrBYbFTcmR&#10;mp/AxfbWh0hGFA8psZaFG922aQBa+9cFJcabRD7yHZiHftUfzFhBtSMZCMM80W+iTQP4lbOOZqnk&#10;/stGoOKsfWPJisSchi8dpi/PJ6QCTyOr04iwkqBKHjgbttdhGNiNQ71uqNJgvoUrsq/WSVr0eWB1&#10;4E3zkhQfZjsO5Ok5Zf35z4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DKqHmcXAgAAFw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97856" behindDoc="0" locked="0" layoutInCell="1" allowOverlap="1">
                <wp:simplePos x="0" y="0"/>
                <wp:positionH relativeFrom="column">
                  <wp:posOffset>-102870</wp:posOffset>
                </wp:positionH>
                <wp:positionV relativeFrom="paragraph">
                  <wp:posOffset>278765</wp:posOffset>
                </wp:positionV>
                <wp:extent cx="914400" cy="648970"/>
                <wp:effectExtent l="0" t="0" r="0" b="0"/>
                <wp:wrapNone/>
                <wp:docPr id="29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51.1pt;width:72pt;z-index:251897856;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WfyhcGAIAABcEAAAOAAAAZHJzL2Uyb0RvYy54bWytU81u&#10;EzEQviPxDpbvZJMQ2maVTVUaFSGVH6nwAI7Xm7VYe8zYyW54AHgDTly481x5DsbebQjl0gMXy/aM&#10;v/m+b8aLy840bKfQa7AFn4zGnCkrodR2U/CPH26eXXDmg7ClaMCqgu+V55fLp08WrcvVFGpoSoWM&#10;QKzPW1fwOgSXZ5mXtTLCj8ApS8EK0IhAR9xkJYqW0E2TTcfjs6wFLB2CVN7T7aoP8gERHwMIVaWl&#10;WoHcGmVDj4qqEYEk+Vo7z5eJbVUpGd5VlVeBNQUnpSGtVIT267hmy4XINyhcreVAQTyGwgNNRmhL&#10;RY9QKxEE26L+B8poieChCiMJJuuFJEdIxWT8wJu7WjiVtJDV3h1N9/8PVr7dvUemy4JP5885s8JQ&#10;yw/fvx1+/Dr8/Mom0+hQ63xOiXeOUkP3Ejqam6TWu1uQnzyzcF0Lu1FXiNDWSpTEcBJfZidPexwf&#10;QdbtGyipkNgGSEBdhSbaR4YwQqfu7I/dUV1gki7nk9lsTBFJobPZxfw8dS8T+f1jhz68UmBY3BQc&#10;qfkJXOxufYhkRH6fEmtZuNFNkwagsX9dUGK8SeQj35556NbdYMYayj3JQOjniX4TbWrAL5y1NEsF&#10;95+3AhVnzWtLViTmNHzpMHtxPiUVeBpZn0aElQRV8MBZv70O/cBuHepNTZV68y1ckX2VTtKizz2r&#10;gTfNS1I8zHYcyNNzyvrzn5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IodfXAAAACgEAAA8A&#10;AAAAAAAAAQAgAAAAIgAAAGRycy9kb3ducmV2LnhtbFBLAQIUABQAAAAIAIdO4kCWfyhcGAIAABc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38.5.2承包人应任命本单位具有结构设计类执业资格的注册人员担任承包人代表（承包人为联合体时，应由具有符合项目规模要求的设计单位委派专业人员担任），统筹装配式构件的设计、生产、运输、吊装和拼接，加强协同管理，并建立基于建筑信息模型（BIM）的部装配式构件生产管理信息系统，对构件进行编码管理，保证工程质量。</w:t>
      </w:r>
    </w:p>
    <w:p>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98880" behindDoc="0" locked="0" layoutInCell="1" allowOverlap="1">
                <wp:simplePos x="0" y="0"/>
                <wp:positionH relativeFrom="column">
                  <wp:posOffset>-102870</wp:posOffset>
                </wp:positionH>
                <wp:positionV relativeFrom="paragraph">
                  <wp:posOffset>278765</wp:posOffset>
                </wp:positionV>
                <wp:extent cx="914400" cy="648970"/>
                <wp:effectExtent l="0" t="0" r="0" b="0"/>
                <wp:wrapNone/>
                <wp:docPr id="29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51.1pt;width:72pt;z-index:251898880;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A3O6SbFwIAABcEAAAOAAAAZHJzL2Uyb0RvYy54bWytU81u&#10;EzEQviPxDpbvZJNVaJtVNlVpVIRUfqTCAzheb9Zi7TFjJ7vhAeANeuLCnefKczD2piGUSw9cLNsz&#10;/ub7vhnPL3vTsq1Cr8GWfDIac6ashErbdck/fbx5ccGZD8JWogWrSr5Tnl8unj+bd65QOTTQVgoZ&#10;gVhfdK7kTQiuyDIvG2WEH4FTloI1oBGBjrjOKhQdoZs2y8fjs6wDrByCVN7T7XII8gMiPgUQ6lpL&#10;tQS5McqGARVVKwJJ8o12ni8S27pWMryva68Ca0tOSkNaqQjtV3HNFnNRrFG4RssDBfEUCo80GaEt&#10;FT1CLUUQbIP6HyijJYKHOowkmGwQkhwhFZPxI2/uGuFU0kJWe3c03f8/WPlu+wGZrkqez3LOrDDU&#10;8v399/2PX/uf39gkjw51zheUeOcoNfSvoKe5SWq9uwX52TML142wa3WFCF2jREUMJ/FldvJ0wPER&#10;ZNW9hYoKiU2ABNTXaKJ9ZAgjdOrO7tgd1Qcm6XI2mU7HFJEUOptezM5T9zJRPDx26MNrBYbFTcmR&#10;mp/AxfbWh0hGFA8psZaFG922aQBa+9cFJcabRD7yHZiHftUfzFhBtSMZCMM80W+iTQP4lbOOZqnk&#10;/stGoOKsfWPJisSchi8dpi/Pc1KBp5HVaURYSVAlD5wN2+swDOzGoV43VGkw38IV2VfrJC36PLA6&#10;8KZ5SYoPsx0H8vScsv785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Dc7pJsXAgAAFw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 发包人审查</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38.6.1.1 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38.6.1.2 除专用条款另有约定外，自发包人收到承包人的设计文件以及承包人的书面通知之日起，应及时通知设计顾问人对设计文件予以核实或审核并完成发包人审查，发包人对承包人的设计文件审查期不超过 21 天。</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38.6.1.3 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 63 条约定提出变更申请，由发包人承担增加的工程费或工程设计费。</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38.6.1.4 发包人经审查同意承包人的设计文件的，应以书面形式通知承包人。合同约定的审查期满，发包人没有做出审查结论也没有提出异议的，视为承包人送审的设计文件已获发包人同意。</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38.6.2 政府部门审查或批准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38.6.2.1 承包人的初步设计文件和（或）施工图需政府有关部门或施工图审查机构审查或批准的，发包人应在审查同意后 7天内，向政府有关部门或施工图审查机构报送设计文件，承包人应予以协助。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38.6.2.2 发包人应向承包人提供政府有关部门或施工图审查机构的批准文件和审查意见。承包人应按照相关审查批准文件对设计文件进行补充、修改和完善。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38.6.2.3 经政府有关部门或施工图审查机构审查，需要修改发包人要求的，发包人应重新提出发包人要求，通知承包人相应修改设计文件，并重新送审，承包人可根据第 63 条约定提出变更申请，由发包人承担增加的工程费或工程设计费。</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38.6.3 审查会议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发包人及设计顾问人、监理人、造价咨询人等相关方参加，根据专家评审意见修正设计文件，相关会议及评审费用由承包人自行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38.6.3.2 发包人需要组织审查会议的，审查会议的审查形式和时间安排应在专用条款中约定，相关会议费用及评审费用由发包人承担。承包人应协助发包人组织设计审查会议，向审查人员介绍、解答、解释其设计文件，并提供有关补充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 审查延误</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38.6.4.1 因承包人原因，未能按专用条款约定的时间，向发包人提交初步设计文件和（或）施工图设计阶段的完整设计文件，致使相应设计阶段的设计审查无法进行或无法按期进行，造成的设计工期延长、后续设计施工延误及费用增加，责任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 因发包人原因导致设计文件审查无法进行或无法按期进行，造成的设计工期延长及费用增加，责任由发包人承担。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 审查责任的免除</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设计文件的审查，不减轻或免除承包人依据法律规定与合同约定应当承担的责任。</w:t>
      </w:r>
    </w:p>
    <w:p>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62368" behindDoc="0" locked="0" layoutInCell="1" allowOverlap="1">
                <wp:simplePos x="0" y="0"/>
                <wp:positionH relativeFrom="column">
                  <wp:posOffset>-9525</wp:posOffset>
                </wp:positionH>
                <wp:positionV relativeFrom="paragraph">
                  <wp:posOffset>88265</wp:posOffset>
                </wp:positionV>
                <wp:extent cx="857250" cy="390525"/>
                <wp:effectExtent l="0" t="0" r="0" b="0"/>
                <wp:wrapNone/>
                <wp:docPr id="29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6.95pt;height:30.75pt;width:67.5pt;z-index:251962368;mso-width-relative:page;mso-height-relative:page;" filled="f" stroked="f" coordsize="21600,21600" o:gfxdata="UEsDBAoAAAAAAIdO4kAAAAAAAAAAAAAAAAAEAAAAZHJzL1BLAwQUAAAACACHTuJAlYICB9YAAAAI&#10;AQAADwAAAGRycy9kb3ducmV2LnhtbE2PzU7DMBCE70h9B2srcWvtkAZoGqcHEFcQ5Ufi5sbbJGq8&#10;jmK3CW/P9kSPOzOa/abYTq4TZxxC60lDslQgkCpvW6o1fH68LB5BhGjIms4TavjFANtydlOY3PqR&#10;3vG8i7XgEgq50dDE2OdShqpBZ8LS90jsHfzgTORzqKUdzMjlrpN3St1LZ1riD43p8anB6rg7OQ1f&#10;r4ef75V6q59d1o9+UpLcWmp9O0/UBkTEKf6H4YLP6FAy096fyAbRaVgkGSdZT9cgLn6asrDX8JCt&#10;QJaFvB5Q/gFQSwMEFAAAAAgAh07iQFDD+H8XAgAAFwQAAA4AAABkcnMvZTJvRG9jLnhtbK1Ty47T&#10;MBTdI/EPlvc0TWlhGjUdDVMNQhoe0sAHuI7TWCS+5tptMnwA8wes2LDnu/odXNudUobNLNhEtu/1&#10;ueccnyzOh65lO4VOgyl5PhpzpoyESptNyT99vHp2xpnzwlSiBaNKfqscP18+fbLobaEm0EBbKWQE&#10;YlzR25I33tsiy5xsVCfcCKwyVKwBO+Fpi5usQtETetdmk/H4RdYDVhZBKufodJWK/ICIjwGEutZS&#10;rUBuO2V8QkXVCk+SXKOt48vItq6V9O/r2inP2pKTUh+/NITW6/DNlgtRbFDYRssDBfEYCg80dUIb&#10;GnqEWgkv2Bb1P1CdlggOaj+S0GVJSHSEVOTjB97cNMKqqIWsdvZouvt/sPLd7gMyXZV8Ms85M6Kj&#10;J99/v9v/+LX/+Y3leXCot66gxhtLrX54BQPlJqp19hrkZ8cMXDbCbNQFIvSNEhUxjDezk6sJxwWQ&#10;df8WKhokth4i0FBjF+wjQxih0+vcHl9HDZ5JOjybvZzMqCKp9Hw+nk1mgVsmivvLFp1/raBjYVFy&#10;pMeP4GJ37XxqvW8Jswxc6baNAWjNXweEGU4i+cA3MffDejiYsYbqlmQgpDzR30SLBvArZz1lqeTu&#10;y1ag4qx9Y8iKeT6dhvDFzZRk0AZPK+vTijCSoEruOUvLS58Cu7WoNw1NSuYbuCD7ah2lBZ8TqwNv&#10;yks055DtEMjTfez68z8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ggIH1gAAAAgBAAAPAAAA&#10;AAAAAAEAIAAAACIAAABkcnMvZG93bnJldi54bWxQSwECFAAUAAAACACHTuJAUMP4fxcCAAAXBAAA&#10;DgAAAAAAAAABACAAAAAlAQAAZHJzL2Uyb0RvYy54bWxQSwUGAAAAAAYABgBZAQAArgU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292" w:name="_Toc28206"/>
      <w:bookmarkStart w:id="293" w:name="_Toc19208"/>
      <w:bookmarkStart w:id="294" w:name="_Toc47694312"/>
      <w:r>
        <w:rPr>
          <w:rFonts w:hint="eastAsia" w:ascii="仿宋" w:hAnsi="仿宋" w:eastAsia="仿宋" w:cs="仿宋"/>
          <w:bCs w:val="0"/>
          <w:color w:val="auto"/>
          <w:sz w:val="24"/>
          <w:szCs w:val="24"/>
          <w:highlight w:val="none"/>
        </w:rPr>
        <w:t>39  BIM技术应用</w:t>
      </w:r>
      <w:bookmarkEnd w:id="292"/>
      <w:bookmarkEnd w:id="293"/>
      <w:bookmarkEnd w:id="294"/>
    </w:p>
    <w:p>
      <w:pPr>
        <w:tabs>
          <w:tab w:val="left" w:pos="4970"/>
        </w:tabs>
        <w:spacing w:line="360" w:lineRule="auto"/>
        <w:rPr>
          <w:rFonts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1944960" behindDoc="0" locked="0" layoutInCell="1" allowOverlap="1">
                <wp:simplePos x="0" y="0"/>
                <wp:positionH relativeFrom="column">
                  <wp:posOffset>-121920</wp:posOffset>
                </wp:positionH>
                <wp:positionV relativeFrom="paragraph">
                  <wp:posOffset>281305</wp:posOffset>
                </wp:positionV>
                <wp:extent cx="914400" cy="648970"/>
                <wp:effectExtent l="0" t="0" r="0" b="0"/>
                <wp:wrapNone/>
                <wp:docPr id="29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51.1pt;width:72pt;z-index:251944960;mso-width-relative:page;mso-height-relative:page;" filled="f" stroked="f" coordsize="21600,21600" o:gfxdata="UEsDBAoAAAAAAIdO4kAAAAAAAAAAAAAAAAAEAAAAZHJzL1BLAwQUAAAACACHTuJAScINZ9cAAAAK&#10;AQAADwAAAGRycy9kb3ducmV2LnhtbE2PwU7DMAyG70i8Q2QkblvSkk2sNN0BxBXEBkjcssZrKxqn&#10;arK1vD3eCW62/On395fb2ffijGPsAhnIlgoEUh1cR42B9/3z4h5ETJac7QOhgR+MsK2ur0pbuDDR&#10;G553qREcQrGwBtqUhkLKWLfobVyGAYlvxzB6m3gdG+lGO3G472Wu1Fp62xF/aO2Ajy3W37uTN/Dx&#10;cvz61Oq1efKrYQqzkuQ30pjbm0w9gEg4pz8YLvqsDhU7HcKJXBS9gUW2yRk1oPUdiAuQa+5y4EGv&#10;VyCrUv6vUP0CUEsDBBQAAAAIAIdO4kBLKjLzFgIAABcEAAAOAAAAZHJzL2Uyb0RvYy54bWytU0tu&#10;2zAQ3RfoHQjua1mGm8SC5SCNkaJA+gHSHoCiKImoyGGHtCX3AO0Nsuqm+57L5+iIclw33WTRjUBy&#10;hm/ee3xaXvamZVuFXoPNeTqZcqashFLbOuefPt68uODMB2FL0YJVOd8pzy9Xz58tO5epGTTQlgoZ&#10;gVifdS7nTQguSxIvG2WEn4BTlooVoBGBtlgnJYqO0E2bzKbTs6QDLB2CVN7T6Xos8gMiPgUQqkpL&#10;tQa5McqGERVVKwJJ8o12nq8i26pSMryvKq8Ca3NOSkP80hBaF8M3WS1FVqNwjZYHCuIpFB5pMkJb&#10;GnqEWosg2Ab1P1BGSwQPVZhIMMkoJDpCKtLpI2/uGuFU1EJWe3c03f8/WPlu+wGZLnM+W5AnVhh6&#10;8v399/2PX/uf31iaDg51zmfUeOeoNfSvoKfcRLXe3YL87JmF60bYWl0hQtcoURLDeDM5uTri+AGk&#10;6N5CSYPEJkAE6is0g31kCCN0YrI7vo7qA5N0uEjn8ylVJJXO5heL8/h6icgeLjv04bUCw4ZFzpEe&#10;P4KL7a0PJINaH1qGWRZudNvGALT2rwNqHE4i+YHvyDz0RX8wo4ByRzIQxjzR30SLBvArZx1lKef+&#10;y0ag4qx9Y8mKyJzCFzfzl+czUoGnleK0IqwkqJwHzsbldRgDu3Go64YmjeZbuCL7Kh2lDT6PrA68&#10;KS9R8SHbQyBP97Hrz/+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wg1n1wAAAAoBAAAPAAAA&#10;AAAAAAEAIAAAACIAAABkcnMvZG93bnJldi54bWxQSwECFAAUAAAACACHTuJASyoy8xYCAAAXBAAA&#10;DgAAAAAAAAABACAAAAAmAQAAZHJzL2Uyb0RvYy54bWxQSwUGAAAAAAYABgBZAQAArgU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pPr>
        <w:widowControl w:val="0"/>
        <w:tabs>
          <w:tab w:val="left" w:pos="132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事故，责任由发包人承担。但本合同第5条、第6条以及专用条款另有约定的除外。</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43936" behindDoc="0" locked="0" layoutInCell="1" allowOverlap="1">
                <wp:simplePos x="0" y="0"/>
                <wp:positionH relativeFrom="column">
                  <wp:posOffset>-113665</wp:posOffset>
                </wp:positionH>
                <wp:positionV relativeFrom="paragraph">
                  <wp:posOffset>9525</wp:posOffset>
                </wp:positionV>
                <wp:extent cx="914400" cy="467995"/>
                <wp:effectExtent l="0" t="0" r="0" b="0"/>
                <wp:wrapNone/>
                <wp:docPr id="28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467995"/>
                        </a:xfrm>
                        <a:prstGeom prst="rect">
                          <a:avLst/>
                        </a:prstGeom>
                        <a:noFill/>
                        <a:ln>
                          <a:noFill/>
                        </a:ln>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6.85pt;width:72pt;z-index:251943936;mso-width-relative:page;mso-height-relative:page;" filled="f" stroked="f" coordsize="21600,21600" o:gfxdata="UEsDBAoAAAAAAIdO4kAAAAAAAAAAAAAAAAAEAAAAZHJzL1BLAwQUAAAACACHTuJARe+gWtYAAAAI&#10;AQAADwAAAGRycy9kb3ducmV2LnhtbE2Py07DMBBF90j9B2uQ2LV2ItLSEKeLIrYg+kBi58bTJCIe&#10;R7HbhL9nuoLl6Fzde6bYTK4TVxxC60lDslAgkCpvW6o1HPav8ycQIRqypvOEGn4wwKac3RUmt36k&#10;D7zuYi24hEJuNDQx9rmUoWrQmbDwPRKzsx+ciXwOtbSDGbncdTJVaimdaYkXGtPjtsHqe3dxGo5v&#10;56/PR/Vev7isH/2kJLm11PrhPlHPICJO8S8MN31Wh5KdTv5CNohOwzxZrTnKIANx4+kyAXHSsMpS&#10;kGUh/z9Q/gJQSwMEFAAAAAgAh07iQFRLlEwWAgAAFwQAAA4AAABkcnMvZTJvRG9jLnhtbK1Ty47T&#10;MBTdI/EPlvc0bdV5NGo6GqYahDQ8pIEPcB2nsYh9zbXbpHwA/AErNuz5rn4H106mlGEzCzaR7Xt9&#10;7jnHJ4urzjRsp9BrsAWfjMacKSuh1HZT8I8fbl9ccuaDsKVowKqC75XnV8vnzxaty9UUamhKhYxA&#10;rM9bV/A6BJdnmZe1MsKPwClLxQrQiEBb3GQlipbQTZNNx+PzrAUsHYJU3tPpqi/yARGfAghVpaVa&#10;gdwaZUOPiqoRgST5WjvPl4ltVSkZ3lWVV4E1BSelIX1pCK3X8ZstFyLfoHC1lgMF8RQKjzQZoS0N&#10;PUKtRBBsi/ofKKMlgocqjCSYrBeSHCEVk/Ejb+5r4VTSQlZ7dzTd/z9Y+Xb3HpkuCz69nHNmhaEn&#10;P3z/dvjx6/DzK5tMokOt8zk13jtqDd1L6Cg3Sa13dyA/eWbhphZ2o64Roa2VKIlhupmdXO1xfARZ&#10;t2+gpEFiGyABdRWaaB8ZwgidXmd/fB3VBSbpcD6ZzcZUkVSanV/M52eRWybyh8sOfXilwLC4KDjS&#10;4ydwsbvzoW99aImzLNzqpkkBaOxfB4QZTxL5yLdnHrp1N5ixhnJPMhD6PNHfRIsa8AtnLWWp4P7z&#10;VqDirHltyYrEnMKXNrOziympwNPK+rQirCSoggfO+uVN6AO7dag3NU3qzbdwTfZVOkmLPvesBt6U&#10;l2TOkO0YyNN96vrzP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XvoFrWAAAACAEAAA8AAAAA&#10;AAAAAQAgAAAAIgAAAGRycy9kb3ducmV2LnhtbFBLAQIUABQAAAAIAIdO4kBUS5RMFgIAABcEAAAO&#10;AAAAAAAAAAEAIAAAACUBAABkcnMvZTJvRG9jLnhtbFBLBQYAAAAABgAGAFkBAACtBQ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945984" behindDoc="0" locked="0" layoutInCell="1" allowOverlap="1">
                <wp:simplePos x="0" y="0"/>
                <wp:positionH relativeFrom="column">
                  <wp:posOffset>-101600</wp:posOffset>
                </wp:positionH>
                <wp:positionV relativeFrom="paragraph">
                  <wp:posOffset>18415</wp:posOffset>
                </wp:positionV>
                <wp:extent cx="914400" cy="648970"/>
                <wp:effectExtent l="0" t="0" r="0" b="0"/>
                <wp:wrapNone/>
                <wp:docPr id="28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51.1pt;width:72pt;z-index:251945984;mso-width-relative:page;mso-height-relative:page;" filled="f" stroked="f" coordsize="21600,21600" o:gfxdata="UEsDBAoAAAAAAIdO4kAAAAAAAAAAAAAAAAAEAAAAZHJzL1BLAwQUAAAACACHTuJA49pcFdYAAAAJ&#10;AQAADwAAAGRycy9kb3ducmV2LnhtbE2PzU7DMBCE70i8g7VI3Fo7Ea3aEKcHEFcQ5Ufito23SUS8&#10;jmK3CW/P9gS3Hc1o9ptyN/tenWmMXWAL2dKAIq6D67ix8P72tNiAignZYR+YLPxQhF11fVVi4cLE&#10;r3Tep0ZJCccCLbQpDYXWsW7JY1yGgVi8Yxg9JpFjo92Ik5T7XufGrLXHjuVDiwM9tFR/70/ewsfz&#10;8evzzrw0j341TGE2mv1WW3t7k5l7UInm9BeGC76gQyVMh3BiF1VvYZGtZUuykG9BXfx8I/ogh1ll&#10;oKtS/19Q/QJQSwMEFAAAAAgAh07iQDwP89gWAgAAFwQAAA4AAABkcnMvZTJvRG9jLnhtbK1TS27b&#10;MBDdF+gdCO5rWYabOILlII2RokD6AdIegKIoi6jIYYe0JfcA7Q2y6qb7nsvn6IhSXDfdZNENQXKG&#10;b957M1xedqZhO4Veg815OplypqyEUttNzj99vHmx4MwHYUvRgFU53yvPL1fPny1bl6kZ1NCUChmB&#10;WJ+1Lud1CC5LEi9rZYSfgFOWghWgEYGOuElKFC2hmyaZTadnSQtYOgSpvKfb9RDkIyI+BRCqSku1&#10;Brk1yoYBFVUjAknytXaeryLbqlIyvK8qrwJrck5KQ1ypCO2Lfk1WS5FtULhay5GCeAqFR5qM0JaK&#10;HqHWIgi2Rf0PlNESwUMVJhJMMgiJjpCKdPrIm7taOBW1kNXeHU33/w9Wvtt9QKbLnM8W1HgrDLX8&#10;cP/98OPX4ec3lqa9Q63zGSXeOUoN3SvoaG6iWu9uQX72zMJ1LexGXSFCWytREsP4Mjl5OuD4HqRo&#10;30JJhcQ2QATqKjS9fWQII3Tqzv7YHdUFJunyIp3PpxSRFDqbLy7OY/cSkT08dujDawWG9ZucIzU/&#10;govdrQ8kg1IfUvpaFm5008QBaOxfF5TY30TyPd+BeeiKbjSjgHJPMhCGeaLfRJsa8CtnLc1Szv2X&#10;rUDFWfPGkhWROQ1fPMxfns9IBZ5GitOIsJKgch44G7bXYRjYrUO9qanSYL6FK7Kv0lFa7/PAauRN&#10;8xIVj7PdD+TpOWb9+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aXBXWAAAACQEAAA8AAAAA&#10;AAAAAQAgAAAAIgAAAGRycy9kb3ducmV2LnhtbFBLAQIUABQAAAAIAIdO4kA8D/PYFgIAABcEAAAO&#10;AAAAAAAAAAEAIAAAACUBAABkcnMvZTJvRG9jLnhtbFBLBQYAAAAABgAGAFkBAACt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lang w:eastAsia="zh-CN"/>
        </w:rPr>
        <w:t>39.3.1 承包人应根据发包人审查批准或备案的 BIM 技术应用工作方案、发包人要求并依据有关技术标准开展 BIM 技术应用。具体应用内容和要求，由合同双方在专用条款和发包人要求中约定。</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 勘察阶段，承包人应采用 BIM 技术建立与相关勘察图纸配套的建筑信息模型（BIM）。</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39.3.3 在初步设计阶段，承包人应采用 BIM 技术进行正向设计或建模与出图同步完成的设计方式，建立本工程的建筑信息模型（BIM）并出具初步设计文件。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39.3.4 在施工图设计阶段，承包人应根据初步设计文件采用传统设计方法与 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39.3.5 施工阶段，承包人应采用 BIM 技术编制施工方案和绿色安全防护措施，优化施工工艺流程，建立 BIM 信息管理平台，统筹协调施工进度。</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39.3.6 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39.3.7 运维阶段（如果有），承包人应按发包人要求和专用条款的约定，建立运营维护所需要的建筑信息模型（BIM）。</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 承包人宜应用 BIM 技术方法，进行工程计量、计价，编制本项目工程的概算、施工图预算、竣工结算等造价文件，并配合发包人及造价咨询人的审核。</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39.3.9 承包人应协助发包人建立基于 BIM 技术的项目信息管理平台，为发包人及设计顾问人、监理人、造价咨询人等相关方正确使用建筑信息模型（BIM）开展相关工程技术、质量、安全、绿色环保、建材集中采购、进度与造价管理工作提供必要的指导和协助。</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 发包人、政府有关部门、施工图审查机构对设计文件审查有 BIM 技术应用要求的，承包人应予以配合执行。</w:t>
      </w:r>
    </w:p>
    <w:p>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60320" behindDoc="0" locked="0" layoutInCell="1" allowOverlap="1">
                <wp:simplePos x="0" y="0"/>
                <wp:positionH relativeFrom="column">
                  <wp:posOffset>-102870</wp:posOffset>
                </wp:positionH>
                <wp:positionV relativeFrom="paragraph">
                  <wp:posOffset>278765</wp:posOffset>
                </wp:positionV>
                <wp:extent cx="914400" cy="648970"/>
                <wp:effectExtent l="0" t="0" r="0" b="0"/>
                <wp:wrapNone/>
                <wp:docPr id="287"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51.1pt;width:72pt;z-index:251960320;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qfu1VFwIAABcEAAAOAAAAZHJzL2Uyb0RvYy54bWytU8Fu&#10;EzEQvSPxD5bvZJMoNOkqm6o0KkIqUKnwAY7Xm7VYe8zYyW74APiDnrhw57vyHR170xDKpQculu0Z&#10;v3nvzXh+0ZmGbRV6Dbbgo8GQM2UllNquC/750/WrGWc+CFuKBqwq+E55frF4+WLeulyNoYamVMgI&#10;xPq8dQWvQ3B5lnlZKyP8AJyyFKwAjQh0xHVWomgJ3TTZeDg8y1rA0iFI5T3dLvsgPyDicwChqrRU&#10;S5Abo2zoUVE1IpAkX2vn+SKxrSolw8eq8iqwpuCkNKSVitB+FddsMRf5GoWrtTxQEM+h8ESTEdpS&#10;0SPUUgTBNqj/gTJaIniowkCCyXohyRFSMRo+8eauFk4lLWS1d0fT/f+DlR+2t8h0WfDxbMqZFYZa&#10;vr//sf/5e//rOxuNo0Ot8zkl3jlKDd0b6GhuklrvbkB+8czCVS3sWl0iQlsrURLDUXyZnTztcXwE&#10;WbXvoaRCYhMgAXUVmmgfGcIInbqzO3ZHdYFJujwfTSZDikgKnU1m59PUvUzkj48d+vBWgWFxU3Ck&#10;5idwsb3xIZIR+WNKrGXhWjdNGoDG/nVBifEmkY98e+ahW3UHM1ZQ7kgGQj9P9JtoUwN+46ylWSq4&#10;/7oRqDhr3lmyIjGn4UuHyevpmFTgaWR1GhFWElTBA2f99ir0A7txqNc1VerNt3BJ9lU6SYs+96wO&#10;vGlekuLDbMeBPD2nrD//efE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Kp+7VUXAgAAFw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61344" behindDoc="0" locked="0" layoutInCell="1" allowOverlap="1">
                <wp:simplePos x="0" y="0"/>
                <wp:positionH relativeFrom="column">
                  <wp:posOffset>-102870</wp:posOffset>
                </wp:positionH>
                <wp:positionV relativeFrom="paragraph">
                  <wp:posOffset>278765</wp:posOffset>
                </wp:positionV>
                <wp:extent cx="914400" cy="648970"/>
                <wp:effectExtent l="0" t="0" r="0" b="0"/>
                <wp:wrapNone/>
                <wp:docPr id="286"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51.1pt;width:72pt;z-index:251961344;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ALOmGSFwIAABcEAAAOAAAAZHJzL2Uyb0RvYy54bWytU8Fu&#10;EzEQvSPxD5bvZJMopOkqm6o0KkIqUKnwAY7Xm7VYe8zYyW74APiDnrhw57vyHR170xDKpQculu0Z&#10;v3nvzXh+0ZmGbRV6Dbbgo8GQM2UllNquC/750/WrGWc+CFuKBqwq+E55frF4+WLeulyNoYamVMgI&#10;xPq8dQWvQ3B5lnlZKyP8AJyyFKwAjQh0xHVWomgJ3TTZeDicZi1g6RCk8p5ul32QHxDxOYBQVVqq&#10;JciNUTb0qKgaEUiSr7XzfJHYVpWS4WNVeRVYU3BSGtJKRWi/imu2mIt8jcLVWh4oiOdQeKLJCG2p&#10;6BFqKYJgG9T/QBktETxUYSDBZL2Q5AipGA2feHNXC6eSFrLau6Pp/v/Byg/bW2S6LPh4NuXMCkMt&#10;39//2P/8vf/1nY3G0aHW+ZwS7xylhu4NdDQ3Sa13NyC/eGbhqhZ2rS4Roa2VKInhKL7MTp72OD6C&#10;rNr3UFIhsQmQgLoKTbSPDGGETt3ZHbujusAkXZ6PJpMhRSSFppPZ+VnqXibyx8cOfXirwLC4KThS&#10;8xO42N74EMmI/DEl1rJwrZsmDUBj/7qgxHiTyEe+PfPQrbqDGSsodyQDoZ8n+k20qQG/cdbSLBXc&#10;f90IVJw17yxZkZjT8KXD5PXZmFTgaWR1GhFWElTBA2f99ir0A7txqNc1VerNt3BJ9lU6SYs+96wO&#10;vGlekuLDbMeBPD2nrD//efE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As6YZIXAgAAFw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发包人及政府有关部门基于设计文件审查需要提供建筑信息模型（BIM）的，相关审查按第38.6款规定执行。</w:t>
      </w:r>
    </w:p>
    <w:p>
      <w:pPr>
        <w:tabs>
          <w:tab w:val="left" w:pos="4970"/>
        </w:tabs>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63392" behindDoc="0" locked="0" layoutInCell="1" allowOverlap="1">
                <wp:simplePos x="0" y="0"/>
                <wp:positionH relativeFrom="column">
                  <wp:posOffset>-102870</wp:posOffset>
                </wp:positionH>
                <wp:positionV relativeFrom="paragraph">
                  <wp:posOffset>278765</wp:posOffset>
                </wp:positionV>
                <wp:extent cx="914400" cy="648970"/>
                <wp:effectExtent l="0" t="0" r="0" b="0"/>
                <wp:wrapNone/>
                <wp:docPr id="28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51.1pt;width:72pt;z-index:251963392;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p8YQBGAIAABcEAAAOAAAAZHJzL2Uyb0RvYy54bWytU81u&#10;EzEQviPxDpbvZJMobdNVNlVpVIRUfqTCAzheb9Zi7TFjJ7vhAeANOHHhznPlORh7tyGUSw9cLNsz&#10;/ub7vhkvrjrTsJ1Cr8EWfDIac6ashFLbTcE/frh9MefMB2FL0YBVBd8rz6+Wz58tWperKdTQlAoZ&#10;gVift67gdQguzzIva2WEH4FTloIVoBGBjrjJShQtoZsmm47H51kLWDoEqbyn21Uf5AMiPgUQqkpL&#10;tQK5NcqGHhVVIwJJ8rV2ni8T26pSMryrKq8CawpOSkNaqQjt13HNlguRb1C4WsuBgngKhUeajNCW&#10;ih6hViIItkX9D5TREsFDFUYSTNYLSY6Qisn4kTf3tXAqaSGrvTua7v8frHy7e49MlwWfzs84s8JQ&#10;yw/fvx1+/Dr8/Mom0+hQ63xOifeOUkP3Ejqam6TWuzuQnzyzcFMLu1HXiNDWSpTEcBJfZidPexwf&#10;QdbtGyipkNgGSEBdhSbaR4YwQqfu7I/dUV1gki4vJ7PZmCKSQuez+eVF6l4m8ofHDn14pcCwuCk4&#10;UvMTuNjd+RDJiPwhJdaycKubJg1AY/+6oMR4k8hHvj3z0K27wYw1lHuSgdDPE/0m2tSAXzhraZYK&#10;7j9vBSrOmteWrEjMafjSYXZ2MSUVeBpZn0aElQRV8MBZv70J/cBuHepNTZV68y1ck32VTtKizz2r&#10;gTfNS1I8zHYcyNNzyvrzn5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IodfXAAAACgEAAA8A&#10;AAAAAAAAAQAgAAAAIgAAAGRycy9kb3ducmV2LnhtbFBLAQIUABQAAAAIAIdO4kCp8YQBGAIAABc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pPr>
        <w:tabs>
          <w:tab w:val="left" w:pos="16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22"/>
        <w:adjustRightInd w:val="0"/>
        <w:snapToGrid w:val="0"/>
        <w:spacing w:line="360" w:lineRule="auto"/>
        <w:ind w:right="-238"/>
        <w:jc w:val="center"/>
        <w:outlineLvl w:val="1"/>
        <w:rPr>
          <w:rFonts w:ascii="仿宋" w:hAnsi="仿宋" w:eastAsia="仿宋"/>
          <w:b/>
          <w:bCs/>
          <w:color w:val="auto"/>
          <w:sz w:val="24"/>
          <w:szCs w:val="24"/>
          <w:highlight w:val="none"/>
        </w:rPr>
      </w:pPr>
      <w:bookmarkStart w:id="295" w:name="_Toc47694313"/>
      <w:bookmarkStart w:id="296" w:name="_Toc25456"/>
      <w:bookmarkStart w:id="297" w:name="_Toc22743"/>
      <w:r>
        <w:rPr>
          <w:rFonts w:hint="eastAsia" w:ascii="仿宋" w:hAnsi="仿宋" w:eastAsia="仿宋" w:cs="仿宋"/>
          <w:b/>
          <w:bCs/>
          <w:color w:val="auto"/>
          <w:sz w:val="24"/>
          <w:szCs w:val="24"/>
          <w:highlight w:val="none"/>
        </w:rPr>
        <w:t>五、工</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期</w:t>
      </w:r>
      <w:bookmarkEnd w:id="295"/>
      <w:bookmarkEnd w:id="296"/>
      <w:bookmarkEnd w:id="297"/>
    </w:p>
    <w:p>
      <w:pPr>
        <w:pStyle w:val="5"/>
        <w:tabs>
          <w:tab w:val="left" w:pos="420"/>
        </w:tabs>
        <w:spacing w:before="120" w:beforeLines="50" w:after="120" w:afterLines="50" w:line="360" w:lineRule="auto"/>
        <w:rPr>
          <w:rFonts w:ascii="仿宋" w:hAnsi="仿宋" w:eastAsia="仿宋" w:cs="仿宋"/>
          <w:color w:val="auto"/>
          <w:sz w:val="24"/>
          <w:szCs w:val="24"/>
          <w:highlight w:val="none"/>
        </w:rPr>
      </w:pPr>
      <w:bookmarkStart w:id="298" w:name="_Toc47694314"/>
      <w:bookmarkStart w:id="299" w:name="_Toc19469"/>
      <w:bookmarkStart w:id="300" w:name="_Toc14766"/>
      <w:r>
        <w:rPr>
          <w:rFonts w:hint="eastAsia" w:ascii="仿宋" w:hAnsi="仿宋" w:eastAsia="仿宋" w:cs="仿宋"/>
          <w:bCs w:val="0"/>
          <w:color w:val="auto"/>
          <w:sz w:val="24"/>
          <w:szCs w:val="24"/>
          <w:highlight w:val="none"/>
        </w:rPr>
        <w:t>40</w:t>
      </w:r>
      <w:r>
        <w:rPr>
          <w:rFonts w:ascii="仿宋" w:hAnsi="仿宋" w:eastAsia="仿宋" w:cs="仿宋"/>
          <w:bCs w:val="0"/>
          <w:color w:val="auto"/>
          <w:sz w:val="24"/>
          <w:szCs w:val="24"/>
          <w:highlight w:val="none"/>
        </w:rPr>
        <w:t xml:space="preserve">  </w:t>
      </w:r>
      <w:r>
        <w:rPr>
          <w:rFonts w:hint="eastAsia" w:ascii="仿宋" w:hAnsi="仿宋" w:eastAsia="仿宋" w:cs="仿宋"/>
          <w:color w:val="auto"/>
          <w:sz w:val="24"/>
          <w:szCs w:val="24"/>
          <w:highlight w:val="none"/>
        </w:rPr>
        <w:t>进度计划和报告</w:t>
      </w:r>
      <w:bookmarkEnd w:id="298"/>
      <w:bookmarkEnd w:id="299"/>
      <w:bookmarkEnd w:id="300"/>
    </w:p>
    <w:p>
      <w:pPr>
        <w:pStyle w:val="22"/>
        <w:tabs>
          <w:tab w:val="left" w:pos="1620"/>
        </w:tabs>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284" name="文本框 817"/>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026" o:spt="202" type="#_x0000_t202" style="position:absolute;left:0pt;margin-left:-9pt;margin-top:22.35pt;height:32.5pt;width:72pt;z-index:251899904;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2kzc1BgCAAAYBAAADgAAAGRycy9lMm9Eb2MueG1srVNL&#10;jhMxEN0jcQfLe9LpKENCK53RMNEgpOEjDRzAcbvTFm2XKTvpDgeAG7Biw55z5RyU3ZkQhs0s2Fi2&#10;q/zqvVflxWVvWrZT6DXYkuejMWfKSqi03ZT844ebZ3POfBC2Ei1YVfK98vxy+fTJonOFmkADbaWQ&#10;EYj1RedK3oTgiizzslFG+BE4ZSlYAxoR6IibrELREbpps8l4/DzrACuHIJX3dLsagvyIiI8BhLrW&#10;Uq1Abo2yYUBF1YpAknyjnefLxLaulQzv6tqrwNqSk9KQVipC+3Vcs+VCFBsUrtHySEE8hsIDTUZo&#10;S0VPUCsRBNui/gfKaIngoQ4jCSYbhCRHSEU+fuDNXSOcSlrIau9Opvv/Byvf7t4j01XJJ/MpZ1YY&#10;avnh+7fDj1+Hn1/ZPJ9FizrnC8q8c5Qb+pfQ0+Akud7dgvzkmYXrRtiNukKErlGiIop5fJmdPR1w&#10;fARZd2+gokpiGyAB9TWa6B85wgid2rM/tUf1gUm6fJFPp2OKSApN88nsIrUvE8X9Y4c+vFJgWNyU&#10;HKn7CVzsbn2IZERxnxJrWbjRbZsmoLV/XVBivEnkI9+BeejX/dGMNVR7koEwDBR9J9o0gF8462iY&#10;Su4/bwUqztrXlqxIzGn60mF6MZuQCjyPrM8jwkqCKnngbNheh2Fitw71pqFKg/kWrsi+Widp0eeB&#10;1ZE3DUxSfBzuOJHn55T150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3cbg72AAAAAoBAAAP&#10;AAAAAAAAAAEAIAAAACIAAABkcnMvZG93bnJldi54bWxQSwECFAAUAAAACACHTuJA2kzc1BgCAAAY&#10;BAAADgAAAAAAAAABACAAAAAnAQAAZHJzL2Uyb0RvYy54bWxQSwUGAAAAAAYABgBZAQAAsQ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rPr>
        <w:t>40</w:t>
      </w:r>
      <w:r>
        <w:rPr>
          <w:rFonts w:ascii="仿宋" w:hAnsi="仿宋" w:eastAsia="仿宋" w:cs="仿宋"/>
          <w:b/>
          <w:bCs/>
          <w:color w:val="auto"/>
          <w:sz w:val="24"/>
          <w:szCs w:val="24"/>
          <w:highlight w:val="none"/>
          <w:lang w:val="en-US"/>
        </w:rPr>
        <w:t>.1</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签订本合同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作业方法、设计方法、施工方法、施工安排、作业顺序和时间表。合同约定有单项工程的，承包人还应编制单项工程进度计划。</w:t>
      </w:r>
    </w:p>
    <w:p>
      <w:pPr>
        <w:pStyle w:val="22"/>
        <w:tabs>
          <w:tab w:val="left" w:pos="162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283" name="文本框 818"/>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026" o:spt="202" type="#_x0000_t202" style="position:absolute;left:0pt;margin-left:-9pt;margin-top:22.15pt;height:37.15pt;width:72pt;z-index:251900928;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DnAkZHGAIAABgEAAAOAAAAZHJzL2Uyb0RvYy54bWytU8uO&#10;0zAU3SPxD5b3NEnpMCFqOhqmGoQ0PKSBD3Adp7FIfM2126R8APMHrNiw57v6HVw7nVKGzSzYRLbv&#10;9bnnHJ/ML4auZVuFToMpeTZJOVNGQqXNuuSfPl4/yzlzXphKtGBUyXfK8YvF0yfz3hZqCg20lUJG&#10;IMYVvS15470tksTJRnXCTcAqQ8UasBOetrhOKhQ9oXdtMk3TF0kPWFkEqZyj0+VY5AdEfAwg1LWW&#10;agly0ynjR1RUrfAkyTXaOr6IbOtaSf++rp3yrC05KfXxS0NovQrfZDEXxRqFbbQ8UBCPofBAUye0&#10;oaFHqKXwgm1Q/wPVaYngoPYTCV0yComOkIosfeDNbSOsilrIamePprv/ByvfbT8g01XJp/lzzozo&#10;6Mn33+/2P37tf35jeZYHi3rrCuq8tdTrh1cwUHCiXGdvQH52zMBVI8xaXSJC3yhREcUs3ExOro44&#10;LoCs+rdQ0SSx8RCBhhq74B85wgidnmd3fB41eCbp8GU2m6VUkVSanWd5ehYniOL+skXnXyvoWFiU&#10;HOn1I7jY3jgfyIjiviXMMnCt2zYmoDV/HVBjOInkA9+RuR9Ww8GMFVQ7koEwBop+J1o0gF856ylM&#10;JXdfNgIVZ+0bQ1ZE5pS+uJmdnU9JBZ5WVqcVYSRBldxzNi6v/JjYjUW9bmjSaL6BS7Kv1lFa8Hlk&#10;deBNgYmKD+EOiTzdx64/P/T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gftHjXAAAACgEAAA8A&#10;AAAAAAAAAQAgAAAAIgAAAGRycy9kb3ducmV2LnhtbFBLAQIUABQAAAAIAIdO4kDnAkZH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rPr>
        <w:t>40</w:t>
      </w:r>
      <w:r>
        <w:rPr>
          <w:rFonts w:ascii="仿宋" w:hAnsi="仿宋" w:eastAsia="仿宋" w:cs="仿宋"/>
          <w:b/>
          <w:bCs/>
          <w:color w:val="auto"/>
          <w:sz w:val="24"/>
          <w:szCs w:val="24"/>
          <w:highlight w:val="none"/>
          <w:lang w:val="en-US"/>
        </w:rPr>
        <w:t xml:space="preserve">.2  </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r>
        <w:rPr>
          <w:rFonts w:hint="eastAsia"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承包人应按照经设计顾问人或监理人确认并由其报发包人批准的进度计划组织勘察（如有）、</w:t>
      </w:r>
      <w:r>
        <w:rPr>
          <w:rFonts w:hint="eastAsia" w:ascii="仿宋" w:hAnsi="仿宋" w:eastAsia="仿宋"/>
          <w:color w:val="auto"/>
          <w:sz w:val="24"/>
          <w:szCs w:val="24"/>
          <w:highlight w:val="none"/>
        </w:rPr>
        <w:t>初步设计和（或）施工图</w:t>
      </w:r>
      <w:r>
        <w:rPr>
          <w:rFonts w:hint="eastAsia" w:ascii="仿宋" w:hAnsi="仿宋" w:eastAsia="仿宋" w:cs="仿宋"/>
          <w:color w:val="auto"/>
          <w:sz w:val="24"/>
          <w:szCs w:val="24"/>
          <w:highlight w:val="none"/>
        </w:rPr>
        <w:t>设计、BIM技术应用、设备及工器具购置（如有）、施工，接受监理人、设计顾问人对工程进度的监督和检查。</w:t>
      </w:r>
    </w:p>
    <w:p>
      <w:pPr>
        <w:pStyle w:val="22"/>
        <w:tabs>
          <w:tab w:val="left" w:pos="162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282" name="文本框 819"/>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026" o:spt="202" type="#_x0000_t202" style="position:absolute;left:0pt;margin-left:-9pt;margin-top:20.9pt;height:43.75pt;width:72pt;z-index:251901952;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CuNvumGAIAABgEAAAOAAAAZHJzL2Uyb0RvYy54bWytU0tu&#10;2zAQ3RfoHQjua9mCnSaC5SCNkaJA+gHSHoCmKIuoyGGHtCX3AO0Nsuqm+57L5+iQclw33WTRjUBy&#10;hm/ee3yaX/amZVuFXoMt+WQ05kxZCZW265J/+njz4pwzH4StRAtWlXynPL9cPH8271yhcmigrRQy&#10;ArG+6FzJmxBckWVeNsoIPwKnLBVrQCMCbXGdVSg6Qjdtlo/HZ1kHWDkEqbyn0+VQ5AdEfAog1LWW&#10;aglyY5QNAyqqVgSS5BvtPF8ktnWtZHhf114F1paclIb0pSG0XsVvtpiLYo3CNVoeKIinUHikyQht&#10;aegRaimCYBvU/0AZLRE81GEkwWSDkOQIqZiMH3lz1winkhay2ruj6f7/wcp32w/IdFXy/DznzApD&#10;T76//77/8Wv/8xs7n1xEizrnC+q8c9Qb+lfQU3CSXO9uQX72zMJ1I+xaXSFC1yhREcVJvJmdXB1w&#10;fARZdW+hokliEyAB9TWa6B85wgidnmd3fB7VBybp8GIynY6pIqk0m83O8lmaIIqHyw59eK3AsLgo&#10;OdLrJ3CxvfUhkhHFQ0ucZeFGt21KQGv/OqDGeJLIR74D89Cv+oMZK6h2JANhCBT9TrRoAL9y1lGY&#10;Su6/bAQqzto3lqxIzCl9aTOdvcxJBZ5WVqcVYSVBlTxwNiyvw5DYjUO9bmjSYL6FK7Kv1kla9Hlg&#10;deBNgUmKD+GOiTzdp64/P/T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C5uAjXAAAACgEAAA8A&#10;AAAAAAAAAQAgAAAAIgAAAGRycy9kb3ducmV2LnhtbFBLAQIUABQAAAAIAIdO4kCuNvum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rPr>
        <w:t>40</w:t>
      </w:r>
      <w:r>
        <w:rPr>
          <w:rFonts w:ascii="仿宋" w:hAnsi="仿宋" w:eastAsia="仿宋" w:cs="仿宋"/>
          <w:b/>
          <w:bCs/>
          <w:color w:val="auto"/>
          <w:sz w:val="24"/>
          <w:szCs w:val="24"/>
          <w:highlight w:val="none"/>
          <w:lang w:val="en-US"/>
        </w:rPr>
        <w:t xml:space="preserve">.3  </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天内向发包人、设计顾问人或监理人提交上述报告和修订计划一式两份。月进度报告的内容至少应包括：</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）勘察作业进展情况的图表和说明；</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（2）设计工作进展情况的图表和说明；</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（3）BIM技术应用工作进展情况的图表和说明；</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（4）施工、安装、试验以及其分包人工作等进展情况的图表和说明；</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（5）工程材料、设备、货物的采购和制造商名称、地点以及进入现场情况；</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（6）装配式构件的生产商名称、地点及采购、运输及进入现场情况；</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（7）设备及工器具购置工作进展情况的图表和说明；</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（8）索赔情况和安全统计；</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（9）实际进度与计划进度的对比，以及为消除延误正在或准备采取的措施。</w:t>
      </w:r>
    </w:p>
    <w:p>
      <w:pPr>
        <w:pStyle w:val="22"/>
        <w:tabs>
          <w:tab w:val="left" w:pos="1620"/>
        </w:tabs>
        <w:adjustRightInd w:val="0"/>
        <w:snapToGrid w:val="0"/>
        <w:spacing w:line="480" w:lineRule="auto"/>
        <w:rPr>
          <w:rFonts w:ascii="仿宋" w:hAnsi="仿宋" w:eastAsia="仿宋" w:cs="仿宋"/>
          <w:color w:val="auto"/>
          <w:sz w:val="24"/>
          <w:szCs w:val="24"/>
          <w:highlight w:val="none"/>
          <w:u w:val="dotted"/>
        </w:rPr>
      </w:pPr>
      <w:r>
        <w:rPr>
          <w:rFonts w:hint="eastAsia" w:ascii="仿宋" w:hAnsi="仿宋" w:eastAsia="仿宋" w:cs="仿宋"/>
          <w:b/>
          <w:bCs/>
          <w:color w:val="auto"/>
          <w:sz w:val="24"/>
          <w:szCs w:val="24"/>
          <w:highlight w:val="none"/>
        </w:rPr>
        <w:t>40</w:t>
      </w:r>
      <w:r>
        <w:rPr>
          <w:rFonts w:ascii="仿宋" w:hAnsi="仿宋" w:eastAsia="仿宋" w:cs="仿宋"/>
          <w:b/>
          <w:bCs/>
          <w:color w:val="auto"/>
          <w:sz w:val="24"/>
          <w:szCs w:val="24"/>
          <w:highlight w:val="none"/>
          <w:lang w:val="en-US"/>
        </w:rPr>
        <w:t xml:space="preserve">.4  </w:t>
      </w:r>
      <w:r>
        <w:rPr>
          <w:rFonts w:ascii="仿宋" w:hAnsi="仿宋" w:eastAsia="仿宋" w:cs="仿宋"/>
          <w:b/>
          <w:bCs/>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41910</wp:posOffset>
                </wp:positionV>
                <wp:extent cx="914400" cy="644525"/>
                <wp:effectExtent l="0" t="0" r="0" b="0"/>
                <wp:wrapNone/>
                <wp:docPr id="281" name="文本框 820"/>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026" o:spt="202" type="#_x0000_t202" style="position:absolute;left:0pt;margin-left:-9pt;margin-top:3.3pt;height:50.75pt;width:72pt;z-index:251902976;mso-width-relative:page;mso-height-relative:page;" filled="f" stroked="f" coordsize="21600,21600" o:gfxdata="UEsDBAoAAAAAAIdO4kAAAAAAAAAAAAAAAAAEAAAAZHJzL1BLAwQUAAAACACHTuJAElzkTNUAAAAJ&#10;AQAADwAAAGRycy9kb3ducmV2LnhtbE2PzU7DMBCE70i8g7VI3Fo7FUQhxOkBxBVE+ZG4beNtEhGv&#10;o9htwtuzPcFtRzOa/abaLn5QJ5piH9hCtjagiJvgem4tvL89rQpQMSE7HAKThR+KsK0vLyosXZj5&#10;lU671Cop4ViihS6lsdQ6Nh15jOswEot3CJPHJHJqtZtwlnI/6I0xufbYs3zocKSHjprv3dFb+Hg+&#10;fH3emJf20d+Oc1iMZn+nrb2+ysw9qERL+gvDGV/QoRamfTiyi2qwsMoK2ZIs5Dmos7/JRe/lMEUG&#10;uq70/wX1L1BLAwQUAAAACACHTuJA29fqDhgCAAAYBAAADgAAAGRycy9lMm9Eb2MueG1srVPBbhMx&#10;EL0j8Q+W72STKCnpKpuqNCpCKlCp8AGO15u1WHvM2Mlu+AD4g564cOe78h2MvWkayqUHLpbtGb95&#10;7814ftGZhm0Veg224KPBkDNlJZTargv++dP1qxlnPghbigasKvhOeX6xePli3rpcjaGGplTICMT6&#10;vHUFr0NweZZ5WSsj/ACcshSsAI0IdMR1VqJoCd002Xg4PMtawNIhSOU93S77ID8g4nMAoaq0VEuQ&#10;G6Ns6FFRNSKQJF9r5/kisa0qJcPHqvIqsKbgpDSklYrQfhXXbDEX+RqFq7U8UBDPofBEkxHaUtEj&#10;1FIEwTao/4EyWiJ4qMJAgsl6IckRUjEaPvHmrhZOJS1ktXdH0/3/g5UftrfIdFnw8WzEmRWGWr6/&#10;/7H/+Xv/6zubjZNFrfM5Zd45yg3dG+hocJJc725AfvHMwlUt7FpdIkJbK1ESxVE0Nzt5Gpvicx9B&#10;Vu17KKmS2ARIQF2FJvpHjjBCp/bsju1RXWCSLs9Hk8mQIpJCZ5PJdDxNFUT+8NihD28VGBY3BUfq&#10;fgIX2xsfIhmRP6TEWhauddOkCWjsXxeUGG8S+ci3Zx66VUfZUcQKyh3JQOgHir4TbWrAb5y1NEwF&#10;9183AhVnzTtLViTmNH3pMJm+JlcZnkZWpxFhJUEVPHDWb69CP7Ebh3pdU6XefAuXZF+lk7RHVgfe&#10;NDBJ8WG440SenlPW44de/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XORM1QAAAAkBAAAPAAAA&#10;AAAAAAEAIAAAACIAAABkcnMvZG93bnJldi54bWxQSwECFAAUAAAACACHTuJA29fqDh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支付任何附加费用，而且应按照第76</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款规定向发包人支付由此产生的误期赔偿费。工程进度计划即使经发包人或设计顾问人或监理人确认，也不能免除承包人按照合同约定应承担的任何责任和应履行的任何义务。</w:t>
      </w:r>
    </w:p>
    <w:p>
      <w:pPr>
        <w:pStyle w:val="22"/>
        <w:adjustRightInd w:val="0"/>
        <w:snapToGrid w:val="0"/>
        <w:spacing w:line="360" w:lineRule="auto"/>
        <w:ind w:right="-238"/>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01" w:name="_Toc14464"/>
      <w:bookmarkStart w:id="302" w:name="_Toc31814"/>
      <w:bookmarkStart w:id="303" w:name="_Toc47694315"/>
      <w:r>
        <w:rPr>
          <w:rFonts w:hint="eastAsia" w:ascii="仿宋" w:hAnsi="仿宋" w:eastAsia="仿宋" w:cs="仿宋"/>
          <w:bCs w:val="0"/>
          <w:color w:val="auto"/>
          <w:sz w:val="24"/>
          <w:szCs w:val="24"/>
          <w:highlight w:val="none"/>
        </w:rPr>
        <w:t>41</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开始工作或开工</w:t>
      </w:r>
      <w:bookmarkEnd w:id="301"/>
      <w:bookmarkEnd w:id="302"/>
      <w:bookmarkEnd w:id="303"/>
    </w:p>
    <w:p>
      <w:pPr>
        <w:pStyle w:val="22"/>
        <w:tabs>
          <w:tab w:val="left" w:pos="1320"/>
        </w:tabs>
        <w:adjustRightInd w:val="0"/>
        <w:snapToGrid w:val="0"/>
        <w:spacing w:line="360" w:lineRule="auto"/>
        <w:ind w:right="3"/>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247015</wp:posOffset>
                </wp:positionV>
                <wp:extent cx="800100" cy="539115"/>
                <wp:effectExtent l="0" t="0" r="0" b="0"/>
                <wp:wrapNone/>
                <wp:docPr id="280" name="文本框 821"/>
                <wp:cNvGraphicFramePr/>
                <a:graphic xmlns:a="http://schemas.openxmlformats.org/drawingml/2006/main">
                  <a:graphicData uri="http://schemas.microsoft.com/office/word/2010/wordprocessingShape">
                    <wps:wsp>
                      <wps:cNvSpPr txBox="1">
                        <a:spLocks noChangeArrowheads="1"/>
                      </wps:cNvSpPr>
                      <wps:spPr bwMode="auto">
                        <a:xfrm>
                          <a:off x="0" y="0"/>
                          <a:ext cx="800100" cy="539115"/>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026" o:spt="202" type="#_x0000_t202" style="position:absolute;left:0pt;margin-left:-9pt;margin-top:19.45pt;height:42.45pt;width:63pt;z-index:251904000;mso-width-relative:page;mso-height-relative:page;" filled="f" stroked="f" coordsize="21600,21600" o:gfxdata="UEsDBAoAAAAAAIdO4kAAAAAAAAAAAAAAAAAEAAAAZHJzL1BLAwQUAAAACACHTuJArHXxOtcAAAAK&#10;AQAADwAAAGRycy9kb3ducmV2LnhtbE2PzW7CMBCE75X6DtZW4gZ2oK1CGocDiCtV6Y/Um4mXJGq8&#10;jmJDwtt3c2pvuzuj2W/yzehaccU+NJ40JAsFAqn0tqFKw8f7fp6CCNGQNa0n1HDDAJvi/i43mfUD&#10;veH1GCvBIRQyo6GOscukDGWNzoSF75BYO/vemchrX0nbm4HDXSuXSj1LZxriD7XpcFtj+XO8OA2f&#10;h/P316N6rXbuqRv8qCS5tdR69pCoFxARx/hnhgmf0aFgppO/kA2i1TBPUu4SNazSNYjJoKbDiYfl&#10;KgVZ5PJ/heIXUEsDBBQAAAAIAIdO4kAUyd3/HQIAACYEAAAOAAAAZHJzL2Uyb0RvYy54bWytU81u&#10;EzEQviPxDpbvZLMhgXSVTVUaFSGVH6nwAI7Xm7XY9Zixk93yAPQNOHHhznPlORjbaQjl0gMXy+MZ&#10;fzPf58+L86Fr2U6h02BKno/GnCkjodJmU/JPH6+ezTlzXphKtGBUyW+V4+fLp08WvS3UBBpoK4WM&#10;QIwrelvyxntbZJmTjeqEG4FVhpI1YCc8hbjJKhQ9oXdtNhmPX2Q9YGURpHKOTlcpyQ+I+BhAqGst&#10;1QrktlPGJ1RUrfBEyTXaOr6M09a1kv59XTvlWVtyYurjSk1ovw5rtlyIYoPCNloeRhCPGeEBp05o&#10;Q02PUCvhBdui/geq0xLBQe1HErosEYmKEIt8/ECbm0ZYFbmQ1M4eRXf/D1a+231ApquST+akiREd&#10;Pfn++93+x6/9z29sPsmDRL11BVXeWKr1wysYyDiRrrPXID87ZuCyEWajLhChb5SoaMR4Mzu5mnBc&#10;AFn3b6GiTmLrIQINNXZBP1KEETqNcnt8HjV4JulwPiaJKCMpNXt+luezMFsmivvLFp1/raBjYVNy&#10;pNeP4GJ37XwqvS8JvQxc6baNDmjNXweEmU5UtNDhdqASpk88/LAeDtKsobolUgjJXvS5aNMAfuWs&#10;J2uV3H3ZClSctW8MCXOWT6dEw8dgOns5oQBPM+vTjDCSoEruOUvbS5/8u7WoNw11Sk9h4ILErHUk&#10;GkZNU5FAISD7RKkOVg/+PI1j1Z/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HXxOtcAAAAK&#10;AQAADwAAAAAAAAABACAAAAAiAAAAZHJzL2Rvd25yZXYueG1sUEsBAhQAFAAAAAgAh07iQBTJ3f8d&#10;AgAAJgQAAA4AAAAAAAAAAQAgAAAAJgEAAGRycy9lMm9Eb2MueG1sUEsFBgAAAAAGAAYAWQEAALU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rPr>
        <w:t>41</w:t>
      </w:r>
      <w:r>
        <w:rPr>
          <w:rFonts w:ascii="仿宋" w:hAnsi="仿宋" w:eastAsia="仿宋" w:cs="仿宋"/>
          <w:b/>
          <w:bCs/>
          <w:color w:val="auto"/>
          <w:sz w:val="24"/>
          <w:szCs w:val="24"/>
          <w:highlight w:val="none"/>
          <w:lang w:val="en-US"/>
        </w:rPr>
        <w:t>.1</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41.1.1承包人开始勘察、设计、BIM技术应用、设备及工器具购置等工作前，应当具备法律规定的工程现场作业条件，并按照法律规定获得了开展工作所需的政府部门许可、批准或备案。</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41.1.2工程开工必须具备法律规定的开工条件，并已经领取了施工许可证。发包人代表、设计顾问或监理人代表违反本条约定发出的开始工作指令或开工令无效，由发包人承担相应责任。</w:t>
      </w:r>
    </w:p>
    <w:p>
      <w:pPr>
        <w:pStyle w:val="22"/>
        <w:tabs>
          <w:tab w:val="left" w:pos="1320"/>
        </w:tabs>
        <w:adjustRightInd w:val="0"/>
        <w:snapToGrid w:val="0"/>
        <w:spacing w:line="360" w:lineRule="auto"/>
        <w:ind w:right="3"/>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242570</wp:posOffset>
                </wp:positionV>
                <wp:extent cx="800100" cy="621030"/>
                <wp:effectExtent l="0" t="0" r="0" b="0"/>
                <wp:wrapNone/>
                <wp:docPr id="279" name="文本框 822"/>
                <wp:cNvGraphicFramePr/>
                <a:graphic xmlns:a="http://schemas.openxmlformats.org/drawingml/2006/main">
                  <a:graphicData uri="http://schemas.microsoft.com/office/word/2010/wordprocessingShape">
                    <wps:wsp>
                      <wps:cNvSpPr txBox="1">
                        <a:spLocks noChangeArrowheads="1"/>
                      </wps:cNvSpPr>
                      <wps:spPr bwMode="auto">
                        <a:xfrm>
                          <a:off x="0" y="0"/>
                          <a:ext cx="800100" cy="621030"/>
                        </a:xfrm>
                        <a:prstGeom prst="rect">
                          <a:avLst/>
                        </a:prstGeom>
                        <a:noFill/>
                        <a:ln>
                          <a:noFill/>
                        </a:ln>
                        <a:effectLst/>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026" o:spt="202" type="#_x0000_t202" style="position:absolute;left:0pt;margin-left:-9pt;margin-top:19.1pt;height:48.9pt;width:63pt;z-index:251905024;mso-width-relative:page;mso-height-relative:page;" filled="f" stroked="f" coordsize="21600,21600" o:gfxdata="UEsDBAoAAAAAAIdO4kAAAAAAAAAAAAAAAAAEAAAAZHJzL1BLAwQUAAAACACHTuJAtqnHAdcAAAAK&#10;AQAADwAAAGRycy9kb3ducmV2LnhtbE2PzW7CMBCE75X6DtZW4gZ2oEVpGocDiCtV6Y/U2xIvSdR4&#10;HcWGhLevc2pvuzuj2W/yzWhbcaXeN441JAsFgrh0puFKw8f7fp6C8AHZYOuYNNzIw6a4v8sxM27g&#10;N7oeQyViCPsMNdQhdJmUvqzJol+4jjhqZ9dbDHHtK2l6HGK4beVSqbW02HD8UGNH25rKn+PFavg8&#10;nL+/HtVrtbNP3eBGJdk+S61nD4l6ARFoDH9mmPAjOhSR6eQubLxoNcyTNHYJGlbpEsRkUNPhFIfV&#10;WoEscvm/QvELUEsDBBQAAAAIAIdO4kDGmYTpHgIAACYEAAAOAAAAZHJzL2Uyb0RvYy54bWytU82O&#10;0zAQviPxDpbvNGkou92o6WrZahHS8iMtPIDrOI1F4jFjt0l5AHgDTly481x9DsZOtpTlsgculu0Z&#10;fzPfN58Xl33bsJ1Cp8EUfDpJOVNGQqnNpuAfP9w8m3PmvDClaMCogu+V45fLp08Wnc1VBjU0pUJG&#10;IMblnS147b3Nk8TJWrXCTcAqQ8EKsBWejrhJShQdobdNkqXpWdIBlhZBKufodjUE+YiIjwGEqtJS&#10;rUBuW2X8gIqqEZ4ouVpbx5ex26pS0r+rKqc8awpOTH1cqQjt12FNlguRb1DYWsuxBfGYFh5waoU2&#10;VPQItRJesC3qf6BaLREcVH4ioU0GIlERYjFNH2hzVwurIheS2tmj6O7/wcq3u/fIdFnw7PyCMyNa&#10;Gvnh+7fDj1+Hn1/ZPMuCRJ11OWXeWcr1/UvoyTiRrrO3ID85ZuC6FmajrhChq5UoqcVpeJmcPB1w&#10;XABZd2+gpEpi6yEC9RW2QT9ShBE6jWd/HI/qPZN0OU9JIopICp1l0/R5HF8i8vvHFp1/paBlYVNw&#10;pOlHcLG7dT40I/L7lFDLwI1umuiAxvx1QYnDjYoWGl8HKqH7gYfv1/0ozRrKPZFCGOxFn4s2NeAX&#10;zjqyVsHd561AxVnz2pAwF9PZLHgxHmYvzjM64GlkfRoRRhJUwT1nw/baD/7dWtSbmioNozBwRWJW&#10;OhINrQ5djSMg+0T+o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pxwHXAAAA&#10;CgEAAA8AAAAAAAAAAQAgAAAAIgAAAGRycy9kb3ducmV2LnhtbFBLAQIUABQAAAAIAIdO4kDGmYTp&#10;HgIAACYEAAAOAAAAAAAAAAEAIAAAACYBAABkcnMvZTJvRG9jLnhtbFBLBQYAAAAABgAGAFkBAAC2&#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rPr>
        <w:t>41</w:t>
      </w:r>
      <w:r>
        <w:rPr>
          <w:rFonts w:ascii="仿宋" w:hAnsi="仿宋" w:eastAsia="仿宋" w:cs="仿宋"/>
          <w:b/>
          <w:bCs/>
          <w:color w:val="auto"/>
          <w:sz w:val="24"/>
          <w:szCs w:val="24"/>
          <w:highlight w:val="none"/>
          <w:lang w:val="en-US"/>
        </w:rPr>
        <w:t xml:space="preserve">.2  </w:t>
      </w:r>
      <w:r>
        <w:rPr>
          <w:rFonts w:ascii="仿宋" w:hAnsi="仿宋" w:eastAsia="仿宋" w:cs="仿宋"/>
          <w:b/>
          <w:bCs/>
          <w:color w:val="auto"/>
          <w:sz w:val="24"/>
          <w:szCs w:val="24"/>
          <w:highlight w:val="none"/>
          <w:u w:val="dotted"/>
        </w:rPr>
        <w:t xml:space="preserve">                                                                       </w:t>
      </w:r>
    </w:p>
    <w:p>
      <w:pPr>
        <w:pStyle w:val="22"/>
        <w:adjustRightInd w:val="0"/>
        <w:snapToGrid w:val="0"/>
        <w:spacing w:line="360" w:lineRule="auto"/>
        <w:ind w:left="1850" w:leftChars="771" w:right="3"/>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41.2.1承包人应在具备工程现场作业条件或获得相关许可、批准或备案后的 14天内，向发包人代表、设计顾问人或监理人代表提交开始工作的申请书，并附上表明已做好开始该项工作准备的有关资料。除专用条款另有约定外，发包人代表、设计顾问人或监理人代表应在收到承包人申请后的 7天内报发包人批准后向承包人发出开始工作指令；承包人应在接到开始工作指令后的 7 天内开始工作，并一直保持该项工作连续进行，直至其被改变为止。</w:t>
      </w:r>
    </w:p>
    <w:p>
      <w:pPr>
        <w:pStyle w:val="22"/>
        <w:adjustRightInd w:val="0"/>
        <w:snapToGrid w:val="0"/>
        <w:spacing w:line="360" w:lineRule="auto"/>
        <w:ind w:left="1850" w:leftChars="771" w:right="3"/>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41.2.2 承包人应在本合同工程施工图审查批准或备案后的 28 天内，向发包人代表、设计顾问人代表或监理人代表提交开工申请书，并附上表明已做好开工准备的有关资料。除专用条款另有约定外，发包人代表或监理人代表应在本合同工程施工图审查批准或备案后的 42 天内报发包人批准后向承包人发出开工令；承包人应在接到开工令后的 7 天内开工，并一直保持合同工程连续均衡施工，直至其被改变为止。</w:t>
      </w:r>
    </w:p>
    <w:p>
      <w:pPr>
        <w:pStyle w:val="22"/>
        <w:tabs>
          <w:tab w:val="left" w:pos="1320"/>
        </w:tabs>
        <w:adjustRightInd w:val="0"/>
        <w:snapToGrid w:val="0"/>
        <w:spacing w:line="360" w:lineRule="auto"/>
        <w:ind w:right="3"/>
        <w:rPr>
          <w:rFonts w:ascii="仿宋" w:hAnsi="仿宋" w:eastAsia="仿宋"/>
          <w:b/>
          <w:bCs/>
          <w:color w:val="auto"/>
          <w:sz w:val="24"/>
          <w:szCs w:val="24"/>
          <w:highlight w:val="none"/>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269875</wp:posOffset>
                </wp:positionV>
                <wp:extent cx="914400" cy="851535"/>
                <wp:effectExtent l="0" t="0" r="0" b="0"/>
                <wp:wrapNone/>
                <wp:docPr id="278" name="文本框 823"/>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026" o:spt="202" type="#_x0000_t202" style="position:absolute;left:0pt;margin-left:-9pt;margin-top:21.25pt;height:67.05pt;width:72pt;z-index:251906048;mso-width-relative:page;mso-height-relative:page;" filled="f" stroked="f" coordsize="21600,21600" o:gfxdata="UEsDBAoAAAAAAIdO4kAAAAAAAAAAAAAAAAAEAAAAZHJzL1BLAwQUAAAACACHTuJA5y9juNgAAAAK&#10;AQAADwAAAGRycy9kb3ducmV2LnhtbE2PQU/DMAyF70j8h8hI3Lak1daN0nSHTVxBbAOJW9Z4bUXj&#10;VE22ln+Pd4Kb7ff0/L1iM7lOXHEIrScNyVyBQKq8banWcDy8zNYgQjRkTecJNfxggE15f1eY3PqR&#10;3vG6j7XgEAq50dDE2OdShqpBZ8Lc90isnf3gTOR1qKUdzMjhrpOpUpl0piX+0Jgetw1W3/uL0/Dx&#10;ev76XKi3eueW/egnJck9Sa0fHxL1DCLiFP/McMNndCiZ6eQvZIPoNMySNXeJGhbpEsTNkGZ8OPGw&#10;yjKQZSH/Vyh/AVBLAwQUAAAACACHTuJA6Gub+B0CAAAmBAAADgAAAGRycy9lMm9Eb2MueG1srVPN&#10;bhMxEL4j8Q6W72STNKFhlU1VGhUhlR+p8ACO15u1WHvM2MlueQB4A05cuPNceQ7G3m0I5dIDF8v2&#10;jL+Z75vPy4vONGyv0GuwBZ+MxpwpK6HUdlvwjx+uny0480HYUjRgVcHvlOcXq6dPlq3L1RRqaEqF&#10;jECsz1tX8DoEl2eZl7Uywo/AKUvBCtCIQEfcZiWKltBNk03H4+dZC1g6BKm8p9t1H+QDIj4GEKpK&#10;S7UGuTPKhh4VVSMCUfK1dp6vUrdVpWR4V1VeBdYUnJiGtFIR2m/imq2WIt+icLWWQwviMS084GSE&#10;tlT0CLUWQbAd6n+gjJYIHqowkmCynkhShFhMxg+0ua2FU4kLSe3dUXT//2Dl2/17ZLos+PScBm+F&#10;oZEfvn87/Ph1+PmVLaZnUaLW+Zwybx3lhu4ldGScRNe7G5CfPLNwVQu7VZeI0NZKlNTiJL7MTp72&#10;OD6CbNo3UFIlsQuQgLoKTdSPFGGETuO5O45HdYFJunwxmc3GFJEUWswn87N5qiDy+8cOfXilwLC4&#10;KTjS9BO42N/4EJsR+X1KrGXhWjdNckBj/7qgxP5GJQsNryOV2H3PI3SbbpBmA+UdkULo7UWfizY1&#10;4BfOWrJWwf3nnUDFWfPakjCJB3kxHWbz8ylxwtPI5jQirCSoggfO+u1V6P27c6i3NVXqR2HhksSs&#10;dCIaW+27GkZA9kn8B6tHf56eU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cvY7jYAAAA&#10;CgEAAA8AAAAAAAAAAQAgAAAAIgAAAGRycy9kb3ducmV2LnhtbFBLAQIUABQAAAAIAIdO4kDoa5v4&#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rPr>
        <w:t>41</w:t>
      </w:r>
      <w:r>
        <w:rPr>
          <w:rFonts w:ascii="仿宋" w:hAnsi="仿宋" w:eastAsia="仿宋" w:cs="仿宋"/>
          <w:b/>
          <w:bCs/>
          <w:color w:val="auto"/>
          <w:sz w:val="24"/>
          <w:szCs w:val="24"/>
          <w:highlight w:val="none"/>
          <w:lang w:val="en-US"/>
        </w:rPr>
        <w:t xml:space="preserve">.3  </w:t>
      </w:r>
      <w:r>
        <w:rPr>
          <w:rFonts w:ascii="仿宋" w:hAnsi="仿宋" w:eastAsia="仿宋" w:cs="仿宋"/>
          <w:b/>
          <w:bCs/>
          <w:color w:val="auto"/>
          <w:sz w:val="24"/>
          <w:szCs w:val="24"/>
          <w:highlight w:val="none"/>
          <w:u w:val="dotted"/>
        </w:rPr>
        <w:t xml:space="preserve">                                   </w:t>
      </w:r>
      <w:r>
        <w:rPr>
          <w:rFonts w:hint="eastAsia"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u w:val="dotted"/>
        </w:rPr>
        <w:t xml:space="preserve">                              </w:t>
      </w:r>
    </w:p>
    <w:p>
      <w:pPr>
        <w:pStyle w:val="22"/>
        <w:adjustRightInd w:val="0"/>
        <w:snapToGrid w:val="0"/>
        <w:spacing w:line="360" w:lineRule="auto"/>
        <w:ind w:left="1850" w:leftChars="771" w:right="3"/>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小时内书面予以答复，否则视为同意。承包人没有合理理由而延期开始工作或开工的，由此造成的损失和延误的工期由承包人承担。</w:t>
      </w:r>
    </w:p>
    <w:p>
      <w:pPr>
        <w:pStyle w:val="22"/>
        <w:tabs>
          <w:tab w:val="left" w:pos="1320"/>
        </w:tabs>
        <w:adjustRightInd w:val="0"/>
        <w:snapToGrid w:val="0"/>
        <w:spacing w:line="360" w:lineRule="auto"/>
        <w:ind w:right="3"/>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237490</wp:posOffset>
                </wp:positionV>
                <wp:extent cx="914400" cy="815340"/>
                <wp:effectExtent l="0" t="0" r="0" b="0"/>
                <wp:wrapNone/>
                <wp:docPr id="277"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914400" cy="815340"/>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9pt;margin-top:18.7pt;height:64.2pt;width:72pt;z-index:251907072;mso-width-relative:page;mso-height-relative:page;" filled="f" stroked="f" coordsize="21600,21600" o:gfxdata="UEsDBAoAAAAAAIdO4kAAAAAAAAAAAAAAAAAEAAAAZHJzL1BLAwQUAAAACACHTuJAjdRreNgAAAAK&#10;AQAADwAAAGRycy9kb3ducmV2LnhtbE2PQU/DMAyF70j7D5EncduSjq2U0nQHEFcQY0PiljVeW9E4&#10;VZOt5d/jneBm+z09f6/YTq4TFxxC60lDslQgkCpvW6o17D9eFhmIEA1Z03lCDT8YYFvObgqTWz/S&#10;O152sRYcQiE3GpoY+1zKUDXoTFj6Hom1kx+cibwOtbSDGTncdXKlVCqdaYk/NKbHpwar793ZaTi8&#10;nr4+1+qtfnabfvSTkuQepNa380Q9gog4xT8zXPEZHUpmOvoz2SA6DYsk4y5Rw939GsTVsEr5cOQh&#10;3WQgy0L+r1D+AlBLAwQUAAAACACHTuJAGmEh5x0CAAAmBAAADgAAAGRycy9lMm9Eb2MueG1srVPN&#10;bhMxEL4j8Q6W72STkNKwyqYqjYqQyo9UeADH681a7HrM2MlueAD6Bpy4cOe58hyM7W0I5dIDF8v2&#10;jL+Z75vPi4u+bdhOodNgCj4ZjTlTRkKpzabgnz5eP5tz5rwwpWjAqILvleMXy6dPFp3N1RRqaEqF&#10;jECMyztb8Np7m2eZk7VqhRuBVYaCFWArPB1xk5UoOkJvm2w6Hr/IOsDSIkjlHN2uUpAPiPgYQKgq&#10;LdUK5LZVxidUVI3wRMnV2jq+jN1WlZL+fVU55VlTcGLq40pFaL8Oa7ZciHyDwtZaDi2Ix7TwgFMr&#10;tKGiR6iV8IJtUf8D1WqJ4KDyIwltlohERYjFZPxAm9taWBW5kNTOHkV3/w9Wvtt9QKbLgk/Pzzkz&#10;oqWRH77fHX78Ovz8xubTWZCosy6nzFtLub5/BT0ZJ9J19gbkZ8cMXNXCbNQlInS1EiW1OAkvs5On&#10;CccFkHX3FkqqJLYeIlBfYRv0I0UYodN49sfxqN4zSZcvJ7PZmCKSQvPJ2fNZHF8m8vvHFp1/raBl&#10;YVNwpOlHcLG7cT40I/L7lFDLwLVumuiAxvx1QYnpRkULDa8DldB94uH7dT9Is4ZyT6QQkr3oc9Gm&#10;BvzKWUfWKrj7shWoOGveGBIm8iAvxsPs7HxKnPA0sj6NCCMJquCes7S98sm/W4t6U1OlNAoDlyRm&#10;pSPR0GrqahgB2SfyH6w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3Ua3jYAAAA&#10;CgEAAA8AAAAAAAAAAQAgAAAAIgAAAGRycy9kb3ducmV2LnhtbFBLAQIUABQAAAAIAIdO4kAaYSHn&#10;HQIAACYEAAAOAAAAAAAAAAEAIAAAACcBAABkcnMvZTJvRG9jLnhtbFBLBQYAAAAABgAGAFkBAAC2&#10;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rPr>
        <w:t>41</w:t>
      </w:r>
      <w:r>
        <w:rPr>
          <w:rFonts w:hint="eastAsia" w:ascii="仿宋" w:hAnsi="仿宋" w:eastAsia="仿宋" w:cs="仿宋"/>
          <w:b/>
          <w:bCs/>
          <w:color w:val="auto"/>
          <w:sz w:val="24"/>
          <w:szCs w:val="24"/>
          <w:highlight w:val="none"/>
          <w:lang w:val="en-US"/>
        </w:rPr>
        <w:t xml:space="preserve">.4 </w:t>
      </w:r>
      <w:r>
        <w:rPr>
          <w:rFonts w:ascii="仿宋" w:hAnsi="仿宋" w:eastAsia="仿宋" w:cs="仿宋"/>
          <w:color w:val="auto"/>
          <w:sz w:val="24"/>
          <w:szCs w:val="24"/>
          <w:highlight w:val="none"/>
          <w:lang w:val="en-US"/>
        </w:rPr>
        <w:t xml:space="preserve"> </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pStyle w:val="22"/>
        <w:adjustRightInd w:val="0"/>
        <w:snapToGrid w:val="0"/>
        <w:spacing w:line="360" w:lineRule="auto"/>
        <w:ind w:left="1850" w:leftChars="771" w:right="3"/>
        <w:rPr>
          <w:rFonts w:ascii="仿宋" w:hAnsi="仿宋" w:eastAsia="仿宋"/>
          <w:color w:val="auto"/>
          <w:sz w:val="24"/>
          <w:szCs w:val="24"/>
          <w:highlight w:val="none"/>
        </w:rPr>
      </w:pPr>
      <w:r>
        <w:rPr>
          <w:rFonts w:hint="eastAsia" w:ascii="仿宋" w:hAnsi="仿宋" w:eastAsia="仿宋" w:cs="仿宋"/>
          <w:color w:val="auto"/>
          <w:sz w:val="24"/>
          <w:szCs w:val="24"/>
          <w:highlight w:val="none"/>
        </w:rPr>
        <w:t>因发包人的原因不能在第41</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款规定的时间内发出开始工作指令或开工令的，发包人或监理人应至少提前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天通知承包人推迟开工的，由此造成损失的扩大由发包人承担。</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04" w:name="_Toc47694316"/>
      <w:bookmarkStart w:id="305" w:name="_Toc22427"/>
      <w:bookmarkStart w:id="306" w:name="_Toc9149"/>
      <w:r>
        <w:rPr>
          <w:rFonts w:hint="eastAsia" w:ascii="仿宋" w:hAnsi="仿宋" w:eastAsia="仿宋" w:cs="仿宋"/>
          <w:bCs w:val="0"/>
          <w:color w:val="auto"/>
          <w:sz w:val="24"/>
          <w:szCs w:val="24"/>
          <w:highlight w:val="none"/>
        </w:rPr>
        <w:t>42</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暂停工作、暂停施工和复工</w:t>
      </w:r>
      <w:bookmarkEnd w:id="304"/>
      <w:bookmarkEnd w:id="305"/>
      <w:bookmarkEnd w:id="306"/>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276" name="文本框 825"/>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026" o:spt="202" type="#_x0000_t202" style="position:absolute;left:0pt;margin-left:-9pt;margin-top:20.6pt;height:39.15pt;width:72pt;z-index:251908096;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BNpQyzFwIAABgEAAAOAAAAZHJzL2Uyb0RvYy54bWytU0tu&#10;2zAQ3RfoHQjua8mG8xMsB2mMFAXSD5D0ADRFWURFDjukLbkHaG/QVTfd91w+R4aU47rpJotuBJIz&#10;fPPe49Pssjct2yj0GmzJx6OcM2UlVNquSv7p/ubVOWc+CFuJFqwq+VZ5fjl/+WLWuUJNoIG2UsgI&#10;xPqicyVvQnBFlnnZKCP8CJyyVKwBjQi0xVVWoegI3bTZJM9Psw6wcghSeU+ni6HI94j4HECoay3V&#10;AuTaKBsGVFStCCTJN9p5Pk9s61rJ8KGuvQqsLTkpDelLQ2i9jN9sPhPFCoVrtNxTEM+h8ESTEdrS&#10;0APUQgTB1qj/gTJaIniow0iCyQYhyRFSMc6feHPXCKeSFrLau4Pp/v/Byvebj8h0VfLJ2SlnVhh6&#10;8t2P77ufv3e/vrHzyUm0qHO+oM47R72hfw09BSfJ9e4W5GfPLFw3wq7UFSJ0jRIVURzHm9nR1QHH&#10;R5Bl9w4qmiTWARJQX6OJ/pEjjNDpebaH51F9YJIOL8bTaU4VSaXpxdkkT9wyUTxedujDGwWGxUXJ&#10;kV4/gYvNrQ+RjCgeW+IsCze6bVMCWvvXATXGk0Q+8h2Yh37Z781YQrUlGQhDoOh3okUD+JWzjsJU&#10;cv9lLVBx1r61ZEViTulLm+kJUecMjyvL44qwkqBKHjgbltdhSOzaoV41NGkw38IV2VfrJC36PLDa&#10;86bAJMX7cMdEHu9T158fev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VN6NcAAAAKAQAADwAA&#10;AAAAAAABACAAAAAiAAAAZHJzL2Rvd25yZXYueG1sUEsBAhQAFAAAAAgAh07iQE2lDLMXAgAAGA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rPr>
        <w:t>42</w:t>
      </w:r>
      <w:r>
        <w:rPr>
          <w:rFonts w:ascii="仿宋" w:hAnsi="仿宋" w:eastAsia="仿宋" w:cs="仿宋"/>
          <w:b/>
          <w:bCs/>
          <w:color w:val="auto"/>
          <w:sz w:val="24"/>
          <w:szCs w:val="24"/>
          <w:highlight w:val="none"/>
          <w:lang w:val="en-US"/>
        </w:rPr>
        <w:t>.1</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小时内予以答复；逾期未答复的，视为承包人的暂停施工报告被认可。</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765760" behindDoc="0" locked="0" layoutInCell="1" allowOverlap="1">
                <wp:simplePos x="0" y="0"/>
                <wp:positionH relativeFrom="column">
                  <wp:posOffset>-53975</wp:posOffset>
                </wp:positionH>
                <wp:positionV relativeFrom="paragraph">
                  <wp:posOffset>85725</wp:posOffset>
                </wp:positionV>
                <wp:extent cx="914400" cy="497205"/>
                <wp:effectExtent l="0" t="0" r="0" b="0"/>
                <wp:wrapNone/>
                <wp:docPr id="275"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4.25pt;margin-top:6.75pt;height:39.15pt;width:72pt;z-index:251765760;mso-width-relative:page;mso-height-relative:page;" filled="f" stroked="f" coordsize="21600,21600" o:gfxdata="UEsDBAoAAAAAAIdO4kAAAAAAAAAAAAAAAAAEAAAAZHJzL1BLAwQUAAAACACHTuJAB+vViNUAAAAI&#10;AQAADwAAAGRycy9kb3ducmV2LnhtbE2Py27CMBBF95X6D9ZUYgd2oKlCiMOCqluq0ofUnYmHJCIe&#10;R7Eh6d93WLWredyrO2eK7eQ6ccUhtJ40JAsFAqnytqVaw8f7yzwDEaIhazpPqOEHA2zL+7vC5NaP&#10;9IbXQ6wFh1DIjYYmxj6XMlQNOhMWvkdi7eQHZyKPQy3tYEYOd51cKvUknWmJLzSmx12D1flwcRo+&#10;96fvr0f1Wj+7tB/9pCS5tdR69pCoDYiIU/wzww2f0aFkpqO/kA2i0zDPUnbyfsX1pq9Sbo4a1kkG&#10;sizk/wfKX1BLAwQUAAAACACHTuJAPRy4txcCAAAYBAAADgAAAGRycy9lMm9Eb2MueG1srVPLjtMw&#10;FN0j8Q+W9zRp1c4jajoaphqENDykgQ9wHaexiH3NtdukfAD8ASs27PmufgfXTqeUYTMLNpHte33u&#10;Occn86vetGyr0GuwJR+Pcs6UlVBpuy75xw+3Ly4480HYSrRgVcl3yvOrxfNn884VagINtJVCRiDW&#10;F50reROCK7LMy0YZ4UfglKViDWhEoC2uswpFR+imzSZ5fpZ1gJVDkMp7Ol0ORX5AxKcAQl1rqZYg&#10;N0bZMKCiakUgSb7RzvNFYlvXSoZ3de1VYG3JSWlIXxpC61X8Zou5KNYoXKPlgYJ4CoVHmozQloYe&#10;oZYiCLZB/Q+U0RLBQx1GEkw2CEmOkIpx/sib+0Y4lbSQ1d4dTff/D1a+3b5HpquST85nnFlh6Mn3&#10;37/tf/za//zKLiZn0aLO+YI67x31hv4l9BScJNe7O5CfPLNw0wi7VteI0DVKVERxHG9mJ1cHHB9B&#10;Vt0bqGiS2ARIQH2NJvpHjjBCp+fZHZ9H9YFJOrwcT6c5VSSVppfnk3yWJoji4bJDH14pMCwuSo70&#10;+glcbO98iGRE8dASZ1m41W2bEtDavw6oMZ4k8pHvwDz0q/5gxgqqHclAGAJFvxMtGsAvnHUUppL7&#10;zxuBirP2tSUrEnNKX9pMZ0SdMzytrE4rwkqCKnngbFjehCGxG4d63dCkwXwL12RfrZO06PPA6sCb&#10;ApMUH8IdE3m6T11/fuj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r1YjVAAAACAEAAA8AAAAA&#10;AAAAAQAgAAAAIgAAAGRycy9kb3ducmV2LnhtbFBLAQIUABQAAAAIAIdO4kA9HLi3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rPr>
        <w:t>承包人实施发包人、设计顾问人或监理人的处理意见后，可向发包人、设计顾问人或监理人提交复工报审表要求复工；发包人、设计顾问人或监理人应在收到复工报审表后的 48 小时内予以答复。具备继续工作条件或复工条件时，发包人、设计顾问人或监理人应立即向承包人发出复工令，承包人应立即组织复工。发包人、设计顾问人或监理人在收到复工报审表后的 48 小时内未答复也未提出处理意见的，承包人可自行复工，发包人、设计顾问人或监理人应予认可。</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b/>
          <w:bCs/>
          <w:color w:val="auto"/>
          <w:sz w:val="24"/>
          <w:szCs w:val="24"/>
          <w:highlight w:val="none"/>
          <w:lang w:val="en-US"/>
        </w:rPr>
        <mc:AlternateContent>
          <mc:Choice Requires="wps">
            <w:drawing>
              <wp:anchor distT="0" distB="0" distL="114300" distR="114300" simplePos="0" relativeHeight="251909120" behindDoc="0" locked="0" layoutInCell="1" allowOverlap="1">
                <wp:simplePos x="0" y="0"/>
                <wp:positionH relativeFrom="column">
                  <wp:posOffset>41910</wp:posOffset>
                </wp:positionH>
                <wp:positionV relativeFrom="paragraph">
                  <wp:posOffset>121285</wp:posOffset>
                </wp:positionV>
                <wp:extent cx="914400" cy="792480"/>
                <wp:effectExtent l="0" t="0" r="0" b="0"/>
                <wp:wrapNone/>
                <wp:docPr id="274"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026" o:spt="202" type="#_x0000_t202" style="position:absolute;left:0pt;margin-left:3.3pt;margin-top:9.55pt;height:62.4pt;width:72pt;z-index:251909120;mso-width-relative:page;mso-height-relative:page;" filled="f" stroked="f" coordsize="21600,21600" o:gfxdata="UEsDBAoAAAAAAIdO4kAAAAAAAAAAAAAAAAAEAAAAZHJzL1BLAwQUAAAACACHTuJAj/MultUAAAAI&#10;AQAADwAAAGRycy9kb3ducmV2LnhtbE2PzU7DMBCE70h9B2uRuFE70EYkjdNDEVcQ/UHqzY23SUS8&#10;jmK3CW/P9gS33ZnR7LfFenKduOIQWk8akrkCgVR521KtYb97e3wBEaIhazpPqOEHA6zL2V1hcutH&#10;+sTrNtaCSyjkRkMTY59LGaoGnQlz3yOxd/aDM5HXoZZ2MCOXu04+KZVKZ1riC43pcdNg9b29OA2H&#10;9/Pxa6E+6le37Ec/KUkuk1o/3CdqBSLiFP/CcMNndCiZ6eQvZIPoNKQpB1nOEhA3e6lYOPGweM5A&#10;loX8/0D5C1BLAwQUAAAACACHTuJAoRYqrhgCAAAYBAAADgAAAGRycy9lMm9Eb2MueG1srVNLjhMx&#10;EN0jcQfLe9JJK5BMK53RMNEgpOEjDRzAcbvTFm2XKTvpDgeAG7Biw55z5RyU3ZkQhs0s2Fi2q/zq&#10;vVflxWVvWrZT6DXYkk9GY86UlVBpuyn5xw83z+ac+SBsJVqwquR75fnl8umTRecKlUMDbaWQEYj1&#10;RedK3oTgiizzslFG+BE4ZSlYAxoR6IibrELREbpps3w8fpF1gJVDkMp7ul0NQX5ExMcAQl1rqVYg&#10;t0bZMKCiakUgSb7RzvNlYlvXSoZ3de1VYG3JSWlIKxWh/Tqu2XIhig0K12h5pCAeQ+GBJiO0paIn&#10;qJUIgm1R/wNltETwUIeRBJMNQpIjpGIyfuDNXSOcSlrIau9Opvv/Byvf7t4j01XJ89mUMysMtfzw&#10;/dvhx6/Dz69sns+iRZ3zBWXeOcoN/UvoaXCSXO9uQX7yzMJ1I+xGXSFC1yhREcVJfJmdPR1wfARZ&#10;d2+gokpiGyAB9TWa6B85wgid2rM/tUf1gUm6vJhMp2OKSArNLvLpPLUvE8X9Y4c+vFJgWNyUHKn7&#10;CVzsbn2IZERxnxJrWbjRbZsmoLV/XVBivEnkI9+BeejX/dGMNVR7koEwDBR9J9o0gF8462iYSu4/&#10;bwUqztrXlqxIzGn60mH6fJaTCjyPrM8jwkqCKnngbNheh2Fitw71pqFKg/kWrsi+Widp0eeB1ZE3&#10;DUxSfBzuOJHn55T150M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8y6W1QAAAAgBAAAPAAAA&#10;AAAAAAEAIAAAACIAAABkcnMvZG93bnJldi54bWxQSwECFAAUAAAACACHTuJAoRYqrhgCAAAYBAAA&#10;DgAAAAAAAAABACAAAAAkAQAAZHJzL2Uyb0RvYy54bWxQSwUGAAAAAAYABgBZAQAArgU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rPr>
        <w:t>42.3.1 非承包人的原因造成某项工作暂停，承包人可尽快向发包人、设计顾问人或监理人提交复工报审表要求复工；发包人、设计顾问人或监理人应在收到复工报审表后的 14 天内准许复工。如果在上述期限内发包人、设计顾问人或监理人未予准许，则承包人可以作如下选择：</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（1）如果此项工作暂停仅影响合同工程的一部分时，则根据第 63.2 款约定及时提出工程变更或工作变更，取消该部分工程或后续工作，并书面通知发包人，抄送设计顾问人、监理人和造价咨询人；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（2）如果此项工作暂停影响整个合同工程时，则根据第 92.4 款约定解除合同。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因承包人的原因引起某项工作暂停，承包人收到发包人、设计顾问人或监理人的复工指令后 14 天内未采取有效的复工措施，造成工期延误的，发包人可根据第92.3 款约定解除合同。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42.3.2 非承包人的原因造成暂停施工持续 56 天以上时，承包人可向设计顾问人或监理人提交复工报审表要求复工；设计顾问人或监理人应在收到复工报审表后的 28 天内准许复工。如果在上述期限内设计顾问人、监理人未予准许，则承包人可以作如下选择：</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（1）如果此项停工仅影响合同工程的一部分时，则根据第 6</w:t>
      </w:r>
      <w:r>
        <w:rPr>
          <w:rFonts w:hint="eastAsia" w:ascii="仿宋" w:hAnsi="仿宋" w:eastAsia="仿宋" w:cs="仿宋"/>
          <w:color w:val="auto"/>
          <w:sz w:val="24"/>
          <w:szCs w:val="24"/>
          <w:highlight w:val="none"/>
          <w:lang w:val="en-US"/>
        </w:rPr>
        <w:t>3</w:t>
      </w:r>
      <w:r>
        <w:rPr>
          <w:rFonts w:hint="eastAsia" w:ascii="仿宋" w:hAnsi="仿宋" w:eastAsia="仿宋" w:cs="仿宋"/>
          <w:color w:val="auto"/>
          <w:sz w:val="24"/>
          <w:szCs w:val="24"/>
          <w:highlight w:val="none"/>
        </w:rPr>
        <w:t xml:space="preserve">.2 款约定及时提出工程变更，取消该部分工程，并书面通知发包人，抄送设计顾问人、监理人和造价咨询人；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（2）如果此项停工影响整个合同工程时，则根据第 92.4 款约定解除合同。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因承包人的原因引起暂停施工持续 56 天以上，承包人不采取有效的复工措施，造成工期延误的，发包人可根据第 92.3 款约定解除合同。</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firstLine="2"/>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273" name="文本框 828"/>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026" o:spt="202" type="#_x0000_t202" style="position:absolute;left:0pt;margin-left:-9pt;margin-top:0.05pt;height:62.4pt;width:72pt;z-index:25176678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AGoKuwGAIAABgEAAAOAAAAZHJzL2Uyb0RvYy54bWytU81uEzEQ&#10;viPxDpbvZJMl0HSVTVUaFSGVH6nwAI7Xm7VYe8zYyW54APoGnLhw57nyHIy9aQjl0gMXy/aMv/m+&#10;b8bzi960bKvQa7Aln4zGnCkrodJ2XfJPH6+fzTjzQdhKtGBVyXfK84vF0yfzzhUqhwbaSiEjEOuL&#10;zpW8CcEVWeZlo4zwI3DKUrAGNCLQEddZhaIjdNNm+Xj8MusAK4cglfd0uxyC/ICIjwGEutZSLUFu&#10;jLJhQEXVikCSfKOd54vEtq6VDO/r2qvA2pKT0pBWKkL7VVyzxVwUaxSu0fJAQTyGwgNNRmhLRY9Q&#10;SxEE26D+B8poieChDiMJJhuEJEdIxWT8wJvbRjiVtJDV3h1N9/8PVr7bfkCmq5LnZ885s8JQy/ff&#10;7/Y/fu1/fmOzfBYt6pwvKPPWUW7oX0FPg5PkencD8rNnFq4aYdfqEhG6RomKKE7iy+zk6YDjI8iq&#10;ewsVVRKbAAmor9FE/8gRRujUnt2xPaoPTNLl+WQ6HVNEUujsPJ/OUvsyUdw/dujDawWGxU3Jkbqf&#10;wMX2xodIRhT3KbGWhWvdtmkCWvvXBSXGm0Q+8h2Yh37VH8xYQbUjGQjDQNF3ok0D+JWzjoap5P7L&#10;RqDirH1jyYrEnKYvHaYvznJSgaeR1WlEWElQJQ+cDdurMEzsxqFeN1RpMN/CJdlX6yQt+jywOvCm&#10;gUmKD8MdJ/L0nLL+fOj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3ah0vUAAAACAEAAA8AAAAA&#10;AAAAAQAgAAAAIgAAAGRycy9kb3ducmV2LnhtbFBLAQIUABQAAAAIAIdO4kAGoKuwGAIAABgEAAAO&#10;AAAAAAAAAAEAIAAAACMBAABkcnMvZTJvRG9jLnhtbFBLBQYAAAAABgAGAFkBAACtBQ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rPr>
        <w:t>因发包人的原因造成暂停工作、暂停施工且引起工期延误的，承包人有权要求发包人增加由此发生的费用和（或）顺延工期，并支付合理利润。</w:t>
      </w:r>
    </w:p>
    <w:p>
      <w:pPr>
        <w:pStyle w:val="22"/>
        <w:adjustRightInd w:val="0"/>
        <w:snapToGrid w:val="0"/>
        <w:spacing w:line="360" w:lineRule="auto"/>
        <w:ind w:left="1850"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因承包人下列原因造成的暂停工作或暂停施工，增加的费用和（或）延误的工期由承包人承担：</w:t>
      </w:r>
    </w:p>
    <w:p>
      <w:pPr>
        <w:pStyle w:val="22"/>
        <w:adjustRightInd w:val="0"/>
        <w:snapToGrid w:val="0"/>
        <w:spacing w:line="360" w:lineRule="auto"/>
        <w:ind w:left="1850"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（1）工作失误或违约造成的；</w:t>
      </w:r>
    </w:p>
    <w:p>
      <w:pPr>
        <w:pStyle w:val="22"/>
        <w:adjustRightInd w:val="0"/>
        <w:snapToGrid w:val="0"/>
        <w:spacing w:line="360" w:lineRule="auto"/>
        <w:ind w:left="1850"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（2）为合同工程合理施工和安全保障所必需的；</w:t>
      </w:r>
    </w:p>
    <w:p>
      <w:pPr>
        <w:pStyle w:val="22"/>
        <w:adjustRightInd w:val="0"/>
        <w:snapToGrid w:val="0"/>
        <w:spacing w:line="360" w:lineRule="auto"/>
        <w:ind w:left="1850"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（3）施工现场气候条件（除不可抗力停工外）导致的；</w:t>
      </w:r>
    </w:p>
    <w:p>
      <w:pPr>
        <w:pStyle w:val="22"/>
        <w:adjustRightInd w:val="0"/>
        <w:snapToGrid w:val="0"/>
        <w:spacing w:line="360" w:lineRule="auto"/>
        <w:ind w:left="1850"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（4）擅自停工的；</w:t>
      </w:r>
    </w:p>
    <w:p>
      <w:pPr>
        <w:pStyle w:val="22"/>
        <w:adjustRightInd w:val="0"/>
        <w:snapToGrid w:val="0"/>
        <w:spacing w:line="360" w:lineRule="auto"/>
        <w:ind w:left="1850"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（5）专用条款约定的其他原因。</w:t>
      </w:r>
    </w:p>
    <w:p>
      <w:pPr>
        <w:pStyle w:val="22"/>
        <w:adjustRightInd w:val="0"/>
        <w:snapToGrid w:val="0"/>
        <w:spacing w:line="360" w:lineRule="auto"/>
        <w:ind w:left="1850" w:leftChars="771" w:firstLine="2"/>
        <w:rPr>
          <w:rFonts w:ascii="仿宋" w:hAnsi="仿宋" w:eastAsia="仿宋"/>
          <w:color w:val="auto"/>
          <w:sz w:val="24"/>
          <w:szCs w:val="24"/>
          <w:highlight w:val="none"/>
        </w:rPr>
      </w:pPr>
      <w:r>
        <w:rPr>
          <w:rFonts w:hint="eastAsia" w:ascii="仿宋" w:hAnsi="仿宋" w:eastAsia="仿宋" w:cs="仿宋"/>
          <w:color w:val="auto"/>
          <w:sz w:val="24"/>
          <w:szCs w:val="24"/>
          <w:highlight w:val="none"/>
        </w:rPr>
        <w:t>因不可抗力因素造成暂停施工的，按照第</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5条规定处理。</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lang w:val="en-US"/>
        </w:rPr>
      </w:pPr>
      <w:r>
        <w:rPr>
          <w:color w:val="auto"/>
          <w:highlight w:val="none"/>
          <w:lang w:val="en-US"/>
        </w:rPr>
        <mc:AlternateContent>
          <mc:Choice Requires="wps">
            <w:drawing>
              <wp:anchor distT="0" distB="0" distL="114300" distR="114300" simplePos="0" relativeHeight="251767808" behindDoc="0" locked="0" layoutInCell="1" allowOverlap="1">
                <wp:simplePos x="0" y="0"/>
                <wp:positionH relativeFrom="column">
                  <wp:posOffset>-66675</wp:posOffset>
                </wp:positionH>
                <wp:positionV relativeFrom="paragraph">
                  <wp:posOffset>6350</wp:posOffset>
                </wp:positionV>
                <wp:extent cx="914400" cy="1028700"/>
                <wp:effectExtent l="0" t="0" r="0" b="0"/>
                <wp:wrapNone/>
                <wp:docPr id="272" name="文本框 829"/>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noFill/>
                        <a:ln>
                          <a:noFill/>
                        </a:ln>
                        <a:effectLst/>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发包人不按规定支付服务费或工程款造成暂停工作或暂停施工的责任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026" o:spt="202" type="#_x0000_t202" style="position:absolute;left:0pt;margin-left:-5.25pt;margin-top:0.5pt;height:81pt;width:72pt;z-index:251767808;mso-width-relative:page;mso-height-relative:page;" filled="f" stroked="f" coordsize="21600,21600" o:gfxdata="UEsDBAoAAAAAAIdO4kAAAAAAAAAAAAAAAAAEAAAAZHJzL1BLAwQUAAAACACHTuJAwRjWbNQAAAAJ&#10;AQAADwAAAGRycy9kb3ducmV2LnhtbE2PwU7DMBBE70j8g7VI3Np1CK0gxOkBxBVEC0jc3HibRMTr&#10;KHab8PdsT3Db0RvNzpSb2ffqRGPsAhvIlhoUcR1cx42B993z4g5UTJad7QOTgR+KsKkuL0pbuDDx&#10;G522qVESwrGwBtqUhgIx1i15G5dhIBZ2CKO3SeTYoBvtJOG+xxut1+htx/KhtQM9tlR/b4/ewMfL&#10;4evzVr82T341TGHWyP4ejbm+yvQDqERz+jPDub5Uh0o67cORXVS9gUWmV2IVIJPOPM9F7+VY5xqw&#10;KvH/guoXUEsDBBQAAAAIAIdO4kAibjc1HAIAACcEAAAOAAAAZHJzL2Uyb0RvYy54bWytU81uEzEQ&#10;viPxDpbvZDerQNJVNlVpVIRUoFLhARyvN2ux6zFjJ7vhAeANeuLCnefKc3TsTdNQLj1wsez5+Wa+&#10;b8bz875t2Fah02AKPh6lnCkjodRmXfAvn69ezThzXphSNGBUwXfK8fPFyxfzzuYqgxqaUiEjEOPy&#10;zha89t7mSeJkrVrhRmCVIWcF2ApPT1wnJYqO0NsmydL0TdIBlhZBKufIuhyc/ICIzwGEqtJSLUFu&#10;WmX8gIqqEZ4ouVpbxxex26pS0n+qKqc8awpOTH08qQjdV+FMFnORr1HYWstDC+I5LTzh1AptqOgR&#10;aim8YBvU/0C1WiI4qPxIQpsMRKIixGKcPtHmthZWRS4ktbNH0d3/g5UftzfIdFnwbJpxZkRLI9/f&#10;/dz/+rP//YPNsrMgUWddTpG3lmJ9/xZ6WpxI19lrkF8dM3BZC7NWF4jQ1UqU1OI4ZCYnqQOOCyCr&#10;7gOUVElsPESgvsI26EeKMEKn8eyO41G9Z5KMZ+PJJCWPJNc4zWZTeoQSIn/Ituj8OwUtC5eCI40/&#10;oovttfND6ENIKGbgSjcN2UXemL8MhDlYVNyhQ3bgEtofiPh+1VNuMK6g3BErhGG/6HfRpQb8zllH&#10;u1Vw920jUHHWvDekTCRCyxgfk9fTjEjhqWd16hFGElTBPWfD9dIPC7yxqNc1VRpmYeCC1Kx0JPrY&#10;1WEGtD9RqsOuhwU9fceox/+9u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GNZs1AAAAAkBAAAP&#10;AAAAAAAAAAEAIAAAACIAAABkcnMvZG93bnJldi54bWxQSwECFAAUAAAACACHTuJAIm43NRwCAAAn&#10;BAAADgAAAAAAAAABACAAAAAjAQAAZHJzL2Uyb0RvYy54bWxQSwUGAAAAAAYABgBZAQAAsQU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发包人不按规定支付服务费或工程款造成暂停工作或暂停施工的责任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款规定的应付利息在内的所欠全部款项。由此造成的暂停工作或施工，视为是因发包人的原因引起的，并按照第42</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款规定处理。</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635</wp:posOffset>
                </wp:positionV>
                <wp:extent cx="914400" cy="583565"/>
                <wp:effectExtent l="0" t="0" r="0" b="0"/>
                <wp:wrapNone/>
                <wp:docPr id="271" name="文本框 830"/>
                <wp:cNvGraphicFramePr/>
                <a:graphic xmlns:a="http://schemas.openxmlformats.org/drawingml/2006/main">
                  <a:graphicData uri="http://schemas.microsoft.com/office/word/2010/wordprocessingShape">
                    <wps:wsp>
                      <wps:cNvSpPr txBox="1">
                        <a:spLocks noChangeArrowheads="1"/>
                      </wps:cNvSpPr>
                      <wps:spPr bwMode="auto">
                        <a:xfrm>
                          <a:off x="0" y="0"/>
                          <a:ext cx="914400" cy="583565"/>
                        </a:xfrm>
                        <a:prstGeom prst="rect">
                          <a:avLst/>
                        </a:prstGeom>
                        <a:noFill/>
                        <a:ln>
                          <a:noFill/>
                        </a:ln>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026" o:spt="202" type="#_x0000_t202" style="position:absolute;left:0pt;margin-left:-9pt;margin-top:0.05pt;height:45.95pt;width:72pt;z-index:251768832;mso-width-relative:page;mso-height-relative:page;" filled="f" stroked="f" coordsize="21600,21600" o:gfxdata="UEsDBAoAAAAAAIdO4kAAAAAAAAAAAAAAAAAEAAAAZHJzL1BLAwQUAAAACACHTuJAi8MiX9MAAAAH&#10;AQAADwAAAGRycy9kb3ducmV2LnhtbE2PwW7CMBBE75X4B2uRegM7UYsgjcOBqtdWpYDUm4mXJCJe&#10;R7Eh6d93c2qPo7eaeZtvR9eKO/ah8aQhWSoQSKW3DVUaDl9vizWIEA1Z03pCDT8YYFvMHnKTWT/Q&#10;J973sRJcQiEzGuoYu0zKUNboTFj6DonZxffORI59JW1vBi53rUyVWklnGuKF2nS4q7G87m9Ow/H9&#10;8n16Uh/Vq3vuBj8qSW4jtX6cJ+oFRMQx/h3DpM/qULDT2d/IBtFqWCRr/iVOQEw4XXE8a9ikCmSR&#10;y//+xS9QSwMEFAAAAAgAh07iQF3QQmEZAgAAGAQAAA4AAABkcnMvZTJvRG9jLnhtbK1TzW4TMRC+&#10;I/EOlu9kkzRpwyqbqjQqQio/UuEBHK83a7H2mLGT3fAA8AacuHDnufIcjL1pGsqlBy6W7Rl/833f&#10;jOeXnWnYVqHXYAs+Ggw5U1ZCqe264J8+3ryYceaDsKVowKqC75Tnl4vnz+aty9UYamhKhYxArM9b&#10;V/A6BJdnmZe1MsIPwClLwQrQiEBHXGclipbQTZONh8PzrAUsHYJU3tPtsg/yAyI+BRCqSku1BLkx&#10;yoYeFVUjAknytXaeLxLbqlIyvK8qrwJrCk5KQ1qpCO1Xcc0Wc5GvUbhaywMF8RQKjzQZoS0VPUIt&#10;RRBsg/ofKKMlgocqDCSYrBeSHCEVo+Ejb+5q4VTSQlZ7dzTd/z9Y+W77AZkuCz6+GHFmhaGW7398&#10;3//8vf/1jc3OkkWt8zll3jnKDd0r6GhwklzvbkF+9szCdS3sWl0hQlsrURLFUTQ3O3kam+JzH0FW&#10;7VsoqZLYBEhAXYUm+keOMEKn9uyO7VFdYJIuX44mkyFFJIWms7Pp+TRVEPn9Y4c+vFZgWNwUHKn7&#10;CVxsb32IZER+nxJrWbjRTZMmoLF/XVBivEnkI9+eeehWHWVHESsodyQDoR8o+k60qQG/ctbSMBXc&#10;f9kIVJw1byxZkZjT9KXDZHoxJhV4GlmdRoSVBFXwwFm/vQ79xG4c6nVNlXrzLVyRfZVO0h5YHXjT&#10;wCTFh+GOE3l6TlkPH3r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DIl/TAAAABwEAAA8AAAAA&#10;AAAAAQAgAAAAIgAAAGRycy9kb3ducmV2LnhtbFBLAQIUABQAAAAIAIdO4kBd0EJhGQIAABgEAAAO&#10;AAAAAAAAAAEAIAAAACIBAABkcnMvZTJvRG9jLnhtbFBLBQYAAAAABgAGAFkBAACtBQ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rPr>
        <w:t>暂停工作或施工结束后，承包人和监理人、设计顾问人应对受暂停工作或施工影响的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款规定处理。</w:t>
      </w:r>
    </w:p>
    <w:p>
      <w:pPr>
        <w:spacing w:line="360" w:lineRule="auto"/>
        <w:rPr>
          <w:rFonts w:ascii="仿宋" w:hAnsi="仿宋" w:eastAsia="仿宋"/>
          <w:color w:val="auto"/>
          <w:highlight w:val="none"/>
          <w:u w:val="single"/>
          <w:lang w:eastAsia="zh-CN"/>
        </w:rPr>
      </w:pPr>
      <w:r>
        <w:rPr>
          <w:rFonts w:ascii="仿宋" w:hAnsi="仿宋" w:eastAsia="仿宋"/>
          <w:color w:val="auto"/>
          <w:highlight w:val="none"/>
          <w:u w:val="single"/>
          <w:lang w:eastAsia="zh-CN"/>
        </w:rPr>
        <w:t></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07" w:name="_Toc47694317"/>
      <w:bookmarkStart w:id="308" w:name="_Toc1799"/>
      <w:bookmarkStart w:id="309" w:name="_Toc17375"/>
      <w:r>
        <w:rPr>
          <w:rFonts w:hint="eastAsia" w:ascii="仿宋" w:hAnsi="仿宋" w:eastAsia="仿宋" w:cs="仿宋"/>
          <w:bCs w:val="0"/>
          <w:color w:val="auto"/>
          <w:sz w:val="24"/>
          <w:szCs w:val="24"/>
          <w:highlight w:val="none"/>
        </w:rPr>
        <w:t>43</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工期和工期延误</w:t>
      </w:r>
      <w:bookmarkEnd w:id="307"/>
      <w:bookmarkEnd w:id="308"/>
      <w:bookmarkEnd w:id="309"/>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lang w:val="en-US"/>
        </w:rPr>
        <w:t>4</w:t>
      </w:r>
      <w:r>
        <w:rPr>
          <w:rFonts w:hint="eastAsia" w:ascii="仿宋" w:hAnsi="仿宋" w:eastAsia="仿宋" w:cs="仿宋"/>
          <w:b/>
          <w:bCs/>
          <w:color w:val="auto"/>
          <w:sz w:val="24"/>
          <w:szCs w:val="24"/>
          <w:highlight w:val="none"/>
        </w:rPr>
        <w:t>3</w:t>
      </w:r>
      <w:r>
        <w:rPr>
          <w:rFonts w:ascii="仿宋" w:hAnsi="仿宋" w:eastAsia="仿宋" w:cs="仿宋"/>
          <w:b/>
          <w:bCs/>
          <w:color w:val="auto"/>
          <w:sz w:val="24"/>
          <w:szCs w:val="24"/>
          <w:highlight w:val="none"/>
          <w:lang w:val="en-US"/>
        </w:rPr>
        <w:t>.1</w:t>
      </w:r>
    </w:p>
    <w:p>
      <w:pPr>
        <w:spacing w:line="360" w:lineRule="auto"/>
        <w:ind w:left="1850" w:leftChars="771"/>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29210</wp:posOffset>
                </wp:positionV>
                <wp:extent cx="800100" cy="459740"/>
                <wp:effectExtent l="0" t="0" r="0" b="0"/>
                <wp:wrapNone/>
                <wp:docPr id="270" name="文本框 832"/>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026" o:spt="202" type="#_x0000_t202" style="position:absolute;left:0pt;margin-left:-9pt;margin-top:2.3pt;height:36.2pt;width:63pt;z-index:251769856;mso-width-relative:page;mso-height-relative:page;" filled="f" stroked="f" coordsize="21600,21600" o:gfxdata="UEsDBAoAAAAAAIdO4kAAAAAAAAAAAAAAAAAEAAAAZHJzL1BLAwQUAAAACACHTuJAVs3+gNQAAAAI&#10;AQAADwAAAGRycy9kb3ducmV2LnhtbE2PzU7DMBCE70i8g7VI3Fo7qLQlZNMDiCuI8iNx28bbJCJe&#10;R7HbhLfHOcFxNKOZb4rd5Dp15iG0XhCypQHFUnnbSo3w/va02IIKkcRS54URfjjArry8KCi3fpRX&#10;Pu9jrVKJhJwQmhj7XOtQNewoLH3PkryjHxzFJIda24HGVO46fWPMWjtqJS001PNDw9X3/uQQPp6P&#10;X58r81I/utt+9JPR4u404vVVZu5BRZ7iXxhm/IQOZWI6+JPYoDqERbZNXyLCag1q9s2sDwibjQFd&#10;Fvr/gfIXUEsDBBQAAAAIAIdO4kC/O02sGAIAABgEAAAOAAAAZHJzL2Uyb0RvYy54bWytU8FuEzEQ&#10;vSPxD5bvZJOQknSVTVUaFSEVqFT4AMfrzVqsPWbsZDd8APwBJy7c+135DsbeNIRy6YGLZc+M37z3&#10;PJ5fdKZhW4Vegy34aDDkTFkJpbbrgn/6eP1ixpkPwpaiAasKvlOeXyyeP5u3LldjqKEpFTICsT5v&#10;XcHrEFyeZV7Wygg/AKcsJStAIwIdcZ2VKFpCN002Hg5fZS1g6RCk8p6iyz7JD4j4FECoKi3VEuTG&#10;KBt6VFSNCCTJ19p5vkhsq0rJ8KGqvAqsKTgpDWmlJrRfxTVbzEW+RuFqLQ8UxFMoPNJkhLbU9Ai1&#10;FEGwDep/oIyWCB6qMJBgsl5IcoRUjIaPvLmrhVNJC1nt3dF0//9g5fvtLTJdFnw8JU+sMPTk+x/f&#10;9z/v97++sdnLcbSodT6nyjtHtaF7DR0NTpLr3Q3Iz55ZuKqFXatLRGhrJUqiOIo3s5OrPY6PIKv2&#10;HZTUSWwCJKCuQhP9I0cYoROV3fF5VBeYpOBsSBZRRlJqcnY+naTny0T+cNmhD28UGBY3BUd6/QQu&#10;tjc+RDIifyiJvSxc66ZJE9DYvwJUGCOJfOTbMw/dqjuYsYJyRzIQ+oGi70SbGvArZy0NU8H9l41A&#10;xVnz1pIV56MJkWUhHSZn0zEd8DSzOs0IKwmq4IGzfnsV+ondONTrmjr15lu4JPsqnaRFn3tWB940&#10;MEnxYbjjRJ6eU9Wf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bN/oDUAAAACAEAAA8AAAAA&#10;AAAAAQAgAAAAIgAAAGRycy9kb3ducmV2LnhtbFBLAQIUABQAAAAIAIdO4kC/O02sGAIAABgEAAAO&#10;AAAAAAAAAAEAIAAAACMBAABkcnMvZTJvRG9jLnhtbFBLBQYAAAAABgAGAFkBAACt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43.1.5施工工期，由双方在协议书及专用条款约定。如合同工期与广东省建设工程工期定额规定不一致的，需说明与省工期定额规定不一致的原因，并制定保障措施，确保施工进度、施工质量和施工安全。</w:t>
      </w:r>
    </w:p>
    <w:p>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pPr>
        <w:spacing w:line="360" w:lineRule="auto"/>
        <w:rPr>
          <w:rFonts w:ascii="仿宋" w:hAnsi="仿宋" w:eastAsia="仿宋"/>
          <w:color w:val="auto"/>
          <w:highlight w:val="none"/>
          <w:lang w:eastAsia="zh-CN"/>
        </w:rPr>
      </w:pPr>
      <w:bookmarkStart w:id="310" w:name="_Toc1977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bookmarkEnd w:id="310"/>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spacing w:line="360" w:lineRule="auto"/>
        <w:ind w:left="1850" w:leftChars="771"/>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70880" behindDoc="0" locked="0" layoutInCell="1" allowOverlap="1">
                <wp:simplePos x="0" y="0"/>
                <wp:positionH relativeFrom="column">
                  <wp:posOffset>119380</wp:posOffset>
                </wp:positionH>
                <wp:positionV relativeFrom="paragraph">
                  <wp:posOffset>31750</wp:posOffset>
                </wp:positionV>
                <wp:extent cx="800100" cy="459740"/>
                <wp:effectExtent l="0" t="0" r="0" b="0"/>
                <wp:wrapNone/>
                <wp:docPr id="269" name="文本框 833"/>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026" o:spt="202" type="#_x0000_t202" style="position:absolute;left:0pt;margin-left:9.4pt;margin-top:2.5pt;height:36.2pt;width:63pt;z-index:251770880;mso-width-relative:page;mso-height-relative:page;" filled="f" stroked="f" coordsize="21600,21600" o:gfxdata="UEsDBAoAAAAAAIdO4kAAAAAAAAAAAAAAAAAEAAAAZHJzL1BLAwQUAAAACACHTuJAN71x9tMAAAAH&#10;AQAADwAAAGRycy9kb3ducmV2LnhtbE2PwU7DMBBE70j8g7VI3Oi6KKVtGqcHEFcQLSBxc+NtEhGv&#10;o9htwt+zPcHxaVYzb4vt5Dt1piG2gQ3MZxoUcRVcy7WB9/3z3QpUTJad7QKTgR+KsC2vrwqbuzDy&#10;G513qVZSwjG3BpqU+hwxVg15G2ehJ5bsGAZvk+BQoxvsKOW+w3utH9DblmWhsT09NlR9707ewMfL&#10;8esz06/1k1/0Y5g0sl+jMbc3c70BlWhKf8dw0Rd1KMXpEE7souqEV2KeDCzko0ucZcIHA8tlBlgW&#10;+N+//AVQSwMEFAAAAAgAh07iQOp0RNcaAgAAGAQAAA4AAABkcnMvZTJvRG9jLnhtbK1TzW4TMRC+&#10;I/EOlu9kkzRtk1U2VWlUhFR+pMIDOF5v1mLtMWMnu+EB4A04ceHOc+U5GHvTEMqlBy6W7Rl/833f&#10;jOdXnWnYVqHXYAs+Ggw5U1ZCqe264B8/3L6YcuaDsKVowKqC75TnV4vnz+aty9UYamhKhYxArM9b&#10;V/A6BJdnmZe1MsIPwClLwQrQiEBHXGclipbQTZONh8OLrAUsHYJU3tPtsg/yAyI+BRCqSku1BLkx&#10;yoYeFVUjAknytXaeLxLbqlIyvKsqrwJrCk5KQ1qpCO1Xcc0Wc5GvUbhaywMF8RQKjzQZoS0VPUIt&#10;RRBsg/ofKKMlgocqDCSYrBeSHCEVo+Ejb+5r4VTSQlZ7dzTd/z9Y+Xb7HpkuCz6+mHFmhaGW779/&#10;2//4tf/5lU3PzqJFrfM5Zd47yg3dS+hocJJc7+5AfvLMwk0t7FpdI0JbK1ESxVF8mZ087XF8BFm1&#10;b6CkSmITIAF1FZroHznCCJ3aszu2R3WBSbqcDskiikgKTc5nl5PUvkzkD48d+vBKgWFxU3Ck7idw&#10;sb3zIZIR+UNKrGXhVjdNmoDG/nVBifEmkY98e+ahW3UHM1ZQ7kgGQj9Q9J1oUwN+4aylYSq4/7wR&#10;qDhrXluyYjaaEFkW0mFyfjmmA55GVqcRYSVBFTxw1m9vQj+xG4d6XVOl3nwL12RfpZO06HPP6sCb&#10;BiYpPgx3nMjTc8r686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3vXH20wAAAAcBAAAPAAAA&#10;AAAAAAEAIAAAACIAAABkcnMvZG93bnJldi54bWxQSwECFAAUAAAACACHTuJA6nRE1xoCAAAYBAAA&#10;DgAAAAAAAAABACAAAAAiAQAAZHJzL2Uyb0RvYy54bWxQSwUGAAAAAAYABgBZAQAAr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 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pPr>
        <w:spacing w:line="360" w:lineRule="auto"/>
        <w:rPr>
          <w:rFonts w:ascii="仿宋" w:hAnsi="仿宋" w:eastAsia="仿宋"/>
          <w:b/>
          <w:bCs/>
          <w:color w:val="auto"/>
          <w:highlight w:val="none"/>
          <w:lang w:eastAsia="zh-CN"/>
        </w:rPr>
      </w:pPr>
      <w:bookmarkStart w:id="311" w:name="_Toc1990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bookmarkEnd w:id="3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268" name="文本框 834"/>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026" o:spt="202" type="#_x0000_t202" style="position:absolute;left:0pt;margin-left:-9pt;margin-top:1.3pt;height:20.6pt;width:63pt;z-index:251771904;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T1Xw+RgCAAAYBAAADgAAAGRycy9lMm9Eb2MueG1srVNLjhMx&#10;EN0jcQfLe9KdEEJopTMaJhqENHykgQM4bnfaou0yZSfd4QBwA1Zs2HOunIOyOxPCsJkFG8t2lV+9&#10;96q8uOhNy3YKvQZb8vEo50xZCZW2m5J//HD9ZM6ZD8JWogWrSr5Xnl8sHz9adK5QE2igrRQyArG+&#10;6FzJmxBckWVeNsoIPwKnLAVrQCMCHXGTVSg6QjdtNsnzWdYBVg5BKu/pdjUE+RERHwIIda2lWoHc&#10;GmXDgIqqFYEk+UY7z5eJbV0rGd7VtVeBtSUnpSGtVIT267hmy4UoNihco+WRgngIhXuajNCWip6g&#10;ViIItkX9D5TREsFDHUYSTDYISY6QinF+z5vbRjiVtJDV3p1M9/8PVr7dvUemq5JPZtR4Kwy1/PD9&#10;2+HHr8PPr2z+dBot6pwvKPPWUW7oX0JPg5PkencD8pNnFq4aYTfqEhG6RomKKI7jy+zs6YDjI8i6&#10;ewMVVRLbAAmor9FE/8gRRujUnv2pPaoPTNLlPCeLKCIpNJmNZ5PUvkwUd48d+vBKgWFxU3Kk7idw&#10;sbvxIZIRxV1KrGXhWrdtmoDW/nVBifEmkY98B+ahX/dHM9ZQ7UkGwjBQ9J1o0wB+4ayjYSq5/7wV&#10;qDhrX1uy4sV4Oo3Tlw7TZ8+JOcPzyPo8IqwkqJIHzobtVRgmdutQbxqqNJhv4ZLsq3WSFn0eWB15&#10;08AkxcfhjhN5fk5Zfz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x24I1QAAAAgBAAAPAAAA&#10;AAAAAAEAIAAAACIAAABkcnMvZG93bnJldi54bWxQSwECFAAUAAAACACHTuJAT1Xw+RgCAAAYBAAA&#10;DgAAAAAAAAABACAAAAAkAQAAZHJzL2Uyb0RvYy54bWxQSwUGAAAAAAYABgBZAQAAr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规定处理。</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）发包人未能按照专用条款的约定提供项目基础资料及其它开始工作或开工条件；</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）发包人未能按照专用条款约定的时间支付预付款、绿色施工安全防护费和进度款；</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）发包人代表或发包人雇用的其他人员造成的人为因素；</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）发包人、设计顾问人或监理人未按照合同约定及时提供所需指令、回复等；</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）发包人原因引起的工作变更或工程变更（含增加合同工作内容、改变合同的任何一项工作等）；</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）发包人原因引起的工作量或工程量增加；</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）勘察现场遇到的不利物质条件；</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（8）一周内非承包人原因停水、停电、停气造成停工累计超过</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小时；</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（9）不可抗力；</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（10）发包人风险事项；</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1）因发包人的原因导致的暂停工作或暂停施工；</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2）非承包人失误、违约，以及设计顾问人或监理人同意的工期顺延。</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3）发包人造成工期延误的其他</w:t>
      </w:r>
      <w:r>
        <w:rPr>
          <w:rFonts w:hint="eastAsia" w:ascii="仿宋" w:hAnsi="仿宋" w:eastAsia="仿宋" w:cs="仿宋"/>
          <w:color w:val="auto"/>
          <w:sz w:val="24"/>
          <w:szCs w:val="24"/>
          <w:highlight w:val="none"/>
          <w:lang w:val="en-US"/>
        </w:rPr>
        <w:t>情形</w:t>
      </w:r>
      <w:r>
        <w:rPr>
          <w:rFonts w:hint="eastAsia" w:ascii="仿宋" w:hAnsi="仿宋" w:eastAsia="仿宋" w:cs="仿宋"/>
          <w:color w:val="auto"/>
          <w:sz w:val="24"/>
          <w:szCs w:val="24"/>
          <w:highlight w:val="none"/>
        </w:rPr>
        <w:t>。</w:t>
      </w:r>
    </w:p>
    <w:p>
      <w:pPr>
        <w:spacing w:line="360" w:lineRule="auto"/>
        <w:rPr>
          <w:rFonts w:ascii="仿宋" w:hAnsi="仿宋" w:eastAsia="仿宋"/>
          <w:color w:val="auto"/>
          <w:highlight w:val="none"/>
          <w:lang w:eastAsia="zh-CN"/>
        </w:rPr>
      </w:pPr>
      <w:bookmarkStart w:id="312" w:name="_Toc4122"/>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bookmarkEnd w:id="31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67" name="文本框 83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026" o:spt="202" type="#_x0000_t202" style="position:absolute;left:0pt;margin-left:-9pt;margin-top:4.9pt;height:31.2pt;width:72pt;z-index:251772928;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pF5QEhgCAAAYBAAADgAAAGRycy9lMm9Eb2MueG1srVPBbhMx&#10;EL0j8Q+W72STNE3bVTZVaVSEVKBS4QMcrzdrsfaYsZPd8AHwB5y4cO935TsYe9MQyqUHLpbtGb95&#10;7814dtmZhm0Ueg224KPBkDNlJZTargr+6ePNq3POfBC2FA1YVfCt8vxy/vLFrHW5GkMNTamQEYj1&#10;eesKXofg8izzslZG+AE4ZSlYARoR6IirrETRErppsvFwOM1awNIhSOU93S76IN8j4nMAoaq0VAuQ&#10;a6Ns6FFRNSKQJF9r5/k8sa0qJcOHqvIqsKbgpDSklYrQfhnXbD4T+QqFq7XcUxDPofBEkxHaUtED&#10;1EIEwdao/4EyWiJ4qMJAgsl6IckRUjEaPvHmvhZOJS1ktXcH0/3/g5XvN3fIdFnw8fSMMysMtXz3&#10;4/vu58Pu1zd2fnIaLWqdzynz3lFu6F5DR4OT5Hp3C/KzZxaua2FX6goR2lqJkiiO4svs6GmP4yPI&#10;sn0HJVUS6wAJqKvQRP/IEUbo1J7toT2qC0zS5cVoMhlSRFLo5GI6nqT2ZSJ/fOzQhzcKDIubgiN1&#10;P4GLza0PkYzIH1NiLQs3umnSBDT2rwtKjDeJfOTbMw/dstubsYRySzIQ+oGi70SbGvArZy0NU8H9&#10;l7VAxVnz1pIViTlNXzpMTs/GpAKPI8vjiLCSoAoeOOu316Gf2LVDvaqpUm++hSuyr9JJWvS5Z7Xn&#10;TQOTFO+HO07k8Tll/fnQ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5bma1QAAAAgBAAAPAAAA&#10;AAAAAAEAIAAAACIAAABkcnMvZG93bnJldi54bWxQSwECFAAUAAAACACHTuJApF5QEhgCAAAYBAAA&#10;DgAAAAAAAAABACAAAAAkAQAAZHJzL2Uyb0RvYy54bWxQSwUGAAAAAAYABgBZAQAArgUAAAAA&#10;">
                <v:fill on="f" focussize="0,0"/>
                <v:stroke on="f"/>
                <v:imagedata o:title=""/>
                <o:lock v:ext="edit" aspectratio="f"/>
                <v:textbo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rPr>
        <w:t>当第43</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款所述事项首次发生后，承包人应在</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天内，向设计顾问人或监理人提交工期顺延报告和有关详细资料。</w:t>
      </w:r>
    </w:p>
    <w:p>
      <w:pPr>
        <w:spacing w:line="360" w:lineRule="auto"/>
        <w:rPr>
          <w:rFonts w:ascii="仿宋" w:hAnsi="仿宋" w:eastAsia="仿宋" w:cs="仿宋"/>
          <w:b/>
          <w:bCs/>
          <w:color w:val="auto"/>
          <w:highlight w:val="none"/>
          <w:u w:val="dotted"/>
          <w:lang w:eastAsia="zh-CN"/>
        </w:rPr>
      </w:pPr>
      <w:bookmarkStart w:id="313" w:name="_Toc153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bookmarkEnd w:id="3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266" name="文本框 83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026" o:spt="202" type="#_x0000_t202" style="position:absolute;left:0pt;margin-left:-9pt;margin-top:3.7pt;height:31.2pt;width:72pt;z-index:251773952;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4d+5jxgCAAAYBAAADgAAAGRycy9lMm9Eb2MueG1srVPNbhMx&#10;EL4j8Q6W72STNIR2lU1VGhUhlR+p8ACO15u1WHvM2MlueAB4A05cuPNceQ7G3m0I5dIDF8v2jL/5&#10;vm/Gi8vONGyn0GuwBZ+MxpwpK6HUdlPwjx9unp1z5oOwpWjAqoLvleeXy6dPFq3L1RRqaEqFjECs&#10;z1tX8DoEl2eZl7Uywo/AKUvBCtCIQEfcZCWKltBNk03H43nWApYOQSrv6XbVB/mAiI8BhKrSUq1A&#10;bo2yoUdF1YhAknytnefLxLaqlAzvqsqrwJqCk9KQVipC+3Vcs+VC5BsUrtZyoCAeQ+GBJiO0paJH&#10;qJUIgm1R/wNltETwUIWRBJP1QpIjpGIyfuDNXS2cSlrIau+Opvv/Byvf7t4j02XBp/M5Z1YYavnh&#10;+7fDj1+Hn1/Z+dk8WtQ6n1PmnaPc0L2EjgYnyfXuFuQnzyxc18Ju1BUitLUSJVGcxJfZydMex0eQ&#10;dfsGSqoktgESUFehif6RI4zQqT37Y3tUF5iky4vJbDamiKTQ2cV8Okvty0R+/9ihD68UGBY3BUfq&#10;fgIXu1sfIhmR36fEWhZudNOkCWjsXxeUGG8S+ci3Zx66dTeYsYZyTzIQ+oGi70SbGvALZy0NU8H9&#10;561AxVnz2pIViTlNXzrMnr+Ykgo8jaxPI8JKgip44KzfXod+YrcO9aamSr35Fq7IvkonadHnntXA&#10;mwYmKR6GO07k6Tll/fn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3JBq1QAAAAgBAAAPAAAA&#10;AAAAAAEAIAAAACIAAABkcnMvZG93bnJldi54bWxQSwECFAAUAAAACACHTuJA4d+5jx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rPr>
        <w:t>如果工期顺延事项持续发生时，承包人应每隔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天向发包人、设计顾问人或监理人发出工期顺延意向书，并在工期顺延事项终结后的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天内，向发包人、设计顾问人或监理人提交最终工期顺延报告和详细资料。</w:t>
      </w:r>
    </w:p>
    <w:p>
      <w:pPr>
        <w:rPr>
          <w:color w:val="auto"/>
          <w:highlight w:val="none"/>
          <w:lang w:eastAsia="zh-CN"/>
        </w:rPr>
      </w:pPr>
    </w:p>
    <w:p>
      <w:pPr>
        <w:spacing w:line="360" w:lineRule="auto"/>
        <w:rPr>
          <w:rFonts w:ascii="仿宋" w:hAnsi="仿宋" w:eastAsia="仿宋" w:cs="仿宋"/>
          <w:b/>
          <w:bCs/>
          <w:color w:val="auto"/>
          <w:highlight w:val="none"/>
          <w:u w:val="dotted"/>
          <w:lang w:eastAsia="zh-CN"/>
        </w:rPr>
      </w:pPr>
      <w:bookmarkStart w:id="314" w:name="_Toc257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bookmarkEnd w:id="3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265" name="文本框 837"/>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026" o:spt="202" type="#_x0000_t202" style="position:absolute;left:0pt;margin-left:-9pt;margin-top:3.6pt;height:38.1pt;width:72pt;z-index:251774976;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ISDWMEZAgAAGAQAAA4AAABkcnMvZTJvRG9jLnhtbK1TzW4T&#10;MRC+I/EOlu9kkzRtwiqbqjQqQio/UuEBHK83a7H2mLGT3fAA9A04ceHOc+U5GHvTEMqlBy6W7Rl/&#10;833fjOeXnWnYVqHXYAs+Ggw5U1ZCqe264J8+3ryYceaDsKVowKqC75Tnl4vnz+aty9UYamhKhYxA&#10;rM9bV/A6BJdnmZe1MsIPwClLwQrQiEBHXGclipbQTZONh8OLrAUsHYJU3tPtsg/yAyI+BRCqSku1&#10;BLkxyoYeFVUjAknytXaeLxLbqlIyvK8qrwJrCk5KQ1qpCO1Xcc0Wc5GvUbhaywMF8RQKjzQZoS0V&#10;PUItRRBsg/ofKKMlgocqDCSYrBeSHCEVo+Ejb+5q4VTSQlZ7dzTd/z9Y+W77AZkuCz6+OOfMCkMt&#10;33+/3//4tf/5jc3OptGi1vmcMu8c5YbuFXQ0OEmud7cgP3tm4boWdq2uEKGtlSiJ4ii+zE6e9jg+&#10;gqzat1BSJbEJkIC6Ck30jxxhhE7t2R3bo7rAJF2+HE0mQ4pICk1mZ7Npal8m8ofHDn14rcCwuCk4&#10;UvcTuNje+hDJiPwhJdaycKObJk1AY/+6oMR4k8hHvj3z0K26gxkrKHckA6EfKPpOtKkBv3LW0jAV&#10;3H/ZCFScNW8sWZGY0/Slw+R8OiYVeBpZnUaElQRV8MBZv70O/cRuHOp1TZV68y1ckX2VTtKizz2r&#10;A28amKT4MNxxIk/PKevPh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qXQ8fWAAAACAEAAA8A&#10;AAAAAAAAAQAgAAAAIgAAAGRycy9kb3ducmV2LnhtbFBLAQIUABQAAAAIAIdO4kCEg1jBGQIAABgE&#10;AAAOAAAAAAAAAAEAIAAAACU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rPr>
        <w:t>如果承包人未能在第43</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款和第43</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款（发生时）规定的时间内提交（最终）工期顺延报告和详细资料，则视为该事项不影响工作进度、施工进度或承包人放弃顺延工期的权利。</w:t>
      </w:r>
    </w:p>
    <w:p>
      <w:pPr>
        <w:spacing w:line="360" w:lineRule="auto"/>
        <w:rPr>
          <w:rFonts w:ascii="仿宋" w:hAnsi="仿宋" w:eastAsia="仿宋" w:cs="仿宋"/>
          <w:b/>
          <w:bCs/>
          <w:color w:val="auto"/>
          <w:highlight w:val="none"/>
          <w:u w:val="dotted"/>
          <w:lang w:eastAsia="zh-CN"/>
        </w:rPr>
      </w:pPr>
      <w:bookmarkStart w:id="315" w:name="_Toc6199"/>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bookmarkEnd w:id="3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776000" behindDoc="0" locked="0" layoutInCell="1" allowOverlap="1">
                <wp:simplePos x="0" y="0"/>
                <wp:positionH relativeFrom="column">
                  <wp:posOffset>-19050</wp:posOffset>
                </wp:positionH>
                <wp:positionV relativeFrom="paragraph">
                  <wp:posOffset>157480</wp:posOffset>
                </wp:positionV>
                <wp:extent cx="914400" cy="483870"/>
                <wp:effectExtent l="0" t="0" r="0" b="0"/>
                <wp:wrapNone/>
                <wp:docPr id="264"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026" o:spt="202" type="#_x0000_t202" style="position:absolute;left:0pt;margin-left:-1.5pt;margin-top:12.4pt;height:38.1pt;width:72pt;z-index:251776000;mso-width-relative:page;mso-height-relative:page;" filled="f" stroked="f" coordsize="21600,21600" o:gfxdata="UEsDBAoAAAAAAIdO4kAAAAAAAAAAAAAAAAAEAAAAZHJzL1BLAwQUAAAACACHTuJAOcrXwtUAAAAJ&#10;AQAADwAAAGRycy9kb3ducmV2LnhtbE2PT0/DMAzF70h8h8hI3DanoyBWmu4A4gpi/JF2yxqvrWic&#10;qsnW8u3xTnB79rOef6/czL5XJxpjF9hAttSgiOvgOm4MfLw/L+5BxWTZ2T4wGfihCJvq8qK0hQsT&#10;v9FpmxolIRwLa6BNaSgQY92St3EZBmLxDmH0Nsk4NuhGO0m473Gl9R1627F8aO1Ajy3V39ujN/D5&#10;cth95fq1efK3wxRmjezXaMz1VaYfQCWa098xnPEFHSph2ocju6h6A4sbqZIMrHJpcPbzTBZ7EVoE&#10;ViX+b1D9AlBLAwQUAAAACACHTuJAPXtPrxcCAAAYBAAADgAAAGRycy9lMm9Eb2MueG1srVPNbhMx&#10;EL4j8Q6W72Q3IbRhlU1VGhUhlR+p8ACO15u1WHvM2MlueAD6Bpy4cOe58hyMvWkI5dIDF8v2jL/5&#10;vm/G84vetGyr0GuwJR+Pcs6UlVBpuy75p4/Xz2ac+SBsJVqwquQ75fnF4umTeecKNYEG2kohIxDr&#10;i86VvAnBFVnmZaOM8CNwylKwBjQi0BHXWYWiI3TTZpM8P8s6wMohSOU93S6HID8g4mMAoa61VEuQ&#10;G6NsGFBRtSKQJN9o5/kisa1rJcP7uvYqsLbkpDSklYrQfhXXbDEXxRqFa7Q8UBCPofBAkxHaUtEj&#10;1FIEwTao/4EyWiJ4qMNIgskGIckRUjHOH3hz2winkhay2ruj6f7/wcp32w/IdFXyydmUMysMtXz/&#10;/W7/49f+5zc2ez6LFnXOF5R56yg39K+gp8FJcr27AfnZMwtXjbBrdYkIXaNERRTH8WV28nTA8RFk&#10;1b2FiiqJTYAE1Ndoon/kCCN0as/u2B7VBybp8uV4Os0pIik0JWbnqX2ZKO4fO/ThtQLD4qbkSN1P&#10;4GJ740MkI4r7lFjLwrVu2zQBrf3rghLjTSIf+Q7MQ7/qD2asoNqRDIRhoOg70aYB/MpZR8NUcv9l&#10;I1Bx1r6xZEViTtOXDtMX5xNSgaeR1WlEWElQJQ+cDdurMEzsxqFeN1RpMN/CJdlX6yQt+jywOvCm&#10;gUmKD8MdJ/L0nLL+fOj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nK18LVAAAACQEAAA8AAAAA&#10;AAAAAQAgAAAAIgAAAGRycy9kb3ducmV2LnhtbFBLAQIUABQAAAAIAIdO4kA9e0+vFwIAABgEAAAO&#10;AAAAAAAAAAEAIAAAACQBAABkcnMvZTJvRG9jLnhtbFBLBQYAAAAABgAGAFkBAACt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rPr>
        <w:t>发包人、设计顾问人或监理人应在收到承包人按照第 43.4 款和第 43.5 款（发生时）约定提交（最终）工期顺延报告和详细资料后的 28 天内，按照第 43.3 款约定予以核实，或要求承包人进一步补充顺延工期的理由。合同双方当事人一旦协商确定顺延的工期，发包人应承担由此增加的费用，并向承包人支付合理利润。</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如果发包人、设计顾问人或监理人在收到上述报告和资料后的 28 天内未予核实也未对承包人作出进一步要求，则视为发包人、设计顾问人或监理人已认可承包人上述报告中提出的顺延工期天数。</w:t>
      </w:r>
    </w:p>
    <w:p>
      <w:pPr>
        <w:spacing w:line="360" w:lineRule="auto"/>
        <w:rPr>
          <w:rFonts w:ascii="仿宋" w:hAnsi="仿宋" w:eastAsia="仿宋" w:cs="仿宋"/>
          <w:b/>
          <w:bCs/>
          <w:color w:val="auto"/>
          <w:highlight w:val="none"/>
          <w:u w:val="dotted"/>
          <w:lang w:eastAsia="zh-CN"/>
        </w:rPr>
      </w:pPr>
      <w:bookmarkStart w:id="316" w:name="_Toc7906"/>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bookmarkEnd w:id="3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263"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026" o:spt="202" type="#_x0000_t202" style="position:absolute;left:0pt;margin-left:-9pt;margin-top:3.6pt;height:46.75pt;width:72pt;z-index:251777024;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LIemioYAgAAGAQAAA4AAABkcnMvZTJvRG9jLnhtbK1TS27b&#10;MBDdF+gdCO5r+ZvEguUgjZGiQPoB0h6ApiiLqMhhh7Sl9ADtDbrqpvuey+fokHJcN91k0Y1AcoZv&#10;3nt8Wlx2pmE7hV6DLfhoMORMWQmltpuCf/xw8+KCMx+ELUUDVhX8Xnl+uXz+bNG6XI2hhqZUyAjE&#10;+rx1Ba9DcHmWeVkrI/wAnLJUrACNCLTFTVaiaAndNNl4ODzLWsDSIUjlPZ2u+iI/IOJTAKGqtFQr&#10;kFujbOhRUTUikCRfa+f5MrGtKiXDu6ryKrCm4KQ0pC8NofU6frPlQuQbFK7W8kBBPIXCI01GaEtD&#10;j1ArEQTbov4HymiJ4KEKAwkm64UkR0jFaPjIm7taOJW0kNXeHU33/w9Wvt29R6bLgo/PJpxZYejJ&#10;99+/7X/82v/8yi4m82hR63xOnXeOekP3EjoKTpLr3S3IT55ZuK6F3agrRGhrJUqiOIo3s5OrPY6P&#10;IOv2DZQ0SWwDJKCuQhP9I0cYodPz3B+fR3WBSTqcj6bTIVUklWbzyfl4liaI/OGyQx9eKTAsLgqO&#10;9PoJXOxufYhkRP7QEmdZuNFNkxLQ2L8OqDGeJPKRb888dOvuYMYaynuSgdAHin4nWtSAXzhrKUwF&#10;95+3AhVnzWtLViTmlL60mc7Ox6QCTyvr04qwkqAKHjjrl9ehT+zWod7UNKk338IV2VfpJC363LM6&#10;8KbAJMWHcMdEnu5T158f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io4r9YAAAAJAQAADwAA&#10;AAAAAAABACAAAAAiAAAAZHJzL2Rvd25yZXYueG1sUEsBAhQAFAAAAAgAh07iQLIemio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color w:val="auto"/>
          <w:sz w:val="24"/>
          <w:szCs w:val="24"/>
          <w:highlight w:val="none"/>
        </w:rPr>
        <w:t>承包人未能按照合同进度计划完成工程，或因承包人的原因造成工期延误，发包人可按照本条规定的时限和第76</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款规定要求承包人支付该支付期的误期赔偿费。</w:t>
      </w:r>
    </w:p>
    <w:p>
      <w:pPr>
        <w:spacing w:line="360" w:lineRule="auto"/>
        <w:rPr>
          <w:rFonts w:ascii="仿宋" w:hAnsi="仿宋" w:eastAsia="仿宋" w:cs="仿宋"/>
          <w:b/>
          <w:bCs/>
          <w:color w:val="auto"/>
          <w:highlight w:val="none"/>
          <w:u w:val="dotted"/>
          <w:lang w:eastAsia="zh-CN"/>
        </w:rPr>
      </w:pPr>
      <w:bookmarkStart w:id="317" w:name="_Toc26475"/>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bookmarkEnd w:id="31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s="仿宋"/>
          <w:color w:val="auto"/>
          <w:sz w:val="24"/>
          <w:szCs w:val="24"/>
          <w:highlight w:val="none"/>
          <w:lang w:val="en-US"/>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1784192" behindDoc="0" locked="0" layoutInCell="1" allowOverlap="1">
                <wp:simplePos x="0" y="0"/>
                <wp:positionH relativeFrom="column">
                  <wp:posOffset>-4445</wp:posOffset>
                </wp:positionH>
                <wp:positionV relativeFrom="paragraph">
                  <wp:posOffset>57785</wp:posOffset>
                </wp:positionV>
                <wp:extent cx="923290" cy="454025"/>
                <wp:effectExtent l="0" t="0" r="0" b="0"/>
                <wp:wrapNone/>
                <wp:docPr id="262"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923290" cy="454025"/>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026" o:spt="202" type="#_x0000_t202" style="position:absolute;left:0pt;margin-left:-0.35pt;margin-top:4.55pt;height:35.75pt;width:72.7pt;z-index:251784192;mso-width-relative:page;mso-height-relative:page;" filled="f" stroked="f" coordsize="21600,21600" o:gfxdata="UEsDBAoAAAAAAIdO4kAAAAAAAAAAAAAAAAAEAAAAZHJzL1BLAwQUAAAACACHTuJAm4KhMNMAAAAG&#10;AQAADwAAAGRycy9kb3ducmV2LnhtbE2OTU/DMBBE70j8B2uRuLXroFDakE0PIK4gyofEzY23SUS8&#10;jmK3Cf8e9wTH0YzevHI7u16deAydF4JsqUGx1N520hC8vz0t1qBCNGJN74UJfjjAtrq8KE1h/SSv&#10;fNrFRiWIhMIQtDEOBWKoW3YmLP3AkrqDH52JKY4N2tFMCe56vNF6hc50kh5aM/BDy/X37ugIPp4P&#10;X5+5fmke3e0w+VmjuA0SXV9l+h5U5Dn+jeGsn9ShSk57fxQbVE+wuEtDgk0G6tzmecp7grVeAVYl&#10;/tevfgFQSwMEFAAAAAgAh07iQAIhgUMZAgAAGAQAAA4AAABkcnMvZTJvRG9jLnhtbK1TQY7TMBTd&#10;I3EHy3uaNqTDNGo6GqYahDTASAMHcB2nsUj8zbfbpBwAbsCKDfs5V8/Bt9MpZdjMgk1k+3+//97z&#10;y/yibxu2Veg0mIJPRmPOlJFQarMu+KeP1y/OOXNemFI0YFTBd8rxi8XzZ/PO5iqFGppSISMQ4/LO&#10;Frz23uZJ4mStWuFGYJWhYgXYCk9bXCclio7Q2yZJx+OzpAMsLYJUztHpcijyAyI+BRCqSku1BLlp&#10;lfEDKqpGeJLkam0dX0S2VaWk/1BVTnnWFJyU+vilIbRehW+ymIt8jcLWWh4oiKdQeKSpFdrQ0CPU&#10;UnjBNqj/gWq1RHBQ+ZGENhmEREdIxWT8yJu7WlgVtZDVzh5Nd/8PVr7f3iLTZcHTs5QzI1p68v2P&#10;7/uf9/tf39h5NgsWddbl1Hlnqdf3r6Gn4ES5zt6A/OyYgatamLW6RISuVqIkipNwMzm5OuC4ALLq&#10;3kFJk8TGQwTqK2yDf+QII3R6nt3xeVTvmaTDWfoynVFFUimbZuN0GieI/OGyReffKGhZWBQc6fUj&#10;uNjeOB/IiPyhJcwycK2bJiagMX8dUGM4ieQD34G571f9wYwVlDuSgTAEin4nWtSAXznrKEwFd182&#10;AhVnzVtDVswmWRbSFzfZ9FVKGzytrE4rwkiCKrjnbFhe+SGxG4t6XdOkwXwDl2RfpaO04PPA6sCb&#10;AhMVH8IdEnm6j11/fuj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uCoTDTAAAABgEAAA8AAAAA&#10;AAAAAQAgAAAAIgAAAGRycy9kb3ducmV2LnhtbFBLAQIUABQAAAAIAIdO4kACIYFDGQIAABgEAAAO&#10;AAAAAAAAAAEAIAAAACIBAABkcnMvZTJvRG9jLnhtbFBLBQYAAAAABgAGAFkBAACtBQ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r>
        <w:rPr>
          <w:rFonts w:hint="eastAsia" w:ascii="仿宋" w:hAnsi="仿宋" w:eastAsia="仿宋" w:cs="仿宋"/>
          <w:color w:val="auto"/>
          <w:sz w:val="24"/>
          <w:szCs w:val="24"/>
          <w:highlight w:val="none"/>
          <w:lang w:val="en-US"/>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 款的约定执行。</w:t>
      </w:r>
    </w:p>
    <w:p>
      <w:pPr>
        <w:pStyle w:val="22"/>
        <w:adjustRightInd w:val="0"/>
        <w:snapToGrid w:val="0"/>
        <w:spacing w:line="360" w:lineRule="auto"/>
        <w:ind w:left="1850" w:leftChars="771"/>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由于承包人责任导致关键路径的工程实际进度比发包人批准的项目进度计划延误，发包人有权要求承包人采取赶工措施赶上项目进度计划，由此产生的赶工措施费由承包人自行承担。</w:t>
      </w:r>
    </w:p>
    <w:p>
      <w:pPr>
        <w:pStyle w:val="22"/>
        <w:tabs>
          <w:tab w:val="left" w:pos="54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widowControl w:val="0"/>
        <w:spacing w:before="120" w:beforeLines="50" w:after="120" w:afterLines="50" w:line="360" w:lineRule="auto"/>
        <w:rPr>
          <w:rFonts w:ascii="仿宋" w:hAnsi="仿宋" w:eastAsia="仿宋" w:cs="仿宋"/>
          <w:b/>
          <w:bCs/>
          <w:color w:val="auto"/>
          <w:highlight w:val="none"/>
          <w:lang w:eastAsia="zh-CN"/>
        </w:rPr>
      </w:pPr>
      <w:bookmarkStart w:id="318" w:name="_Toc47694318"/>
      <w:bookmarkStart w:id="319" w:name="_Toc8980"/>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20" w:name="_Toc29756"/>
      <w:r>
        <w:rPr>
          <w:rFonts w:hint="eastAsia" w:ascii="仿宋" w:hAnsi="仿宋" w:eastAsia="仿宋" w:cs="仿宋"/>
          <w:bCs w:val="0"/>
          <w:color w:val="auto"/>
          <w:sz w:val="24"/>
          <w:szCs w:val="24"/>
          <w:highlight w:val="none"/>
        </w:rPr>
        <w:t>44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加快进度</w:t>
      </w:r>
      <w:bookmarkEnd w:id="318"/>
      <w:bookmarkEnd w:id="319"/>
      <w:bookmarkEnd w:id="320"/>
    </w:p>
    <w:p>
      <w:pPr>
        <w:pStyle w:val="22"/>
        <w:tabs>
          <w:tab w:val="left" w:pos="1320"/>
        </w:tabs>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284480</wp:posOffset>
                </wp:positionV>
                <wp:extent cx="914400" cy="540385"/>
                <wp:effectExtent l="0" t="0" r="0" b="0"/>
                <wp:wrapNone/>
                <wp:docPr id="261"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026" o:spt="202" type="#_x0000_t202" style="position:absolute;left:0pt;margin-left:-9pt;margin-top:22.4pt;height:42.55pt;width:72pt;z-index:251910144;mso-width-relative:page;mso-height-relative:page;" filled="f" stroked="f" coordsize="21600,21600" o:gfxdata="UEsDBAoAAAAAAIdO4kAAAAAAAAAAAAAAAAAEAAAAZHJzL1BLAwQUAAAACACHTuJAPaKVo9cAAAAK&#10;AQAADwAAAGRycy9kb3ducmV2LnhtbE2PzW6DMBCE75X6DtZWyi2xiWgUKCaHRL02avoj9ebgDaDi&#10;NcJOoG/f5dTedndGs98Uu8l14oZDaD1pSFYKBFLlbUu1hve35+UWRIiGrOk8oYYfDLAr7+8Kk1s/&#10;0iveTrEWHEIhNxqaGPtcylA16ExY+R6JtYsfnIm8DrW0gxk53HVyrdRGOtMSf2hMj/sGq+/T1Wn4&#10;eLl8fabqWB/cYz/6SUlymdR68ZCoJxARp/hnhhmf0aFkprO/kg2i07BMttwlakhTrjAb1hs+nOch&#10;y0CWhfxfofwFUEsDBBQAAAAIAIdO4kBIX1/qGQIAABgEAAAOAAAAZHJzL2Uyb0RvYy54bWytU81u&#10;EzEQviPxDpbvZDchKWGVTVUaFSGVH6nwAI7Xm7VYe8zYyW55AHgDTly481x5DsbeNA3l0gMXy/aM&#10;v/m+b8aL8960bKfQa7AlH49yzpSVUGm7Kfmnj1fP5pz5IGwlWrCq5LfK8/Pl0yeLzhVqAg20lUJG&#10;INYXnSt5E4IrsszLRhnhR+CUpWANaESgI26yCkVH6KbNJnl+lnWAlUOQynu6XQ1BfkDExwBCXWup&#10;ViC3RtkwoKJqRSBJvtHO82ViW9dKhvd17VVgbclJaUgrFaH9Oq7ZciGKDQrXaHmgIB5D4YEmI7Sl&#10;okeolQiCbVH/A2W0RPBQh5EEkw1CkiOkYpw/8OamEU4lLWS1d0fT/f+Dle92H5DpquSTszFnVhhq&#10;+f7H9/3P3/tf39h8mizqnC8o88ZRbuhfQU+Dk+R6dw3ys2cWLhthN+oCEbpGiYoojqO52cnT2BRf&#10;+Aiy7t5CRZXENkAC6ms00T9yhBE6tef22B7VBybp8uV4Os0pIik0m+bP57NUQRR3jx368FqBYXFT&#10;cqTuJ3Cxu/YhkhHFXUqsZeFKt22agNb+dUGJ8SaRj3wH5qFf95QdRayhuiUZCMNA0XeiTQP4lbOO&#10;hqnk/stWoOKsfWPJisScpi8dprMXE1KBp5H1aURYSVAlD5wN28swTOzWod40VGkw38IF2VfrJO2e&#10;1YE3DUxSfBjuOJGn55R1/6G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opWj1wAAAAoBAAAP&#10;AAAAAAAAAAEAIAAAACIAAABkcnMvZG93bnJldi54bWxQSwECFAAUAAAACACHTuJASF9f6hkCAAAY&#10;BAAADgAAAAAAAAABACAAAAAmAQAAZHJzL2Uyb0RvYy54bWxQSwUGAAAAAAYABgBZAQAAsQUAAAAA&#10;">
                <v:fill on="f" focussize="0,0"/>
                <v:stroke on="f"/>
                <v:imagedata o:title=""/>
                <o:lock v:ext="edit" aspectratio="f"/>
                <v:textbox>
                  <w:txbxContent>
                    <w:p>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lang w:val="en-US"/>
        </w:rPr>
        <w:t>4</w:t>
      </w:r>
      <w:r>
        <w:rPr>
          <w:rFonts w:hint="eastAsia" w:ascii="仿宋" w:hAnsi="仿宋" w:eastAsia="仿宋" w:cs="仿宋"/>
          <w:b/>
          <w:bCs/>
          <w:color w:val="auto"/>
          <w:sz w:val="24"/>
          <w:szCs w:val="24"/>
          <w:highlight w:val="none"/>
        </w:rPr>
        <w:t>4</w:t>
      </w:r>
      <w:r>
        <w:rPr>
          <w:rFonts w:ascii="仿宋" w:hAnsi="仿宋" w:eastAsia="仿宋" w:cs="仿宋"/>
          <w:b/>
          <w:bCs/>
          <w:color w:val="auto"/>
          <w:sz w:val="24"/>
          <w:szCs w:val="24"/>
          <w:highlight w:val="none"/>
          <w:lang w:val="en-US"/>
        </w:rPr>
        <w:t>.1</w:t>
      </w:r>
    </w:p>
    <w:p>
      <w:pPr>
        <w:pStyle w:val="22"/>
        <w:adjustRightInd w:val="0"/>
        <w:snapToGrid w:val="0"/>
        <w:spacing w:line="360" w:lineRule="auto"/>
        <w:ind w:left="1850"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40.4 款约定采取改进措施，加快工程进度。</w:t>
      </w:r>
    </w:p>
    <w:p>
      <w:pPr>
        <w:pStyle w:val="22"/>
        <w:adjustRightInd w:val="0"/>
        <w:snapToGrid w:val="0"/>
        <w:spacing w:line="360" w:lineRule="auto"/>
        <w:ind w:left="1850"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如果承包人在收到设计顾问人或监理人书面要求后的 14 天内，未能采取加快进度的措施；或虽然采取了改进措施，但实际进度仍然迟于进度计划，预计无法按期竣工，设计顾问人或监理人应立即向发包人提交书面报告，并抄送承包人。发包人可按照第 93.3 款约定解除合同，也可将合同工程中的部分关键工作交由第三方完成，由此增加的费用由承包人承担。即使承包人承担了增加的费用，也不能免除合同约定应由其承担的责任和义务。</w:t>
      </w:r>
    </w:p>
    <w:p>
      <w:pPr>
        <w:pStyle w:val="22"/>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278130</wp:posOffset>
                </wp:positionV>
                <wp:extent cx="914400" cy="559435"/>
                <wp:effectExtent l="0" t="0" r="0" b="0"/>
                <wp:wrapNone/>
                <wp:docPr id="260"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026" o:spt="202" type="#_x0000_t202" style="position:absolute;left:0pt;margin-left:-9pt;margin-top:21.9pt;height:44.05pt;width:72pt;z-index:251911168;mso-width-relative:page;mso-height-relative:page;" filled="f" stroked="f" coordsize="21600,21600" o:gfxdata="UEsDBAoAAAAAAIdO4kAAAAAAAAAAAAAAAAAEAAAAZHJzL1BLAwQUAAAACACHTuJAPQrMt9cAAAAK&#10;AQAADwAAAGRycy9kb3ducmV2LnhtbE2PT0/DMAzF70h8h8hI3Dan25i20nQHEFcQ44/ELWu8tqJx&#10;qiZby7fHO8HN9nt6/r1iN/lOnWmIbWAD2VyDIq6Ca7k28P72NNuAismys11gMvBDEXbl9VVhcxdG&#10;fqXzPtVKQjjm1kCTUp8jxqohb+M89MSiHcPgbZJ1qNENdpRw3+FC6zV627J8aGxPDw1V3/uTN/Dx&#10;fPz6XOmX+tHf9WOYNLLfojG3N5m+B5VoSn9muOALOpTCdAgndlF1BmbZRrokA6ulVLgYFms5HGRY&#10;ZlvAssD/FcpfUEsDBBQAAAAIAIdO4kAHq3wUFgIAABgEAAAOAAAAZHJzL2Uyb0RvYy54bWytU8uO&#10;0zAU3SPxD5b3NG1ph5mo6WiYahDS8JAGPsB1nMYi8TXXbpPyAfAHrNiw57v6HVzbmVKGzSzYRLbv&#10;9bnnHJ8sLvu2YTuFToMp+GQ05kwZCaU2m4J//HDz7Jwz54UpRQNGFXyvHL9cPn2y6GyuplBDUypk&#10;BGJc3tmC197bPMucrFUr3AisMlSsAFvhaYubrETREXrbZNPx+CzrAEuLIJVzdLpKRT4g4mMAoaq0&#10;VCuQ21YZn1BRNcKTJFdr6/gysq0qJf27qnLKs6bgpNTHLw2h9Tp8s+VC5BsUttZyoCAeQ+GBplZo&#10;Q0OPUCvhBdui/geq1RLBQeVHEtosCYmOkIrJ+IE3d7WwKmohq509mu7+H6x8u3uPTJcFn56RJ0a0&#10;9OSH798OP34dfn5l57NJsKizLqfOO0u9vn8JPQUnynX2FuQnxwxc18Js1BUidLUSJVGMN7OTqwnH&#10;BZB19wZKmiS2HiJQX2Eb/CNHGKETlf3xeVTvmaTDi8lsNqaKpNJ8fjF7Pg/cMpHfX7bo/CsFLQuL&#10;giO9fgQXu1vnU+t9S5hl4EY3TUxAY/46IMxwEskHvom579f9YMYayj3JQEiBot+JFjXgF846ClPB&#10;3eetQMVZ89qQFZE5pS9uZvMXU1KBp5X1aUUYSVAF95yl5bVPid1a1JuaJiXzDVyRfZWO0oLPidXA&#10;mwITzRnCHRJ5uo9df37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9Csy31wAAAAoBAAAPAAAA&#10;AAAAAAEAIAAAACIAAABkcnMvZG93bnJldi54bWxQSwECFAAUAAAACACHTuJAB6t8FBYCAAAYBAAA&#10;DgAAAAAAAAABACAAAAAmAQAAZHJzL2Uyb0RvYy54bWxQSwUGAAAAAAYABgBZAQAArgU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lang w:val="en-US"/>
        </w:rPr>
        <w:t>4</w:t>
      </w:r>
      <w:r>
        <w:rPr>
          <w:rFonts w:hint="eastAsia" w:ascii="仿宋" w:hAnsi="仿宋" w:eastAsia="仿宋" w:cs="仿宋"/>
          <w:b/>
          <w:bCs/>
          <w:color w:val="auto"/>
          <w:sz w:val="24"/>
          <w:szCs w:val="24"/>
          <w:highlight w:val="none"/>
        </w:rPr>
        <w:t>4</w:t>
      </w:r>
      <w:r>
        <w:rPr>
          <w:rFonts w:ascii="仿宋" w:hAnsi="仿宋" w:eastAsia="仿宋" w:cs="仿宋"/>
          <w:b/>
          <w:bCs/>
          <w:color w:val="auto"/>
          <w:sz w:val="24"/>
          <w:szCs w:val="24"/>
          <w:highlight w:val="none"/>
          <w:lang w:val="en-US"/>
        </w:rPr>
        <w:t xml:space="preserve">.2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如果发包人希望承包人提前竣工，那么发包人可要求承包人提交为加快进度而编制的提前竣工建议书。承包人应在接到发包人要求后的 7 天内完成编制并向发包人提交提前竣工建议书，该建议书的内容至少应包括：</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（1）加快进度拟采取的措施；</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（2）加快进度后的进度计划,以及与原计划的对比；</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（3）加快进度所需的合同价格增加额（含第 76.1 款约定的提前竣工奖）。该增加额按照第 79.2 款、第 79.3 款、第 79.4 款规、第 79.5 款约定计算。</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发包人应在接到建议书后的 7 天内予以答复。如果发包人接受了该建议书，则监理人应以书面形式发出变更指令，相应调整工期；造价咨询人应核实并相应调整合同价格。</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21" w:name="_Toc5407"/>
      <w:bookmarkStart w:id="322" w:name="_Toc32021"/>
      <w:bookmarkStart w:id="323" w:name="_Toc47694319"/>
      <w:r>
        <w:rPr>
          <w:rFonts w:hint="eastAsia" w:ascii="仿宋" w:hAnsi="仿宋" w:eastAsia="仿宋" w:cs="仿宋"/>
          <w:bCs w:val="0"/>
          <w:color w:val="auto"/>
          <w:sz w:val="24"/>
          <w:szCs w:val="24"/>
          <w:highlight w:val="none"/>
        </w:rPr>
        <w:t>45</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竣工日期</w:t>
      </w:r>
      <w:bookmarkEnd w:id="321"/>
      <w:bookmarkEnd w:id="322"/>
      <w:bookmarkEnd w:id="323"/>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12192"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259" name="文本框 842"/>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026" o:spt="202" type="#_x0000_t202" style="position:absolute;left:0pt;margin-left:-10.5pt;margin-top:10.7pt;height:31.2pt;width:77pt;z-index:251912192;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COpEQJGwIAABgEAAAOAAAAZHJzL2Uyb0RvYy54bWytU0tu&#10;2zAQ3RfoHQjua9mqE0eC5SCNkaJA+gHSHoCmKIuoxGGHtCX3AM0Nuuqm+57L5+iQclw33WTRDUFy&#10;hm/eezOcX/Ztw7YKnQZT8MlozJkyEkpt1gX/9PHmxQVnzgtTigaMKvhOOX65eP5s3tlcpVBDUypk&#10;BGJc3tmC197bPEmcrFUr3AisMhSsAFvh6YjrpETREXrbJOl4fJ50gKVFkMo5ul0OQX5AxKcAQlVp&#10;qZYgN60yfkBF1QhPklytreOLyLaqlPTvq8opz5qCk1IfVypC+1VYk8Vc5GsUttbyQEE8hcIjTa3Q&#10;hooeoZbCC7ZB/Q9UqyWCg8qPJLTJICQ6Qiom40fe3NXCqqiFrHb2aLr7f7Dy3fYDMl0WPD3LODOi&#10;pZbvv9/vf/za//zGLqZpsKizLqfMO0u5vn8FPQ1OlOvsLcjPjhm4roVZqytE6GolSqI4CS+Tk6cD&#10;jgsgq+4tlFRJbDxEoL7CNvhHjjBCp/bsju1RvWeSLrPZLBtTRFLoZXaeTmP7EpE/PLbo/GsFLQub&#10;giN1P4KL7a3zgYzIH1JCLQM3umniBDTmrwtKDDeRfOA7MPf9qj+YsYJyRzIQhoGi70SbGvArZx0N&#10;U8Hdl41AxVnzxpAV2WRKZJmPh+nZLKUDnkZWpxFhJEEV3HM2bK/9MLEbi3pdU6XBfANXZF+lo7Tg&#10;88DqwJsGJio+DHeYyNNzzPrzoR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4dVfXAAAACQEA&#10;AA8AAAAAAAAAAQAgAAAAIgAAAGRycy9kb3ducmV2LnhtbFBLAQIUABQAAAAIAIdO4kCOpEQJGwIA&#10;ABgEAAAOAAAAAAAAAAEAIAAAACYBAABkcnMvZTJvRG9jLnhtbFBLBQYAAAAABgAGAFkBAACzBQAA&#10;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lang w:val="en-US"/>
        </w:rPr>
        <w:t>4</w:t>
      </w:r>
      <w:r>
        <w:rPr>
          <w:rFonts w:hint="eastAsia" w:ascii="仿宋" w:hAnsi="仿宋" w:eastAsia="仿宋" w:cs="仿宋"/>
          <w:b/>
          <w:bCs/>
          <w:color w:val="auto"/>
          <w:sz w:val="24"/>
          <w:szCs w:val="24"/>
          <w:highlight w:val="none"/>
        </w:rPr>
        <w:t>5</w:t>
      </w:r>
      <w:r>
        <w:rPr>
          <w:rFonts w:ascii="仿宋" w:hAnsi="仿宋" w:eastAsia="仿宋" w:cs="仿宋"/>
          <w:b/>
          <w:bCs/>
          <w:color w:val="auto"/>
          <w:sz w:val="24"/>
          <w:szCs w:val="24"/>
          <w:highlight w:val="none"/>
          <w:lang w:val="en-US"/>
        </w:rPr>
        <w:t>.1</w:t>
      </w:r>
    </w:p>
    <w:p>
      <w:pPr>
        <w:pStyle w:val="22"/>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合同双方当事人应在协议书和专用条款中约定合同工程的计划竣工日期。</w:t>
      </w:r>
    </w:p>
    <w:p>
      <w:pPr>
        <w:pStyle w:val="22"/>
        <w:adjustRightInd w:val="0"/>
        <w:snapToGrid w:val="0"/>
        <w:spacing w:line="360" w:lineRule="auto"/>
        <w:rPr>
          <w:rFonts w:ascii="仿宋" w:hAnsi="仿宋" w:eastAsia="仿宋" w:cs="仿宋"/>
          <w:b/>
          <w:bCs/>
          <w:color w:val="auto"/>
          <w:sz w:val="24"/>
          <w:szCs w:val="24"/>
          <w:highlight w:val="none"/>
          <w:u w:val="dotted"/>
        </w:rPr>
      </w:pPr>
      <w:r>
        <w:rPr>
          <w:rFonts w:hint="eastAsia" w:ascii="仿宋" w:hAnsi="仿宋" w:eastAsia="仿宋" w:cs="仿宋"/>
          <w:b/>
          <w:bCs/>
          <w:color w:val="auto"/>
          <w:sz w:val="24"/>
          <w:szCs w:val="24"/>
          <w:highlight w:val="none"/>
          <w:lang w:val="en-US"/>
        </w:rPr>
        <w:t>4</w:t>
      </w:r>
      <w:r>
        <w:rPr>
          <w:rFonts w:hint="eastAsia" w:ascii="仿宋" w:hAnsi="仿宋" w:eastAsia="仿宋" w:cs="仿宋"/>
          <w:b/>
          <w:bCs/>
          <w:color w:val="auto"/>
          <w:sz w:val="24"/>
          <w:szCs w:val="24"/>
          <w:highlight w:val="none"/>
        </w:rPr>
        <w:t>5</w:t>
      </w:r>
      <w:r>
        <w:rPr>
          <w:rFonts w:ascii="仿宋" w:hAnsi="仿宋" w:eastAsia="仿宋" w:cs="仿宋"/>
          <w:b/>
          <w:bCs/>
          <w:color w:val="auto"/>
          <w:sz w:val="24"/>
          <w:szCs w:val="24"/>
          <w:highlight w:val="none"/>
          <w:lang w:val="en-US"/>
        </w:rPr>
        <w:t xml:space="preserve">.2  </w:t>
      </w:r>
      <w:r>
        <w:rPr>
          <w:rFonts w:ascii="仿宋" w:hAnsi="仿宋" w:eastAsia="仿宋" w:cs="仿宋"/>
          <w:b/>
          <w:bCs/>
          <w:color w:val="auto"/>
          <w:sz w:val="24"/>
          <w:szCs w:val="24"/>
          <w:highlight w:val="none"/>
          <w:u w:val="dotted"/>
        </w:rPr>
        <w:t xml:space="preserve">                                                            </w:t>
      </w:r>
      <w:r>
        <w:rPr>
          <w:rFonts w:hint="eastAsia" w:ascii="仿宋" w:hAnsi="仿宋" w:eastAsia="仿宋" w:cs="仿宋"/>
          <w:b/>
          <w:bCs/>
          <w:color w:val="auto"/>
          <w:sz w:val="24"/>
          <w:szCs w:val="24"/>
          <w:highlight w:val="none"/>
          <w:u w:val="dotted"/>
        </w:rPr>
        <w:t xml:space="preserve">          </w:t>
      </w:r>
    </w:p>
    <w:p>
      <w:pPr>
        <w:pStyle w:val="22"/>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58"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9pt;margin-top:0.45pt;height:31.2pt;width:77pt;z-index:251778048;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Yc4HvBoCAAAYBAAADgAAAGRycy9lMm9Eb2MueG1srVPNbhMx&#10;EL4j8Q6W72STNG2aVTZVaVSEVH6kwgM4Xm/WYu0xYye74QHgDThx4c5z5TkYe9MQyqUHLpbtGX/z&#10;fd+M51edadhWoddgCz4aDDlTVkKp7brgHz/cvrjkzAdhS9GAVQXfKc+vFs+fzVuXqzHU0JQKGYFY&#10;n7eu4HUILs8yL2tlhB+AU5aCFaARgY64zkoULaGbJhsPhxdZC1g6BKm8p9tlH+QHRHwKIFSVlmoJ&#10;cmOUDT0qqkYEkuRr7TxfJLZVpWR4V1VeBdYUnJSGtFIR2q/imi3mIl+jcLWWBwriKRQeaTJCWyp6&#10;hFqKINgG9T9QRksED1UYSDBZLyQ5QipGw0fe3NfCqaSFrPbuaLr/f7Dy7fY9Ml0WfHxOjbfCUMv3&#10;37/tf/za//zKLidn0aLW+Zwy7x3lhu4ldDQ4Sa53dyA/eWbhphZ2ra4Roa2VKIniKL7MTp72OD6C&#10;rNo3UFIlsQmQgLoKTfSPHGGETu3ZHdujusAkXc6m09mQIpJCZ7OL8SS1LxP5w2OHPrxSYFjcFByp&#10;+wlcbO98iGRE/pASa1m41U2TJqCxf11QYrxJ5CPfnnnoVt3BjBWUO5KB0A8UfSfa1IBfOGtpmAru&#10;P28EKs6a15asmI0mRJaFdJicT8d0wNPI6jQirCSoggfO+u1N6Cd241Cva6rUm2/hmuyrdJIWfe5Z&#10;HXjTwCTFh+GOE3l6Tll/PvT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ZocbVAAAABwEAAA8A&#10;AAAAAAAAAQAgAAAAIgAAAGRycy9kb3ducmV2LnhtbFBLAQIUABQAAAAIAIdO4kBhzge8GgIAABg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rPr>
        <w:t>除发生不可抗力事项致使发包人不能按时竣工验收外，实际竣工日期按照下列情况分别确定：</w:t>
      </w:r>
    </w:p>
    <w:p>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（1）工程经竣工验收合格的，以承包人提交竣工验收申请报告之日为实际竣工日期；</w:t>
      </w:r>
    </w:p>
    <w:p>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（2）承包人已按照第64</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款规定提交竣工验收申请报告，但发包人未按照第65</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款规定完成合同工程验收的，以承包人提交竣工验收申请报告之日为实际竣工日期；</w:t>
      </w:r>
    </w:p>
    <w:p>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（3）工程未经竣工验收，发包人擅自使用的，以转移占有</w:t>
      </w:r>
      <w:r>
        <w:rPr>
          <w:rFonts w:hint="eastAsia" w:ascii="仿宋" w:hAnsi="仿宋" w:eastAsia="仿宋" w:cs="仿宋"/>
          <w:color w:val="auto"/>
          <w:sz w:val="24"/>
          <w:szCs w:val="24"/>
          <w:highlight w:val="none"/>
          <w:lang w:val="en-US"/>
        </w:rPr>
        <w:t>建设</w:t>
      </w:r>
      <w:r>
        <w:rPr>
          <w:rFonts w:hint="eastAsia" w:ascii="仿宋" w:hAnsi="仿宋" w:eastAsia="仿宋" w:cs="仿宋"/>
          <w:color w:val="auto"/>
          <w:sz w:val="24"/>
          <w:szCs w:val="24"/>
          <w:highlight w:val="none"/>
        </w:rPr>
        <w:t>工程之日为竣工日期。</w:t>
      </w:r>
    </w:p>
    <w:p>
      <w:pPr>
        <w:pStyle w:val="22"/>
        <w:adjustRightInd w:val="0"/>
        <w:snapToGrid w:val="0"/>
        <w:spacing w:line="360" w:lineRule="auto"/>
        <w:ind w:left="1626" w:leftChars="1" w:hanging="1624" w:hangingChars="674"/>
        <w:rPr>
          <w:rFonts w:ascii="仿宋" w:hAnsi="仿宋" w:eastAsia="仿宋" w:cs="仿宋"/>
          <w:b/>
          <w:bCs/>
          <w:color w:val="auto"/>
          <w:sz w:val="24"/>
          <w:szCs w:val="24"/>
          <w:highlight w:val="none"/>
          <w:u w:val="dotted"/>
        </w:rPr>
      </w:pPr>
      <w:r>
        <w:rPr>
          <w:rFonts w:hint="eastAsia" w:ascii="仿宋" w:hAnsi="仿宋" w:eastAsia="仿宋" w:cs="仿宋"/>
          <w:b/>
          <w:bCs/>
          <w:color w:val="auto"/>
          <w:sz w:val="24"/>
          <w:szCs w:val="24"/>
          <w:highlight w:val="none"/>
          <w:lang w:val="en-US"/>
        </w:rPr>
        <w:t>4</w:t>
      </w:r>
      <w:r>
        <w:rPr>
          <w:rFonts w:hint="eastAsia" w:ascii="仿宋" w:hAnsi="仿宋" w:eastAsia="仿宋" w:cs="仿宋"/>
          <w:b/>
          <w:bCs/>
          <w:color w:val="auto"/>
          <w:sz w:val="24"/>
          <w:szCs w:val="24"/>
          <w:highlight w:val="none"/>
        </w:rPr>
        <w:t>5</w:t>
      </w:r>
      <w:r>
        <w:rPr>
          <w:rFonts w:ascii="仿宋" w:hAnsi="仿宋" w:eastAsia="仿宋" w:cs="仿宋"/>
          <w:b/>
          <w:bCs/>
          <w:color w:val="auto"/>
          <w:sz w:val="24"/>
          <w:szCs w:val="24"/>
          <w:highlight w:val="none"/>
          <w:lang w:val="en-US"/>
        </w:rPr>
        <w:t xml:space="preserve">.3  </w:t>
      </w:r>
      <w:r>
        <w:rPr>
          <w:rFonts w:ascii="仿宋" w:hAnsi="仿宋" w:eastAsia="仿宋" w:cs="仿宋"/>
          <w:b/>
          <w:bCs/>
          <w:color w:val="auto"/>
          <w:sz w:val="24"/>
          <w:szCs w:val="24"/>
          <w:highlight w:val="none"/>
          <w:u w:val="dotted"/>
        </w:rPr>
        <w:t xml:space="preserve">                                                                      </w:t>
      </w:r>
    </w:p>
    <w:p>
      <w:pPr>
        <w:pStyle w:val="13"/>
        <w:widowControl w:val="0"/>
        <w:adjustRightInd w:val="0"/>
        <w:snapToGrid w:val="0"/>
        <w:spacing w:line="360" w:lineRule="auto"/>
        <w:ind w:left="1850" w:leftChars="771" w:firstLine="0"/>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257" name="文本框 844"/>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026" o:spt="202" type="#_x0000_t202" style="position:absolute;left:0pt;margin-left:-9pt;margin-top:3.75pt;height:35.9pt;width:72pt;z-index:251779072;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pYUvxgCAAAYBAAADgAAAGRycy9lMm9Eb2MueG1srVPNbhMx&#10;EL4j8Q6W72STsKHtKpuqNCpCKj9S4QEcrzdrsfaYsZPd8ADwBpy4cOe58hyMvWkI5dIDF8v2jL/5&#10;vm/G88vetGyr0GuwJZ+MxpwpK6HSdl3yjx9unp1z5oOwlWjBqpLvlOeXi6dP5p0r1BQaaCuFjECs&#10;LzpX8iYEV2SZl40ywo/AKUvBGtCIQEdcZxWKjtBNm03H4xdZB1g5BKm8p9vlEOQHRHwMINS1lmoJ&#10;cmOUDQMqqlYEkuQb7TxfJLZ1rWR4V9deBdaWnJSGtFIR2q/imi3molijcI2WBwriMRQeaDJCWyp6&#10;hFqKINgG9T9QRksED3UYSTDZICQ5Qiom4wfe3DXCqaSFrPbuaLr/f7Dy7fY9Ml2VfDo748wKQy3f&#10;f/+2//Fr//MrO8/zaFHnfEGZd45yQ/8SehqcJNe7W5CfPLNw3Qi7VleI0DVKVERxEl9mJ08HHB9B&#10;Vt0bqKiS2ARIQH2NJvpHjjBCp/bsju1RfWCSLi8meT6miKRQPptdPE/ty0Rx/9ihD68UGBY3JUfq&#10;fgIX21sfIhlR3KfEWhZudNumCWjtXxeUGG8S+ch3YB76VX8wYwXVjmQgDANF34k2DeAXzjoappL7&#10;zxuBirP2tSUrEnOavnTIZ2dTUoGnkdVpRFhJUCUPnA3b6zBM7MahXjdUaTDfwhXZV+skLfo8sD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EM3K1QAAAAgBAAAPAAAA&#10;AAAAAAEAIAAAACIAAABkcnMvZG93bnJldi54bWxQSwECFAAUAAAACACHTuJA/pYUvx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pPr>
        <w:spacing w:line="360" w:lineRule="auto"/>
        <w:ind w:left="1850" w:leftChars="771" w:firstLine="60" w:firstLineChars="25"/>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7条规定</w:t>
      </w:r>
      <w:r>
        <w:rPr>
          <w:rFonts w:hint="eastAsia" w:ascii="仿宋" w:hAnsi="仿宋" w:eastAsia="仿宋" w:cs="仿宋"/>
          <w:caps/>
          <w:color w:val="auto"/>
          <w:highlight w:val="none"/>
          <w:lang w:eastAsia="zh-CN"/>
        </w:rPr>
        <w:t>赔偿发包人由此造成的损失，并向发包人支付误期赔偿费。</w:t>
      </w:r>
    </w:p>
    <w:p>
      <w:pPr>
        <w:spacing w:line="360" w:lineRule="auto"/>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24" w:name="_Toc9443"/>
      <w:bookmarkStart w:id="325" w:name="_Toc47694320"/>
      <w:bookmarkStart w:id="326" w:name="_Toc10274"/>
      <w:r>
        <w:rPr>
          <w:rFonts w:hint="eastAsia" w:ascii="仿宋" w:hAnsi="仿宋" w:eastAsia="仿宋" w:cs="仿宋"/>
          <w:bCs w:val="0"/>
          <w:color w:val="auto"/>
          <w:sz w:val="24"/>
          <w:szCs w:val="24"/>
          <w:highlight w:val="none"/>
        </w:rPr>
        <w:t>46</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提前竣工</w:t>
      </w:r>
      <w:bookmarkEnd w:id="324"/>
      <w:bookmarkEnd w:id="325"/>
      <w:bookmarkEnd w:id="326"/>
    </w:p>
    <w:p>
      <w:pPr>
        <w:pStyle w:val="22"/>
        <w:adjustRightInd w:val="0"/>
        <w:snapToGrid w:val="0"/>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lang w:val="en-US"/>
        </w:rPr>
        <w:t>4</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.1</w:t>
      </w:r>
    </w:p>
    <w:p>
      <w:pPr>
        <w:pStyle w:val="22"/>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80096"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256" name="文本框 845"/>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026" o:spt="202" type="#_x0000_t202" style="position:absolute;left:0pt;margin-left:-5.25pt;margin-top:2.4pt;height:31.2pt;width:77pt;z-index:251780096;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llaJvRsCAAAYBAAADgAAAGRycy9lMm9Eb2MueG1srVNLbtsw&#10;EN0X6B0I7mvJrj+xYDlIY6QokH6AtAegKcoiKnHYIW3JPUBzg6666b7n8jk6pBzXTTdZdEOQnOGb&#10;994MF5ddU7OdQqfB5Hw4SDlTRkKhzSbnnz7evLjgzHlhClGDUTnfK8cvl8+fLVqbqRFUUBcKGYEY&#10;l7U255X3NksSJyvVCDcAqwwFS8BGeDriJilQtITe1MkoTadJC1hYBKmco9tVH+RHRHwKIJSllmoF&#10;ctso43tUVLXwJMlV2jq+jGzLUkn/viyd8qzOOSn1caUitF+HNVkuRLZBYSstjxTEUyg80tQIbajo&#10;CWolvGBb1P9ANVoiOCj9QEKT9EKiI6RimD7y5q4SVkUtZLWzJ9Pd/4OV73YfkOki56PJlDMjGmr5&#10;4fv94cevw89v7GI8CRa11mWUeWcp13evoKPBiXKdvQX52TED15UwG3WFCG2lREEUh+Flcva0x3EB&#10;ZN2+hYIqia2HCNSV2AT/yBFG6NSe/ak9qvNM0uV8NpunFJEUejmfjsaxfYnIHh5bdP61goaFTc6R&#10;uh/Bxe7W+UBGZA8poZaBG13XcQJq89cFJYabSD7w7Zn7bt0dzVhDsScZCP1A0XeiTQX4lbOWhinn&#10;7stWoOKsfmPIivlwTGSZj4fxZDaiA55H1ucRYSRB5dxz1m+vfT+xW4t6U1Gl3nwDV2RfqaO04HPP&#10;6sibBiYqPg53mMjzc8z686G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HT+P1QAAAAgBAAAP&#10;AAAAAAAAAAEAIAAAACIAAABkcnMvZG93bnJldi54bWxQSwECFAAUAAAACACHTuJAllaJvRsCAAAY&#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rPr>
        <w:t>发包人要求承包人提前竣工，或承包人按照第44</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款规定提交提前竣工建议书为发包人接受的，监理人应与承包人商定采取加快工程进度的措施，并修订合同工程进度计划。</w:t>
      </w:r>
    </w:p>
    <w:p>
      <w:pPr>
        <w:pStyle w:val="22"/>
        <w:adjustRightInd w:val="0"/>
        <w:snapToGrid w:val="0"/>
        <w:spacing w:line="360" w:lineRule="auto"/>
        <w:rPr>
          <w:rFonts w:ascii="仿宋" w:hAnsi="仿宋" w:eastAsia="仿宋" w:cs="仿宋"/>
          <w:b/>
          <w:bCs/>
          <w:color w:val="auto"/>
          <w:sz w:val="24"/>
          <w:szCs w:val="24"/>
          <w:highlight w:val="none"/>
          <w:u w:val="dotted"/>
        </w:rPr>
      </w:pPr>
      <w:r>
        <w:rPr>
          <w:rFonts w:hint="eastAsia" w:ascii="仿宋" w:hAnsi="仿宋" w:eastAsia="仿宋" w:cs="仿宋"/>
          <w:b/>
          <w:bCs/>
          <w:color w:val="auto"/>
          <w:sz w:val="24"/>
          <w:szCs w:val="24"/>
          <w:highlight w:val="none"/>
          <w:lang w:val="en-US"/>
        </w:rPr>
        <w:t>4</w:t>
      </w:r>
      <w:r>
        <w:rPr>
          <w:rFonts w:hint="eastAsia" w:ascii="仿宋" w:hAnsi="仿宋" w:eastAsia="仿宋" w:cs="仿宋"/>
          <w:b/>
          <w:bCs/>
          <w:color w:val="auto"/>
          <w:sz w:val="24"/>
          <w:szCs w:val="24"/>
          <w:highlight w:val="none"/>
        </w:rPr>
        <w:t>6</w:t>
      </w:r>
      <w:r>
        <w:rPr>
          <w:rFonts w:ascii="仿宋" w:hAnsi="仿宋" w:eastAsia="仿宋" w:cs="仿宋"/>
          <w:b/>
          <w:bCs/>
          <w:color w:val="auto"/>
          <w:sz w:val="24"/>
          <w:szCs w:val="24"/>
          <w:highlight w:val="none"/>
          <w:lang w:val="en-US"/>
        </w:rPr>
        <w:t xml:space="preserve">.2  </w:t>
      </w:r>
      <w:r>
        <w:rPr>
          <w:rFonts w:ascii="仿宋" w:hAnsi="仿宋" w:eastAsia="仿宋" w:cs="仿宋"/>
          <w:b/>
          <w:bCs/>
          <w:color w:val="auto"/>
          <w:sz w:val="24"/>
          <w:szCs w:val="24"/>
          <w:highlight w:val="none"/>
          <w:u w:val="dotted"/>
        </w:rPr>
        <w:t xml:space="preserve">                                                                      </w:t>
      </w:r>
    </w:p>
    <w:p>
      <w:pPr>
        <w:pStyle w:val="22"/>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255"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026" o:spt="202" type="#_x0000_t202" style="position:absolute;left:0pt;margin-left:-9pt;margin-top:0.45pt;height:31.2pt;width:77pt;z-index:251781120;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5u89uRsCAAAYBAAADgAAAGRycy9lMm9Eb2MueG1srVNLbtsw&#10;EN0X6B0I7mvJrj+xYDlIY6QokH6AtAegKcoiKnHYIW3JPUBzg6666b7n8jk6pBzXTTdZdEOQnOGb&#10;994MF5ddU7OdQqfB5Hw4SDlTRkKhzSbnnz7evLjgzHlhClGDUTnfK8cvl8+fLVqbqRFUUBcKGYEY&#10;l7U255X3NksSJyvVCDcAqwwFS8BGeDriJilQtITe1MkoTadJC1hYBKmco9tVH+RHRHwKIJSllmoF&#10;ctso43tUVLXwJMlV2jq+jGzLUkn/viyd8qzOOSn1caUitF+HNVkuRLZBYSstjxTEUyg80tQIbajo&#10;CWolvGBb1P9ANVoiOCj9QEKT9EKiI6RimD7y5q4SVkUtZLWzJ9Pd/4OV73YfkOki56PJhDMjGmr5&#10;4fv94cevw89v7GI8DRa11mWUeWcp13evoKPBiXKdvQX52TED15UwG3WFCG2lREEUh+Flcva0x3EB&#10;ZN2+hYIqia2HCNSV2AT/yBFG6NSe/ak9qvNM0uV8NpunFJEUejmfjsaxfYnIHh5bdP61goaFTc6R&#10;uh/Bxe7W+UBGZA8poZaBG13XcQJq89cFJYabSD7w7Zn7bt0dzVhDsScZCP1A0XeiTQX4lbOWhinn&#10;7stWoOKsfmPIivlwTGSZj4fxZDaiA55H1ucRYSRB5dxz1m+vfT+xW4t6U1Gl3nwDV2RfqaO04HPP&#10;6sibBiYqPg53mMjzc8z686G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maHG1QAAAAcBAAAP&#10;AAAAAAAAAAEAIAAAACIAAABkcnMvZG93bnJldi54bWxQSwECFAAUAAAACACHTuJA5u89uRsCAAAY&#10;BAAADgAAAAAAAAABACAAAAAk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rPr>
        <w:t>提前竣工天数按照第45</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款规定确定的计划竣工天数减去实际竣工天数计算，其公式为：</w:t>
      </w:r>
    </w:p>
    <w:p>
      <w:pPr>
        <w:pStyle w:val="22"/>
        <w:adjustRightInd w:val="0"/>
        <w:snapToGrid w:val="0"/>
        <w:spacing w:line="360" w:lineRule="auto"/>
        <w:ind w:firstLine="2160" w:firstLineChars="900"/>
        <w:rPr>
          <w:rFonts w:ascii="仿宋" w:hAnsi="仿宋" w:eastAsia="仿宋"/>
          <w:color w:val="auto"/>
          <w:sz w:val="24"/>
          <w:szCs w:val="24"/>
          <w:highlight w:val="none"/>
        </w:rPr>
      </w:pPr>
      <w:r>
        <w:rPr>
          <w:rFonts w:hint="eastAsia" w:ascii="仿宋" w:hAnsi="仿宋" w:eastAsia="仿宋" w:cs="仿宋"/>
          <w:color w:val="auto"/>
          <w:sz w:val="24"/>
          <w:szCs w:val="24"/>
          <w:highlight w:val="none"/>
        </w:rPr>
        <w:t>提前竣工天数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计划竣工天数</w:t>
      </w:r>
      <w:r>
        <w:rPr>
          <w:rFonts w:ascii="仿宋" w:hAnsi="仿宋" w:eastAsia="仿宋" w:cs="仿宋"/>
          <w:color w:val="auto"/>
          <w:sz w:val="24"/>
          <w:szCs w:val="24"/>
          <w:highlight w:val="none"/>
        </w:rPr>
        <w:t xml:space="preserve"> — </w:t>
      </w:r>
      <w:r>
        <w:rPr>
          <w:rFonts w:hint="eastAsia" w:ascii="仿宋" w:hAnsi="仿宋" w:eastAsia="仿宋" w:cs="仿宋"/>
          <w:color w:val="auto"/>
          <w:sz w:val="24"/>
          <w:szCs w:val="24"/>
          <w:highlight w:val="none"/>
        </w:rPr>
        <w:t>实际竣工天数</w:t>
      </w:r>
    </w:p>
    <w:p>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款规定向承包人支付提前竣工奖。</w:t>
      </w:r>
    </w:p>
    <w:p>
      <w:pPr>
        <w:pStyle w:val="22"/>
        <w:tabs>
          <w:tab w:val="left" w:pos="540"/>
        </w:tabs>
        <w:adjustRightInd w:val="0"/>
        <w:snapToGrid w:val="0"/>
        <w:spacing w:before="240" w:beforeLines="100" w:line="360" w:lineRule="auto"/>
        <w:rPr>
          <w:rFonts w:ascii="仿宋" w:hAnsi="仿宋" w:eastAsia="仿宋" w:cs="仿宋"/>
          <w:b/>
          <w:bCs/>
          <w:caps/>
          <w:color w:val="auto"/>
          <w:sz w:val="24"/>
          <w:szCs w:val="24"/>
          <w:highlight w:val="none"/>
          <w:u w:val="single"/>
        </w:rPr>
      </w:pPr>
      <w:r>
        <w:rPr>
          <w:rFonts w:ascii="仿宋" w:hAnsi="仿宋" w:eastAsia="仿宋" w:cs="仿宋"/>
          <w:b/>
          <w:bCs/>
          <w:caps/>
          <w:color w:val="auto"/>
          <w:sz w:val="24"/>
          <w:szCs w:val="24"/>
          <w:highlight w:val="none"/>
          <w:u w:val="single"/>
        </w:rPr>
        <w:t xml:space="preserve">                                                                        </w:t>
      </w:r>
      <w:r>
        <w:rPr>
          <w:rFonts w:hint="eastAsia" w:ascii="仿宋" w:hAnsi="仿宋" w:eastAsia="仿宋" w:cs="仿宋"/>
          <w:b/>
          <w:bCs/>
          <w:cap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27" w:name="_Toc16523"/>
      <w:bookmarkStart w:id="328" w:name="_Toc30197"/>
      <w:bookmarkStart w:id="329" w:name="_Toc47694321"/>
      <w:r>
        <w:rPr>
          <w:rFonts w:ascii="仿宋" w:hAnsi="仿宋" w:eastAsia="仿宋" w:cs="仿宋"/>
          <w:bCs w:val="0"/>
          <w:color w:val="auto"/>
          <w:sz w:val="24"/>
          <w:szCs w:val="24"/>
          <w:highlight w:val="none"/>
        </w:rPr>
        <w:t>4</w:t>
      </w:r>
      <w:r>
        <w:rPr>
          <w:rFonts w:hint="eastAsia" w:ascii="仿宋" w:hAnsi="仿宋" w:eastAsia="仿宋" w:cs="仿宋"/>
          <w:bCs w:val="0"/>
          <w:color w:val="auto"/>
          <w:sz w:val="24"/>
          <w:szCs w:val="24"/>
          <w:highlight w:val="none"/>
        </w:rPr>
        <w:t>7</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误期赔偿</w:t>
      </w:r>
      <w:bookmarkEnd w:id="327"/>
      <w:bookmarkEnd w:id="328"/>
      <w:bookmarkEnd w:id="329"/>
    </w:p>
    <w:p>
      <w:pPr>
        <w:rPr>
          <w:rFonts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pPr>
        <w:spacing w:line="360" w:lineRule="auto"/>
        <w:ind w:left="1850" w:leftChars="771"/>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2144"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254"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026" o:spt="202" type="#_x0000_t202" style="position:absolute;left:0pt;margin-left:-10.5pt;margin-top:8.2pt;height:25.85pt;width:77pt;z-index:251782144;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AfnJzoaAgAAGAQAAA4AAABkcnMvZTJvRG9jLnhtbK1TQY7T&#10;MBTdI3EHy3uaNrS0jZqOhqkGIQ0w0sABXMdpLBJ/8+02KQeAG7Biw37O1XPw7XRKGTazYBPZ/t/v&#10;v/f8srjomprtFDoNJuejwZAzZSQU2mxy/unj9YsZZ84LU4gajMr5Xjl+sXz+bNHaTKVQQV0oZARi&#10;XNbanFfe2yxJnKxUI9wArDJULAEb4WmLm6RA0RJ6UyfpcPgqaQELiyCVc3S66ov8iIhPAYSy1FKt&#10;QG4bZXyPiqoWniS5SlvHl5FtWSrpP5SlU57VOSelPn5pCK3X4ZssFyLboLCVlkcK4ikUHmlqhDY0&#10;9AS1El6wLep/oBotERyUfiChSXoh0RFSMRo+8uauElZFLWS1syfT3f+Dle93t8h0kfN0MubMiIae&#10;/PDj++Hn/eHXNzYbT4NFrXUZdd5Z6vXda+goOFGuszcgPztm4KoSZqMuEaGtlCiI4ijcTM6u9jgu&#10;gKzbd1DQJLH1EIG6EpvgHznCCJ2eZ396HtV5JulwPp3Oh1SRVHqZztL5JE4Q2cNli86/UdCwsMg5&#10;0utHcLG7cT6QEdlDS5hl4FrXdUxAbf46oMZwEskHvj1z3627oxlrKPYkA6EPFP1OtKgAv3LWUphy&#10;7r5sBSrO6reGrJiPxuOQvrgZT6YpbfC8sj6vCCMJKuees3555fvEbi3qTUWTevMNXJJ9pY7Sgs89&#10;qyNvCkxUfAx3SOT5Pnb9+aG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W1ER1gAAAAkBAAAP&#10;AAAAAAAAAAEAIAAAACIAAABkcnMvZG93bnJldi54bWxQSwECFAAUAAAACACHTuJAB+cnOhoCAAAY&#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规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spacing w:line="360" w:lineRule="auto"/>
        <w:ind w:left="1850" w:leftChars="771"/>
        <w:jc w:val="both"/>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253"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w:pict>
              <v:shape id="文本框 848" o:spid="_x0000_s1026" o:spt="202" type="#_x0000_t202" style="position:absolute;left:0pt;margin-left:-9pt;margin-top:2.5pt;height:62.35pt;width:84.35pt;z-index:251783168;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HjNsWgaAgAAGQQAAA4AAABkcnMvZTJvRG9jLnhtbK1TwW4T&#10;MRC9I/EPlu9ksyEh6SqbqjQqQioUqfABjtebtdj1mLGT3fAB9A84ceHe78p3MPamaSiXHrhYY8/4&#10;zXvP4/l519Rsq9BpMDlPB0POlJFQaLPO+ZfPV69mnDkvTCFqMCrnO+X4+eLli3lrMzWCCupCISMQ&#10;47LW5rzy3mZJ4mSlGuEGYJWhZAnYCE9bXCcFipbQmzoZDYdvkhawsAhSOUenyz7JD4j4HEAoSy3V&#10;EuSmUcb3qKhq4UmSq7R1fBHZlqWS/qYsnfKszjkp9XGlJhSvwpos5iJbo7CVlgcK4jkUnmhqhDbU&#10;9Ai1FF6wDep/oBotERyUfiChSXoh0RFSkQ6feHNbCauiFrLa2aPp7v/Byo/bT8h0kfPR5DVnRjT0&#10;5Pufd/tf9/vfP9hsPAsWtdZlVHlrqdZ3b6GjwYlynb0G+dUxA5eVMGt1gQhtpURBFNNwMzm52uO4&#10;ALJqP0BBncTGQwTqSmyCf+QII3R6nt3xeVTnmQwth9N0NJ5wJik3PUtnFIcWInu4bdH5dwoaFoKc&#10;Iz1/RBfba+f70oeS0MzAla5rOhdZbf46IMxwEtkHwj113606qg6SVlDsSAdCP1H0nyioAL9z1tI0&#10;5dx92whUnNXvDXlxlo7HYfziZjyZjmiDp5nVaUYYSVA595z14aXvR3ZjUa8r6tS7b+CC/Ct1lPbI&#10;6sCbJiaac5juMJKn+1j1+KM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mfuJ1gAAAAkBAAAP&#10;AAAAAAAAAAEAIAAAACIAAABkcnMvZG93bnJldi54bWxQSwECFAAUAAAACACHTuJAeM2xaBoCAAAZ&#10;BAAADgAAAAAAAAABACAAAAAl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pPr>
        <w:spacing w:line="360" w:lineRule="auto"/>
        <w:ind w:firstLine="216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款规定向发包人支付误期赔偿费。</w:t>
      </w:r>
    </w:p>
    <w:p>
      <w:pPr>
        <w:pStyle w:val="22"/>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22"/>
        <w:adjustRightInd w:val="0"/>
        <w:snapToGrid w:val="0"/>
        <w:spacing w:line="360" w:lineRule="auto"/>
        <w:jc w:val="center"/>
        <w:outlineLvl w:val="1"/>
        <w:rPr>
          <w:rFonts w:ascii="仿宋" w:hAnsi="仿宋" w:eastAsia="仿宋"/>
          <w:b/>
          <w:bCs/>
          <w:color w:val="auto"/>
          <w:sz w:val="24"/>
          <w:szCs w:val="24"/>
          <w:highlight w:val="none"/>
        </w:rPr>
      </w:pPr>
      <w:bookmarkStart w:id="330" w:name="_Toc47694322"/>
      <w:bookmarkStart w:id="331" w:name="_Toc11175"/>
      <w:bookmarkStart w:id="332" w:name="_Toc11133"/>
      <w:r>
        <w:rPr>
          <w:rFonts w:hint="eastAsia" w:ascii="仿宋" w:hAnsi="仿宋" w:eastAsia="仿宋" w:cs="仿宋"/>
          <w:b/>
          <w:bCs/>
          <w:color w:val="auto"/>
          <w:sz w:val="24"/>
          <w:szCs w:val="24"/>
          <w:highlight w:val="none"/>
        </w:rPr>
        <w:t>六、质量与安全</w:t>
      </w:r>
      <w:bookmarkEnd w:id="330"/>
      <w:bookmarkEnd w:id="331"/>
      <w:bookmarkEnd w:id="332"/>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33" w:name="_Toc4920"/>
      <w:bookmarkStart w:id="334" w:name="_Toc18967"/>
      <w:bookmarkStart w:id="335" w:name="_Toc47694323"/>
      <w:r>
        <w:rPr>
          <w:rFonts w:hint="eastAsia" w:ascii="仿宋" w:hAnsi="仿宋" w:eastAsia="仿宋" w:cs="仿宋"/>
          <w:bCs w:val="0"/>
          <w:color w:val="auto"/>
          <w:sz w:val="24"/>
          <w:szCs w:val="24"/>
          <w:highlight w:val="none"/>
        </w:rPr>
        <w:t>★</w:t>
      </w:r>
      <w:r>
        <w:rPr>
          <w:rFonts w:ascii="仿宋" w:hAnsi="仿宋" w:eastAsia="仿宋" w:cs="仿宋"/>
          <w:bCs w:val="0"/>
          <w:color w:val="auto"/>
          <w:sz w:val="24"/>
          <w:szCs w:val="24"/>
          <w:highlight w:val="none"/>
        </w:rPr>
        <w:t>4</w:t>
      </w:r>
      <w:r>
        <w:rPr>
          <w:rFonts w:hint="eastAsia" w:ascii="仿宋" w:hAnsi="仿宋" w:eastAsia="仿宋" w:cs="仿宋"/>
          <w:bCs w:val="0"/>
          <w:color w:val="auto"/>
          <w:sz w:val="24"/>
          <w:szCs w:val="24"/>
          <w:highlight w:val="none"/>
        </w:rPr>
        <w:t>8</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质量与安全管理</w:t>
      </w:r>
      <w:bookmarkEnd w:id="333"/>
      <w:bookmarkEnd w:id="334"/>
      <w:bookmarkEnd w:id="335"/>
    </w:p>
    <w:p>
      <w:pPr>
        <w:tabs>
          <w:tab w:val="left" w:pos="780"/>
        </w:tabs>
        <w:adjustRightInd w:val="0"/>
        <w:snapToGrid w:val="0"/>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pPr>
        <w:pStyle w:val="22"/>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252" name="文本框 852"/>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026" o:spt="202" type="#_x0000_t202" style="position:absolute;left:0pt;margin-left:-9pt;margin-top:-0.5pt;height:41.45pt;width:72pt;z-index:251785216;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hxVF5xcCAAAYBAAADgAAAGRycy9lMm9Eb2MueG1srVPNbhMx&#10;EL4j8Q6W72STVVLaVTZVaVSEVH6kwgM4Xm/WYu0xYye74QHgDThx4c5z5Tk69qYhlEsPXCx7ZvzN&#10;930ezy9707KtQq/BlnwyGnOmrIRK23XJP328eXHOmQ/CVqIFq0q+U55fLp4/m3euUDk00FYKGYFY&#10;X3Su5E0IrsgyLxtlhB+BU5aSNaARgY64zioUHaGbNsvH47OsA6wcglTeU3Q5JPkBEZ8CCHWtpVqC&#10;3Bhlw4CKqhWBJPlGO88XiW1dKxne17VXgbUlJ6UhrdSE9qu4Zou5KNYoXKPlgYJ4CoVHmozQlpoe&#10;oZYiCLZB/Q+U0RLBQx1GEkw2CEmOkIrJ+JE3d41wKmkhq707mu7/H6x8t/2ATFclz2c5Z1YYevL9&#10;j+/7n7/3v76xcwqSRZ3zBVXeOaoN/SvoaXCSXO9uQX72zMJ1I+xaXSFC1yhREcVJvJmdXB1wfARZ&#10;dW+hok5iEyAB9TWa6B85wgidnmd3fB7VByYpeDGZTseUkZSa5WfTySx1EMXDZYc+vFZgWNyUHOn1&#10;E7jY3voQyYjioST2snCj2zZNQGv/ClBhjCTyke/APPSr/mDGCqodyUAYBoq+E20awK+cdTRMJfdf&#10;NgIVZ+0bS1Yk5jR96TCdvcxJBZ5mVqcZYSVBlTxwNmyvwzCxG4d63VCnwXwLV2RfrZO06PPA6sCb&#10;BiYpPgx3nMjTc6r686EX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1nzT3VAAAACQEAAA8AAAAA&#10;AAAAAQAgAAAAIgAAAGRycy9kb3ducmV2LnhtbFBLAQIUABQAAAAIAIdO4kCHFUXn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firstLine="0"/>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251" name="文本框 853"/>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026" o:spt="202" type="#_x0000_t202" style="position:absolute;left:0pt;margin-left:-9pt;margin-top:2.8pt;height:32.3pt;width:72pt;z-index:251786240;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UjteyxgCAAAYBAAADgAAAGRycy9lMm9Eb2MueG1srVPNjtMw&#10;EL4j8Q6W7zRJaWGJmq6WrRYhLT/SwgO4jtNYxB4zdpssDwBvwIkLd56rz8HY6ZayXPbAxbI942++&#10;75vx4nwwHdsp9BpsxYtJzpmyEmptNxX/+OHqyRlnPghbiw6sqvit8vx8+fjRonelmkILXa2QEYj1&#10;Ze8q3obgyizzslVG+Ak4ZSnYABoR6IibrEbRE7rpsmmeP8t6wNohSOU93a7GID8g4kMAoWm0VCuQ&#10;W6NsGFFRdSKQJN9q5/kysW0aJcO7pvEqsK7ipDSklYrQfh3XbLkQ5QaFa7U8UBAPoXBPkxHaUtEj&#10;1EoEwbao/4EyWiJ4aMJEgslGIckRUlHk97y5aYVTSQtZ7d3RdP//YOXb3Xtkuq74dF5wZoWhlu+/&#10;f9v/+LX/+ZWdzZ9Gi3rnS8q8cZQbhpcw0OAkud5dg/zkmYXLVtiNukCEvlWiJopFfJmdPB1xfARZ&#10;92+gpkpiGyABDQ2a6B85wgid2nN7bI8aApN0+aKYzXKKSArNinxapPZlorx77NCHVwoMi5uKI3U/&#10;gYvdtQ+RjCjvUmItC1e669IEdPavC0qMN4l85DsyD8N6OJixhvqWZCCMA0XfiTYt4BfOehqmivvP&#10;W4GKs+61JSsSc5q+dJjNn09JBZ5G1qcRYSVBVTxwNm4vwzixW4d601Kl0XwLF2Rfo5O06PPI6sCb&#10;BiYpPgx3nMjTc8r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LuJb1QAAAAgBAAAPAAAA&#10;AAAAAAEAIAAAACIAAABkcnMvZG93bnJldi54bWxQSwECFAAUAAAACACHTuJAUjteyx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内部勘察、设计成果、建筑信息模型（BIM）的审查，加强勘察、设计、BIM技术、采购、施工等专业人员的内部协调和管理，在施工场地设置专门的工程质量和施工安全管理机构，配备专职管理人员，建立完善的管理制度。</w:t>
      </w:r>
    </w:p>
    <w:p>
      <w:pPr>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351790</wp:posOffset>
                </wp:positionV>
                <wp:extent cx="914400" cy="342900"/>
                <wp:effectExtent l="0" t="0" r="0" b="0"/>
                <wp:wrapNone/>
                <wp:docPr id="250"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026" o:spt="202" type="#_x0000_t202" style="position:absolute;left:0pt;margin-left:-9pt;margin-top:27.7pt;height:27pt;width:72pt;z-index:251913216;mso-width-relative:page;mso-height-relative:page;" filled="f" stroked="f" coordsize="21600,21600" o:gfxdata="UEsDBAoAAAAAAIdO4kAAAAAAAAAAAAAAAAAEAAAAZHJzL1BLAwQUAAAACACHTuJA9T6OAdcAAAAK&#10;AQAADwAAAGRycy9kb3ducmV2LnhtbE2PQW/CMAyF75P4D5En7QZJUYuga8qBaddNY4C0W2hMW61x&#10;qibQ7t/PnLab7ff0/L1iO7lO3HAIrScNyUKBQKq8banWcPh8na9BhGjIms4TavjBANty9lCY3PqR&#10;PvC2j7XgEAq50dDE2OdShqpBZ8LC90isXfzgTOR1qKUdzMjhrpNLpVbSmZb4Q2N63DVYfe+vTsPx&#10;7fJ1StV7/eKyfvSTkuQ2Uuunx0Q9g4g4xT8z3PEZHUpmOvsr2SA6DfNkzV2ihixLQdwNyxUfzjyo&#10;TQqyLOT/CuUvUEsDBBQAAAAIAIdO4kDM0vdvFgIAABgEAAAOAAAAZHJzL2Uyb0RvYy54bWytU82O&#10;0zAQviPxDpbvNG1pYTdqulq2WoS0/EgLD+A4TmMRe8zYbVIeAN6AExfuPFefg7HT7Zblsgcu0Xhm&#10;/M33fZ4sLnrTsq1Cr8EWfDIac6ashErbdcE/fbx+dsaZD8JWogWrCr5Tnl8snz5ZdC5XU2igrRQy&#10;ArE+71zBmxBcnmVeNsoIPwKnLBVrQCMCHXGdVSg6QjdtNh2PX2QdYOUQpPKesquhyA+I+BhAqGst&#10;1QrkxigbBlRUrQgkyTfaeb5MbOtayfC+rr0KrC04KQ3pS0MoLuM3Wy5EvkbhGi0PFMRjKDzQZIS2&#10;NPQItRJBsA3qf6CMlgge6jCSYLJBSHKEVEzGD7y5bYRTSQtZ7d3RdP//YOW77Qdkuir4dE6eWGHo&#10;yfc/vu9//t7/+sbO5rNoUed8Tp23jnpD/wp6Wpwk17sbkJ89s3DVCLtWl4jQNUpURHESb2YnVwcc&#10;H0HK7i1UNElsAiSgvkYT/SNHGKETld3xeVQfmKTk+WQ2G1NFUun5bHpOcZwg8rvLDn14rcCwGBQc&#10;6fUTuNje+DC03rXEWRauddtSXuSt/StBmDGTyEe+A/PQlz11R0UlVDuSgTAsFP1OFDSAXznraJkK&#10;7r9sBCrO2jeWrEjMafvSYTZ/OSUVeFopTyvCSoIqeOBsCK/CsLEbh3rd0KTBfAuXZF+tk7R7Vgfe&#10;tDDJnMNyx408Paeu+x96+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1Po4B1wAAAAoBAAAPAAAA&#10;AAAAAAEAIAAAACIAAABkcnMvZG93bnJldi54bWxQSwECFAAUAAAACACHTuJAzNL3bxYCAAAYBAAA&#10;DgAAAAAAAAABACAAAAAm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作业人员的工程质量和施工安全教育培训，定期考核施工作业人员的劳动技能，加强工程质量和施工安全管理。</w:t>
      </w:r>
    </w:p>
    <w:p>
      <w:pPr>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1424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249" name="文本框 855"/>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026" o:spt="202" type="#_x0000_t202" style="position:absolute;left:0pt;margin-left:-9.1pt;margin-top:22pt;height:30.7pt;width:72pt;z-index:25191424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Htkx/0YAgAAGAQAAA4AAABkcnMvZTJvRG9jLnhtbK1TS44T&#10;MRDdI3EHy3vSSUggaaUzGiYahDR8pIEDOG532qLtMmUn3eEAzA1YsWHPuXIOyu5MCMNmFmws21V+&#10;9d6r8uKiMw3bKfQabMFHgyFnykootd0U/NPH62czznwQthQNWFXwvfL8Yvn0yaJ1uRpDDU2pkBGI&#10;9XnrCl6H4PIs87JWRvgBOGUpWAEaEeiIm6xE0RK6abLxcPgiawFLhyCV93S76oP8iIiPAYSq0lKt&#10;QG6NsqFHRdWIQJJ8rZ3ny8S2qpQM76vKq8CagpPSkFYqQvt1XLPlQuQbFK7W8khBPIbCA01GaEtF&#10;T1ArEQTbov4HymiJ4KEKAwkm64UkR0jFaPjAm9taOJW0kNXenUz3/w9Wvtt9QKbLgo8nc86sMNTy&#10;w/e7w49fh5/f2Gw6jRa1zueUeesoN3SvoKPBSXK9uwH52TMLV7WwG3WJCG2tREkUR/Fldva0x/ER&#10;ZN2+hZIqiW2ABNRVaKJ/5AgjdGrP/tQe1QUm6XI+mkyGFJEUej6bz+apfZnI7x879OG1AsPipuBI&#10;3U/gYnfjQyQj8vuUWMvCtW6aNAGN/euCEuNNIh/59sxDt+6OZqyh3JMMhH6g6DvRpgb8yllLw1Rw&#10;/2UrUHHWvLFkRWJO05cOk+nLManA88j6PCKsJKiCB8767VXoJ3brUG9qqtSbb+GS7Kt0khZ97lkd&#10;edPAJMXH4Y4TeX5OWX8+9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3YQS9YAAAAKAQAADwAA&#10;AAAAAAABACAAAAAiAAAAZHJzL2Rvd25yZXYueG1sUEsBAhQAFAAAAAgAh07iQHtkx/0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pStyle w:val="13"/>
        <w:adjustRightInd w:val="0"/>
        <w:snapToGrid w:val="0"/>
        <w:spacing w:line="360" w:lineRule="auto"/>
        <w:ind w:left="1850" w:leftChars="771" w:firstLine="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pPr>
        <w:pStyle w:val="13"/>
        <w:adjustRightInd w:val="0"/>
        <w:snapToGrid w:val="0"/>
        <w:spacing w:line="360" w:lineRule="auto"/>
        <w:ind w:left="1850" w:leftChars="771" w:firstLine="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pPr>
        <w:spacing w:line="360" w:lineRule="auto"/>
        <w:rPr>
          <w:rFonts w:ascii="仿宋" w:hAnsi="仿宋" w:eastAsia="仿宋"/>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autoSpaceDE w:val="0"/>
        <w:autoSpaceDN w:val="0"/>
        <w:adjustRightIn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248" name="文本框 856"/>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026" o:spt="202" type="#_x0000_t202" style="position:absolute;left:0pt;margin-left:-9pt;margin-top:1.1pt;height:46.8pt;width:72pt;z-index:25178726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Pzqf7xgCAAAYBAAADgAAAGRycy9lMm9Eb2MueG1srVPBbhMx&#10;EL0j8Q+W72STkIR2lU1VGhUhFahU+ADH681arD1m7GQ3fAD8AScu3Ptd+Q7G3jSEcumBi2V7xm/e&#10;ezOeX3SmYVuFXoMt+Ggw5ExZCaW264J/+nj94owzH4QtRQNWFXynPL9YPH82b12uxlBDUypkBGJ9&#10;3rqC1yG4PMu8rJURfgBOWQpWgEYEOuI6K1G0hG6abDwczrIWsHQIUnlPt8s+yA+I+BRAqCot1RLk&#10;xigbelRUjQgkydfaeb5IbKtKyfChqrwKrCk4KQ1ppSK0X8U1W8xFvkbhai0PFMRTKDzSZIS2VPQI&#10;tRRBsA3qf6CMlggeqjCQYLJeSHKEVIyGj7y5q4VTSQtZ7d3RdP//YOX77S0yXRZ8PKHGW2Go5fsf&#10;3/c/7/e/vrGz6Sxa1DqfU+ado9zQvYaOBifJ9e4G5GfPLFzVwq7VJSK0tRIlURzFl9nJ0x7HR5BV&#10;+w5KqiQ2ARJQV6GJ/pEjjNCpPbtje1QXmKTL89FkMqSIpND0fPJyltqXifzhsUMf3igwLG4KjtT9&#10;BC62Nz5EMiJ/SIm1LFzrpkkT0Ni/Ligx3iTykW/PPHSr7mDGCsodyUDoB4q+E21qwK+ctTRMBfdf&#10;NgIVZ81bS1Yk5jR96TCZvhqTCjyNrE4jwkqCKnjgrN9ehX5iNw71uqZKvfkWLsm+Sidp0eee1YE3&#10;DUxSfBjuOJGn55T150M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2NDS1QAAAAgBAAAPAAAA&#10;AAAAAAEAIAAAACIAAABkcnMvZG93bnJldi54bWxQSwECFAAUAAAACACHTuJAPzqf7x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pPr>
        <w:spacing w:line="360" w:lineRule="auto"/>
        <w:rPr>
          <w:rFonts w:ascii="仿宋" w:hAnsi="仿宋" w:eastAsia="仿宋" w:cs="仿宋"/>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1788288" behindDoc="0" locked="0" layoutInCell="1" allowOverlap="1">
                <wp:simplePos x="0" y="0"/>
                <wp:positionH relativeFrom="column">
                  <wp:posOffset>-71120</wp:posOffset>
                </wp:positionH>
                <wp:positionV relativeFrom="paragraph">
                  <wp:posOffset>290830</wp:posOffset>
                </wp:positionV>
                <wp:extent cx="800100" cy="739775"/>
                <wp:effectExtent l="0" t="0" r="0" b="0"/>
                <wp:wrapNone/>
                <wp:docPr id="247" name="文本框 857"/>
                <wp:cNvGraphicFramePr/>
                <a:graphic xmlns:a="http://schemas.openxmlformats.org/drawingml/2006/main">
                  <a:graphicData uri="http://schemas.microsoft.com/office/word/2010/wordprocessingShape">
                    <wps:wsp>
                      <wps:cNvSpPr txBox="1">
                        <a:spLocks noChangeArrowheads="1"/>
                      </wps:cNvSpPr>
                      <wps:spPr bwMode="auto">
                        <a:xfrm>
                          <a:off x="0" y="0"/>
                          <a:ext cx="800100" cy="739775"/>
                        </a:xfrm>
                        <a:prstGeom prst="rect">
                          <a:avLst/>
                        </a:prstGeom>
                        <a:noFill/>
                        <a:ln>
                          <a:noFill/>
                        </a:ln>
                      </wps:spPr>
                      <wps:txbx>
                        <w:txbxContent>
                          <w:p>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026" o:spt="202" type="#_x0000_t202" style="position:absolute;left:0pt;margin-left:-5.6pt;margin-top:22.9pt;height:58.25pt;width:63pt;z-index:251788288;mso-width-relative:page;mso-height-relative:page;" filled="f" stroked="f" coordsize="21600,21600" o:gfxdata="UEsDBAoAAAAAAIdO4kAAAAAAAAAAAAAAAAAEAAAAZHJzL1BLAwQUAAAACACHTuJAgLm4V9YAAAAK&#10;AQAADwAAAGRycy9kb3ducmV2LnhtbE2PzU7DMBCE70i8g7VI3FrbIa1KiNMDiCuI8iP15sbbJCJe&#10;R7HbhLdne4LbjPbT7Ey5nX0vzjjGLpABvVQgkOrgOmoMfLw/LzYgYrLkbB8IDfxghG11fVXawoWJ&#10;3vC8S43gEIqFNdCmNBRSxrpFb+MyDEh8O4bR28R2bKQb7cThvpeZUmvpbUf8obUDPrZYf+9O3sDn&#10;y3H/lavX5smvhinMSpK/l8bc3mj1ACLhnP5guNTn6lBxp0M4kYuiN7DQOmPUQL7iCRdA5ywOLNbZ&#10;HciqlP8nVL9QSwMEFAAAAAgAh07iQKXDz3UZAgAAGAQAAA4AAABkcnMvZTJvRG9jLnhtbK1Ty47T&#10;MBTdI/EPlvc0bWlJJ2o6GqYahDQ8pIEPcB2nsUh8zbXbpHwA/AErNuz5rn4H106mlGEzCzaR7Xt9&#10;7jnHJ8vLrqnZXqHTYHI+GY05U0ZCoc025x8/3DxbcOa8MIWowaicH5Tjl6unT5atzdQUKqgLhYxA&#10;jMtam/PKe5sliZOVaoQbgVWGiiVgIzxtcZsUKFpCb+pkOh6/SFrAwiJI5RydrvsiHxDxMYBQllqq&#10;Nchdo4zvUVHVwpMkV2nr+CqyLUsl/buydMqzOuek1McvDaH1JnyT1VJkWxS20nKgIB5D4YGmRmhD&#10;Q09Qa+EF26H+B6rREsFB6UcSmqQXEh0hFZPxA2/uKmFV1EJWO3sy3f0/WPl2/x6ZLnI+naWcGdHQ&#10;kx+/fzv++HX8+ZUt5mmwqLUuo847S72+ewkdBSfKdfYW5CfHDFxXwmzVFSK0lRIFUZyEm8nZ1R7H&#10;BZBN+wYKmiR2HiJQV2IT/CNHGKHT8xxOz6M6zyQdLsZkEVUkldLnF2k6jxNEdn/ZovOvFDQsLHKO&#10;9PoRXOxvnQ9kRHbfEmYZuNF1HRNQm78OqDGcRPKBb8/cd5tuMGMDxYFkIPSBot+JFhXgF85aClPO&#10;3eedQMVZ/dqQFReT2SykL25m83RKGzyvbM4rwkiCyrnnrF9e+z6xO4t6W9Gk3nwDV2RfqaO04HPP&#10;auBNgYmKh3CHRJ7vY9efH3r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C5uFfWAAAACgEAAA8A&#10;AAAAAAAAAQAgAAAAIgAAAGRycy9kb3ducmV2LnhtbFBLAQIUABQAAAAIAIdO4kClw891GQIAABgE&#10;AAAOAAAAAAAAAAEAIAAAACUBAABkcnMvZTJvRG9jLnhtbFBLBQYAAAAABgAGAFkBAACwBQAAAAA=&#10;">
                <v:fill on="f" focussize="0,0"/>
                <v:stroke on="f"/>
                <v:imagedata o:title=""/>
                <o:lock v:ext="edit" aspectratio="f"/>
                <v:textbox>
                  <w:txbxContent>
                    <w:p>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autoSpaceDE w:val="0"/>
        <w:autoSpaceDN w:val="0"/>
        <w:adjustRightIn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36" w:name="_Toc47694324"/>
      <w:bookmarkStart w:id="337" w:name="_Toc20486"/>
      <w:bookmarkStart w:id="338" w:name="_Toc17511"/>
      <w:r>
        <w:rPr>
          <w:rFonts w:hint="eastAsia" w:ascii="仿宋" w:hAnsi="仿宋" w:eastAsia="仿宋" w:cs="仿宋"/>
          <w:bCs w:val="0"/>
          <w:color w:val="auto"/>
          <w:sz w:val="24"/>
          <w:szCs w:val="24"/>
          <w:highlight w:val="none"/>
        </w:rPr>
        <w:t>★49</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质量标准</w:t>
      </w:r>
      <w:bookmarkEnd w:id="336"/>
      <w:bookmarkEnd w:id="337"/>
      <w:bookmarkEnd w:id="338"/>
    </w:p>
    <w:p>
      <w:pPr>
        <w:adjustRightInd w:val="0"/>
        <w:snapToGrid w:val="0"/>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89312" behindDoc="0" locked="0" layoutInCell="1" allowOverlap="1">
                <wp:simplePos x="0" y="0"/>
                <wp:positionH relativeFrom="column">
                  <wp:posOffset>-88265</wp:posOffset>
                </wp:positionH>
                <wp:positionV relativeFrom="paragraph">
                  <wp:posOffset>283210</wp:posOffset>
                </wp:positionV>
                <wp:extent cx="914400" cy="389890"/>
                <wp:effectExtent l="0" t="0" r="0" b="0"/>
                <wp:wrapNone/>
                <wp:docPr id="246" name="文本框 858"/>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026" o:spt="202" type="#_x0000_t202" style="position:absolute;left:0pt;margin-left:-6.95pt;margin-top:22.3pt;height:30.7pt;width:72pt;z-index:251789312;mso-width-relative:page;mso-height-relative:page;" filled="f" stroked="f" coordsize="21600,21600" o:gfxdata="UEsDBAoAAAAAAIdO4kAAAAAAAAAAAAAAAAAEAAAAZHJzL1BLAwQUAAAACACHTuJAylbZVtcAAAAK&#10;AQAADwAAAGRycy9kb3ducmV2LnhtbE2PwU7DMAyG70h7h8iTuG1JWam2UncHEFcQg03aLWu8tqJx&#10;qiZby9uTneBmy59+f3+xnWwnrjT41jFCslQgiCtnWq4Rvj5fF2sQPmg2unNMCD/kYVvO7gqdGzfy&#10;B113oRYxhH2uEZoQ+lxKXzVktV+6njjezm6wOsR1qKUZ9BjDbScflMqk1S3HD43u6bmh6nt3sQj7&#10;t/PxkKr3+sU+9qOblGS7kYj380Q9gQg0hT8YbvpRHcrodHIXNl50CItktYkoQppmIG7ASiUgTnFQ&#10;mQJZFvJ/hfIXUEsDBBQAAAAIAIdO4kBh0wvDGAIAABgEAAAOAAAAZHJzL2Uyb0RvYy54bWytU8Fu&#10;EzEQvSPxD5bvZJOQlmSVTVUaFSEVqFT4AMfrzVqsPWbsZDd8APwBJy7c+135DsbeNIRy6YGLZXvG&#10;b957M55fdKZhW4Vegy34aDDkTFkJpbbrgn/6eP1iypkPwpaiAasKvlOeXyyeP5u3LldjqKEpFTIC&#10;sT5vXcHrEFyeZV7Wygg/AKcsBStAIwIdcZ2VKFpCN002Hg7PsxawdAhSeU+3yz7ID4j4FECoKi3V&#10;EuTGKBt6VFSNCCTJ19p5vkhsq0rJ8KGqvAqsKTgpDWmlIrRfxTVbzEW+RuFqLQ8UxFMoPNJkhLZU&#10;9Ai1FEGwDep/oIyWCB6qMJBgsl5IcoRUjIaPvLmrhVNJC1nt3dF0//9g5fvtLTJdFnw8OefMCkMt&#10;3//4vv95v//1jU3PptGi1vmcMu8c5YbuNXQ0OEmudzcgP3tm4aoWdq0uEaGtlSiJ4ii+zE6e9jg+&#10;gqzad1BSJbEJkIC6Ck30jxxhhE7t2R3bo7rAJF3ORpPJkCKSQi+ns+kstS8T+cNjhz68UWBY3BQc&#10;qfsJXGxvfIhkRP6QEmtZuNZNkyagsX9dUGK8SeQj35556FbdwYwVlDuSgdAPFH0n2tSAXzlraZgK&#10;7r9sBCrOmreWrEjMafrSYXL2akwq8DSyOo0IKwmq4IGzfnsV+ondONTrmir15lu4JPsqnaRFn3tW&#10;B940MEnxYbjjRJ6eU9afD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pW2VbXAAAACgEAAA8A&#10;AAAAAAAAAQAgAAAAIgAAAGRycy9kb3ducmV2LnhtbFBLAQIUABQAAAAIAIdO4kBh0wvD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合同双方当事人应在专用条款中约定勘察（如果有）、设计、BIM 技术应用、设备及工器具购置（如果有）、施工等总承包范围内的服务工作和工程质量标准，但不得低于国家或行业的强制性标准。服务工作和工程质量应当达到专用条款约定的质量标准。</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pPr>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256540</wp:posOffset>
                </wp:positionV>
                <wp:extent cx="977900" cy="861695"/>
                <wp:effectExtent l="0" t="0" r="0" b="0"/>
                <wp:wrapNone/>
                <wp:docPr id="245" name="文本框 859"/>
                <wp:cNvGraphicFramePr/>
                <a:graphic xmlns:a="http://schemas.openxmlformats.org/drawingml/2006/main">
                  <a:graphicData uri="http://schemas.microsoft.com/office/word/2010/wordprocessingShape">
                    <wps:wsp>
                      <wps:cNvSpPr txBox="1">
                        <a:spLocks noChangeArrowheads="1"/>
                      </wps:cNvSpPr>
                      <wps:spPr bwMode="auto">
                        <a:xfrm>
                          <a:off x="0" y="0"/>
                          <a:ext cx="977900" cy="861695"/>
                        </a:xfrm>
                        <a:prstGeom prst="rect">
                          <a:avLst/>
                        </a:prstGeom>
                        <a:noFill/>
                        <a:ln>
                          <a:noFill/>
                        </a:ln>
                        <a:effectLst/>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026" o:spt="202" type="#_x0000_t202" style="position:absolute;left:0pt;margin-left:-9pt;margin-top:20.2pt;height:67.85pt;width:77pt;z-index:251915264;mso-width-relative:page;mso-height-relative:page;" filled="f" stroked="f" coordsize="21600,21600" o:gfxdata="UEsDBAoAAAAAAIdO4kAAAAAAAAAAAAAAAAAEAAAAZHJzL1BLAwQUAAAACACHTuJAPq2tjtcAAAAK&#10;AQAADwAAAGRycy9kb3ducmV2LnhtbE2PQU/DMAyF70j8h8hI3LakULpRmu4A4gra2CZxyxqvrWic&#10;qsnW8u/xTuNm+z09f69YTa4TZxxC60lDMlcgkCpvW6o1bL/eZ0sQIRqypvOEGn4xwKq8vSlMbv1I&#10;azxvYi04hEJuNDQx9rmUoWrQmTD3PRJrRz84E3kdamkHM3K46+SDUpl0piX+0JgeXxusfjYnp2H3&#10;cfzep+qzfnNP/egnJck9S63v7xL1AiLiFK9muOAzOpTMdPAnskF0GmbJkrtEDalKQVwMjxkfDjws&#10;sgRkWcj/Fco/UEsDBBQAAAAIAIdO4kDNR32OHgIAACYEAAAOAAAAZHJzL2Uyb0RvYy54bWytU0uO&#10;EzEQ3SNxB8t70kmUbyud0TDRIKThIw0cwHG70xbdLlN20h0OADdgxYY958o5KLt7Qhg2s2Bj2a7y&#10;q3qvnldXbV2xg0KnwWR8NBhypoyEXJtdxj9+uH2x4Mx5YXJRgVEZPyrHr9bPn60am6oxlFDlChmB&#10;GJc2NuOl9zZNEidLVQs3AKsMBQvAWng64i7JUTSEXlfJeDicJQ1gbhGkco5uN12Q94j4FEAoCi3V&#10;BuS+VsZ3qKgq4YmSK7V1fB27LQol/buicMqzKuPE1MeVitB+G9ZkvRLpDoUttexbEE9p4RGnWmhD&#10;Rc9QG+EF26P+B6rWEsFB4QcS6qQjEhUhFqPhI23uS2FV5EJSO3sW3f0/WPn28B6ZzjM+nkw5M6Km&#10;kZ++fzv9+HX6+ZUtpssgUWNdSpn3lnJ9+xJaMk6k6+wdyE+OGbgphdmpa0RoSiVyanEUXiYXTzsc&#10;F0C2zRvIqZLYe4hAbYF10I8UYYRO4zmex6NazyRdLufz5ZAikkKL2Wi2nMYKIn14bNH5VwpqFjYZ&#10;R5p+BBeHO+dDMyJ9SAm1DNzqqooOqMxfF5TY3ahoof51oBK673j4dtv20mwhPxIphM5e9LloUwJ+&#10;4awha2Xcfd4LVJxVrw0JsxxNJsGL8TCZzsd0wMvI9jIijCSojHvOuu2N7/y7t6h3JVXqRmHgmsQs&#10;dCQaWu266kdA9on8e6sHf16eY9af773+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6trY7XAAAA&#10;CgEAAA8AAAAAAAAAAQAgAAAAIgAAAGRycy9kb3ducmV2LnhtbFBLAQIUABQAAAAIAIdO4kDNR32O&#10;HgIAACYEAAAOAAAAAAAAAAEAIAAAACYBAABkcnMvZTJvRG9jLnhtbFBLBQYAAAAABgAGAFkBAAC2&#10;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承包人对合同工程的工作质量和工程质量向发包人负责，其职责包括但不限于下列内容：</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 技术应用、设备及工器具购置等工作方案，确定工作方法，制定质量保证措施；</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 技术应用等专业技术人员，检查和控制成果质量；</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（8）承担质量保修期的工程保修责任；</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（9）承担其他工程质量责任。</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16288" behindDoc="0" locked="0" layoutInCell="1" allowOverlap="1">
                <wp:simplePos x="0" y="0"/>
                <wp:positionH relativeFrom="column">
                  <wp:posOffset>-53340</wp:posOffset>
                </wp:positionH>
                <wp:positionV relativeFrom="paragraph">
                  <wp:posOffset>288925</wp:posOffset>
                </wp:positionV>
                <wp:extent cx="1028700" cy="245745"/>
                <wp:effectExtent l="0" t="0" r="0" b="0"/>
                <wp:wrapNone/>
                <wp:docPr id="244" name="文本框 860"/>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026" o:spt="202" type="#_x0000_t202" style="position:absolute;left:0pt;margin-left:-4.2pt;margin-top:22.75pt;height:19.35pt;width:81pt;z-index:251916288;mso-width-relative:page;mso-height-relative:page;" filled="f" stroked="f" coordsize="21600,21600" o:gfxdata="UEsDBAoAAAAAAIdO4kAAAAAAAAAAAAAAAAAEAAAAZHJzL1BLAwQUAAAACACHTuJA7RYLLtYAAAAI&#10;AQAADwAAAGRycy9kb3ducmV2LnhtbE2PzU7DMBCE70h9B2uRuLV2S1KFkE0PRVxB9AeJmxtvk4h4&#10;HcVuE94e9wTH0Yxmvik2k+3ElQbfOkZYLhQI4sqZlmuEw/51noHwQbPRnWNC+CEPm3J2V+jcuJE/&#10;6LoLtYgl7HON0ITQ51L6qiGr/cL1xNE7u8HqEOVQSzPoMZbbTq6UWkurW44Lje5p21D1vbtYhOPb&#10;+eszUe/1i0370U1Ksn2SiA/3S/UMItAU/sJww4/oUEamk7uw8aJDmGdJTCIkaQri5qePaxAnhCxZ&#10;gSwL+f9A+QtQSwMEFAAAAAgAh07iQFVzIwgZAgAAGQQAAA4AAABkcnMvZTJvRG9jLnhtbK1TS27b&#10;MBDdF+gdCO5ryYKSuILlII2RokD6AdIegKYoi6jEYYe0JfcA7Q266qb7nsvn6JByHDfdZNENQXKG&#10;b957M5xfDl3LtgqdBlPy6STlTBkJlTbrkn/6ePNixpnzwlSiBaNKvlOOXy6eP5v3tlAZNNBWChmB&#10;GFf0tuSN97ZIEicb1Qk3AasMBWvATng64jqpUPSE3rVJlqbnSQ9YWQSpnKPb5RjkB0R8CiDUtZZq&#10;CXLTKeNHVFSt8CTJNdo6vohs61pJ/76unfKsLTkp9XGlIrRfhTVZzEWxRmEbLQ8UxFMoPNLUCW2o&#10;6BFqKbxgG9T/QHVaIjio/URCl4xCoiOkYpo+8uauEVZFLWS1s0fT3f+Dle+2H5DpquRZnnNmREct&#10;3//4vv/5e//rG5udR4t66wrKvLOU64dXMNDgRLnO3oL87JiB60aYtbpChL5RoiKK02BucvI0NMUV&#10;LoCs+rdQUSWx8RCBhhq74B85wgid2rM7tkcNnslQMs1mFymFJMWy/OwiP4slRHH/2qLzrxV0LGxK&#10;jtT+iC62t84HNqK4TwnFDNzoto0j0Jq/Ligx3ET2gfBI3Q+rgbKDihVUO9KBME4U/SfaNIBfOetp&#10;mkruvmwEKs7aN4a8eDnN8zB+8UDMMzrgaWR1GhFGElTJPWfj9tqPI7uxqNcNVRrdN3BF/tU6Sntg&#10;deBNExMVH6Y7jOTpOWY9/Oj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0WCy7WAAAACAEAAA8A&#10;AAAAAAAAAQAgAAAAIgAAAGRycy9kb3ducmV2LnhtbFBLAQIUABQAAAAIAIdO4kBVcyMIGQIAABkE&#10;AAAOAAAAAAAAAAEAIAAAACU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pPr>
        <w:pStyle w:val="33"/>
        <w:widowControl w:val="0"/>
        <w:adjustRightInd w:val="0"/>
        <w:snapToGrid w:val="0"/>
        <w:ind w:left="1850" w:leftChars="771"/>
        <w:jc w:val="both"/>
        <w:rPr>
          <w:rFonts w:ascii="仿宋" w:hAnsi="仿宋" w:eastAsia="仿宋" w:cs="仿宋"/>
          <w:color w:val="auto"/>
          <w:highlight w:val="none"/>
        </w:rPr>
      </w:pPr>
      <w:r>
        <w:rPr>
          <w:rFonts w:hint="eastAsia" w:ascii="仿宋" w:hAnsi="仿宋" w:eastAsia="仿宋" w:cs="仿宋"/>
          <w:color w:val="auto"/>
          <w:highlight w:val="none"/>
        </w:rPr>
        <w:t>承包人应建立健全完善的质量保证体系。</w:t>
      </w:r>
    </w:p>
    <w:p>
      <w:pPr>
        <w:pStyle w:val="33"/>
        <w:widowControl w:val="0"/>
        <w:adjustRightInd w:val="0"/>
        <w:snapToGrid w:val="0"/>
        <w:ind w:left="1850" w:leftChars="771"/>
        <w:jc w:val="both"/>
        <w:rPr>
          <w:rFonts w:ascii="仿宋" w:hAnsi="仿宋" w:eastAsia="仿宋" w:cs="仿宋"/>
          <w:color w:val="auto"/>
          <w:highlight w:val="none"/>
        </w:rPr>
      </w:pPr>
      <w:r>
        <w:rPr>
          <w:rFonts w:hint="eastAsia" w:ascii="仿宋" w:hAnsi="仿宋" w:eastAsia="仿宋" w:cs="仿宋"/>
          <w:color w:val="auto"/>
          <w:highlight w:val="none"/>
        </w:rPr>
        <w:t>（1）承包人应向发包人和监理人提交工程质量保证体系及措施文件，建立完善的质量检查制度，并提交相应的工程质量文件。对于发包人和监理人违反法律规定和合同约定的错误指示，承包人有权拒绝实施。</w:t>
      </w:r>
    </w:p>
    <w:p>
      <w:pPr>
        <w:pStyle w:val="33"/>
        <w:widowControl w:val="0"/>
        <w:adjustRightInd w:val="0"/>
        <w:snapToGrid w:val="0"/>
        <w:ind w:left="1850" w:leftChars="771"/>
        <w:jc w:val="both"/>
        <w:rPr>
          <w:rFonts w:ascii="仿宋" w:hAnsi="仿宋" w:eastAsia="仿宋" w:cs="仿宋"/>
          <w:color w:val="auto"/>
          <w:highlight w:val="none"/>
        </w:rPr>
      </w:pPr>
      <w:r>
        <w:rPr>
          <w:rFonts w:hint="eastAsia" w:ascii="仿宋" w:hAnsi="仿宋" w:eastAsia="仿宋" w:cs="仿宋"/>
          <w:color w:val="auto"/>
          <w:highlight w:val="none"/>
        </w:rPr>
        <w:t>（2）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243" name="文本框 861"/>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026" o:spt="202" type="#_x0000_t202" style="position:absolute;left:0pt;margin-left:-9pt;margin-top:21.75pt;height:35.4pt;width:76.2pt;z-index:251917312;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N1ACIxkCAAAYBAAADgAAAGRycy9lMm9Eb2MueG1srVNL&#10;btswEN0X6B0I7mvZruKPYDlIY6QokH6AtAegKcoiKnHYIW3JPUBzg6666b7n8jk6pBzXTTdZdEOQ&#10;nOGb994MF5ddU7OdQqfB5Hw0GHKmjIRCm03OP328eTHjzHlhClGDUTnfK8cvl8+fLVqbqTFUUBcK&#10;GYEYl7U255X3NksSJyvVCDcAqwwFS8BGeDriJilQtITe1Ml4OJwkLWBhEaRyjm5XfZAfEfEpgFCW&#10;WqoVyG2jjO9RUdXCkyRXaev4MrItSyX9+7J0yrM656TUx5WK0H4d1mS5ENkGha20PFIQT6HwSFMj&#10;tKGiJ6iV8IJtUf8D1WiJ4KD0AwlN0guJjpCK0fCRN3eVsCpqIaudPZnu/h+sfLf7gEwXOR+nLzkz&#10;oqGWH77fH378Ovz8xmaTUbCotS6jzDtLub57BR0NTpTr7C3Iz44ZuK6E2agrRGgrJQqiGF8mZ097&#10;HBdA1u1bKKiS2HqIQF2JTfCPHGGETu3Zn9qjOs8kXc4n02lKEUmhNJ1fzGL7EpE9PLbo/GsFDQub&#10;nCN1P4KL3a3zJINSH1JCLQM3uq7jBNTmrwtKDDeRfODbM/fdujuasYZiTzIQ+oGi70SbCvArZy0N&#10;U87dl61AxVn9xpAV81EaiPt4SC+mYzrgeWR9HhFGElTOPWf99tr3E7u1qDcVVerNN3BF9pU6Sgs+&#10;96yOvGlgouLjcIeJPD/HrD8fev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Ykqy9gAAAAKAQAA&#10;DwAAAAAAAAABACAAAAAiAAAAZHJzL2Rvd25yZXYueG1sUEsBAhQAFAAAAAgAh07iQDdQAiMZAgAA&#10;GAQAAA4AAAAAAAAAAQAgAAAAJw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款规定调解或认定，所需的费用及由此造成的损失，由责任方承担。双方均有责任的，由双方根据其责任划分分别承担。</w:t>
      </w:r>
    </w:p>
    <w:p>
      <w:pPr>
        <w:tabs>
          <w:tab w:val="left" w:pos="1620"/>
        </w:tabs>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39" w:name="_Toc13456"/>
      <w:bookmarkStart w:id="340" w:name="_Toc22546"/>
      <w:bookmarkStart w:id="341" w:name="_Toc47694325"/>
      <w:r>
        <w:rPr>
          <w:rFonts w:hint="eastAsia" w:ascii="仿宋" w:hAnsi="仿宋" w:eastAsia="仿宋" w:cs="仿宋"/>
          <w:bCs w:val="0"/>
          <w:color w:val="auto"/>
          <w:sz w:val="24"/>
          <w:szCs w:val="24"/>
          <w:highlight w:val="none"/>
        </w:rPr>
        <w:t>★50</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工程质量创优</w:t>
      </w:r>
      <w:bookmarkEnd w:id="339"/>
      <w:bookmarkEnd w:id="340"/>
      <w:bookmarkEnd w:id="341"/>
    </w:p>
    <w:p>
      <w:pPr>
        <w:spacing w:line="360" w:lineRule="auto"/>
        <w:rPr>
          <w:rFonts w:ascii="仿宋" w:hAnsi="仿宋" w:eastAsia="仿宋"/>
          <w:b/>
          <w:bCs/>
          <w:caps/>
          <w:color w:val="auto"/>
          <w:highlight w:val="none"/>
          <w:lang w:eastAsia="zh-CN"/>
        </w:rPr>
      </w:pPr>
      <w:bookmarkStart w:id="342" w:name="_Toc5870"/>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342"/>
    </w:p>
    <w:p>
      <w:pPr>
        <w:widowControl w:val="0"/>
        <w:spacing w:line="360" w:lineRule="auto"/>
        <w:ind w:left="1850" w:leftChars="771"/>
        <w:rPr>
          <w:rFonts w:ascii="仿宋" w:hAnsi="仿宋" w:eastAsia="仿宋" w:cs="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0336" behindDoc="0" locked="0" layoutInCell="1" allowOverlap="1">
                <wp:simplePos x="0" y="0"/>
                <wp:positionH relativeFrom="column">
                  <wp:posOffset>-10795</wp:posOffset>
                </wp:positionH>
                <wp:positionV relativeFrom="paragraph">
                  <wp:posOffset>34290</wp:posOffset>
                </wp:positionV>
                <wp:extent cx="914400" cy="495300"/>
                <wp:effectExtent l="0" t="0" r="0" b="0"/>
                <wp:wrapNone/>
                <wp:docPr id="242" name="文本框 862"/>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026" o:spt="202" type="#_x0000_t202" style="position:absolute;left:0pt;margin-left:-0.85pt;margin-top:2.7pt;height:39pt;width:72pt;z-index:251790336;mso-width-relative:page;mso-height-relative:page;" filled="f" stroked="f" coordsize="21600,21600" o:gfxdata="UEsDBAoAAAAAAIdO4kAAAAAAAAAAAAAAAAAEAAAAZHJzL1BLAwQUAAAACACHTuJAQquMhdUAAAAH&#10;AQAADwAAAGRycy9kb3ducmV2LnhtbE2OTW/CMBBE70j9D9ZW6g3sQGghZMOhVa9F0A+pNxMvSdR4&#10;HcWGpP++5kSPoxm9efl2tK24UO8bxwjJTIEgLp1puEL4eH+drkD4oNno1jEh/JKHbXE3yXVm3MB7&#10;uhxCJSKEfaYR6hC6TEpf1mS1n7mOOHYn11sdYuwraXo9RLht5VypR2l1w/Gh1h0911T+HM4W4fPt&#10;9P2Vql31Ypfd4EYl2a4l4sN9ojYgAo3hNoarflSHIjod3ZmNFy3CNHmKS4RlCuJap/MFiCPCapGC&#10;LHL537/4A1BLAwQUAAAACACHTuJAqbP48BcCAAAYBAAADgAAAGRycy9lMm9Eb2MueG1srVNLbtsw&#10;EN0X6B0I7mvZqpMmguUgjZGiQPoB0h6ApiiLqMhhh7Ql9wDNDbrqpvuey+fokHIcN91k0Y0wnBm+&#10;ee9xNLvoTcs2Cr0GW/LJaMyZshIqbVcl//zp+sUZZz4IW4kWrCr5Vnl+MX/+bNa5QuXQQFspZARi&#10;fdG5kjchuCLLvGyUEX4ETlkq1oBGBDriKqtQdIRu2iwfj0+zDrByCFJ5T9nFUOR7RHwKINS1lmoB&#10;cm2UDQMqqlYEkuQb7TyfJ7Z1rWT4UNdeBdaWnJSG9KUhFC/jN5vPRLFC4Rot9xTEUyg80mSEtjT0&#10;ALUQQbA16n+gjJYIHuowkmCyQUhyhFRMxo+8uW2EU0kLWe3dwXT//2Dl+81HZLoqeT7NObPC0JPv&#10;ftztfv7e/frOzk7zaFHnfEGdt456Q/8aelqcJNe7G5BfPLNw1Qi7UpeI0DVKVERxEm9mR1cHHB9B&#10;lt07qGiSWAdIQH2NJvpHjjBCp+fZHp5H9YFJSp5PptMxVSSVpucnLymOE0Rxf9mhD28UGBaDkiO9&#10;fgIXmxsfhtb7ljjLwrVuW8qLorV/JQgzZhL5yHdgHvplT91R0RKqLclAGBaKficKGsBvnHW0TCX3&#10;X9cCFWftW0tWJOa0fekwPXmVkwo8riyPK8JKgip54GwIr8KwsWuHetXQpMF8C5dkX62TtAdWe960&#10;MMmc/XLHjTw+p66HH3r+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rjIXVAAAABwEAAA8AAAAA&#10;AAAAAQAgAAAAIgAAAGRycy9kb3ducmV2LnhtbFBLAQIUABQAAAAIAIdO4kCps/jw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pPr>
        <w:widowControl w:val="0"/>
        <w:spacing w:line="360" w:lineRule="auto"/>
        <w:ind w:left="1850" w:leftChars="771"/>
        <w:rPr>
          <w:rFonts w:ascii="仿宋" w:hAnsi="仿宋" w:eastAsia="仿宋" w:cs="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 77条约定向承包人支付优质优价费用。</w:t>
      </w:r>
    </w:p>
    <w:p>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5715</wp:posOffset>
                </wp:positionV>
                <wp:extent cx="914400" cy="495300"/>
                <wp:effectExtent l="0" t="0" r="0" b="0"/>
                <wp:wrapNone/>
                <wp:docPr id="241" name="文本框 863"/>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026" o:spt="202" type="#_x0000_t202" style="position:absolute;left:0pt;margin-left:-9pt;margin-top:0.45pt;height:39pt;width:72pt;z-index:251791360;mso-width-relative:page;mso-height-relative:page;" filled="f" stroked="f" coordsize="21600,21600" o:gfxdata="UEsDBAoAAAAAAIdO4kAAAAAAAAAAAAAAAAAEAAAAZHJzL1BLAwQUAAAACACHTuJA9kMbddUAAAAH&#10;AQAADwAAAGRycy9kb3ducmV2LnhtbE2PzW7CMBCE70h9B2srcQM7qKVJmg2HVr2CSn+k3ky8JFHj&#10;dRQbEt6+5lSOoxnNfFNsJtuJMw2+dYyQLBUI4sqZlmuEz4+3RQrCB81Gd44J4UIeNuXdrNC5cSO/&#10;03kfahFL2OcaoQmhz6X0VUNW+6XriaN3dIPVIcqhlmbQYyy3nVwptZZWtxwXGt3TS0PV7/5kEb62&#10;x5/vB7WrX+1jP7pJSbaZRJzfJ+oZRKAp/Ifhih/RoYxMB3di40WHsEjS+CUgZCCu9mod5QHhKc1A&#10;loW85S//AFBLAwQUAAAACACHTuJAc+Hm3BcCAAAYBAAADgAAAGRycy9lMm9Eb2MueG1srVNLbtsw&#10;EN0X6B0I7mtZjpMmguUgjZGiQPoB0h6ApiiLqMhhh7Ql9wDtDbrqpvuey+fokHIcN91k0Y0wnBm+&#10;ee9xNLvsTcs2Cr0GW/J8NOZMWQmVtquSf/p48+KcMx+ErUQLVpV8qzy/nD9/NutcoSbQQFspZARi&#10;fdG5kjchuCLLvGyUEX4ETlkq1oBGBDriKqtQdIRu2mwyHp9lHWDlEKTynrKLocj3iPgUQKhrLdUC&#10;5NooGwZUVK0IJMk32nk+T2zrWsnwvq69CqwtOSkN6UtDKF7GbzafiWKFwjVa7imIp1B4pMkIbWno&#10;AWohgmBr1P9AGS0RPNRhJMFkg5DkCKnIx4+8uWuEU0kLWe3dwXT//2Dlu80HZLoq+WSac2aFoSff&#10;/fi++/l79+sbOz87iRZ1zhfUeeeoN/SvoKfFSXK9uwX52TML142wK3WFCF2jREUU83gzO7o64PgI&#10;suzeQkWTxDpAAuprNNE/coQROj3P9vA8qg9MUvIin07HVJFUml6cnlAcJ4ji/rJDH14rMCwGJUd6&#10;/QQuNrc+DK33LXGWhRvdtpQXRWv/ShBmzCTyke/APPTLnrqjoiVUW5KBMCwU/U4UNIBfOetomUru&#10;v6wFKs7aN5asSMxp+9JhevpyQirwuLI8rggrCarkgbMhvA7Dxq4d6lVDkwbzLVyRfbVO0h5Y7XnT&#10;wiRz9ssdN/L4nLoefuj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DG3XVAAAABwEAAA8AAAAA&#10;AAAAAQAgAAAAIgAAAGRycy9kb3ducmV2LnhtbFBLAQIUABQAAAAIAIdO4kBz4ebc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43" w:name="_Toc5573"/>
      <w:bookmarkStart w:id="344" w:name="_Toc47694326"/>
      <w:bookmarkStart w:id="345" w:name="_Toc18034"/>
      <w:r>
        <w:rPr>
          <w:rFonts w:hint="eastAsia" w:ascii="仿宋" w:hAnsi="仿宋" w:eastAsia="仿宋" w:cs="仿宋"/>
          <w:bCs w:val="0"/>
          <w:color w:val="auto"/>
          <w:sz w:val="24"/>
          <w:szCs w:val="24"/>
          <w:highlight w:val="none"/>
        </w:rPr>
        <w:t>51</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工程的照管</w:t>
      </w:r>
      <w:bookmarkEnd w:id="343"/>
      <w:bookmarkEnd w:id="344"/>
      <w:bookmarkEnd w:id="345"/>
    </w:p>
    <w:p>
      <w:pPr>
        <w:spacing w:line="360" w:lineRule="auto"/>
        <w:rPr>
          <w:rFonts w:ascii="仿宋" w:hAnsi="仿宋" w:eastAsia="仿宋" w:cs="仿宋"/>
          <w:b/>
          <w:bCs/>
          <w:color w:val="auto"/>
          <w:highlight w:val="none"/>
          <w:lang w:eastAsia="zh-CN"/>
        </w:rPr>
      </w:pPr>
      <w:bookmarkStart w:id="346" w:name="_Toc5922"/>
      <w:r>
        <w:rPr>
          <w:rFonts w:ascii="仿宋" w:hAnsi="仿宋" w:eastAsia="仿宋" w:cs="仿宋"/>
          <w:b/>
          <w:bCs/>
          <w:color w:val="auto"/>
          <w:highlight w:val="none"/>
          <w:lang w:eastAsia="zh-CN" w:bidi="ar-SA"/>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240"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026" o:spt="202" type="#_x0000_t202" style="position:absolute;left:0pt;margin-left:-9pt;margin-top:20.8pt;height:20.2pt;width:63pt;z-index:25191833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XtRbehYCAAAYBAAADgAAAGRycy9lMm9Eb2MueG1srVNLjhMx&#10;EN0jcQfLe9JJlITQSmc0TDQIafhIAwdw3O60Rdtlyk66wwHgBrNiw55z5RyU3ZlMGDazYGPZVeVX&#10;7z2XFxedadhOoddgCz4aDDlTVkKp7abgnz9dv5hz5oOwpWjAqoLvlecXy+fPFq3L1RhqaEqFjECs&#10;z1tX8DoEl2eZl7Uywg/AKUvJCtCIQEfcZCWKltBNk42Hw1nWApYOQSrvKbrqk/yIiE8BhKrSUq1A&#10;bo2yoUdF1YhAknytnefLxLaqlAwfqsqrwJqCk9KQVmpC+3Vcs+VC5BsUrtbySEE8hcIjTUZoS01P&#10;UCsRBNui/gfKaIngoQoDCSbrhSRHSMVo+Mib21o4lbSQ1d6dTPf/D1a+331EpsuCjyfkiRWGnvxw&#10;9+Pw8/fh13c2n02iRa3zOVXeOqoN3WvoaHCSXO9uQH7xzMJVLexGXSJCWytREsVRvJmdXe1xfARZ&#10;t++gpE5iGyABdRWa6B85wgidqOxPz6O6wCQF50OyiDKSUuPpbEqEYweR31926MMbBYbFTcGRXj+B&#10;i92ND33pfUnsZeFaNw3FRd7YvwKEGSOJfOTbMw/duqPqqGgN5Z5kIPQDRd+JNjXgN85aGqaC+69b&#10;gYqz5q0lK16NJtHdkA6T6csxHfA8sz7PCCsJquCBs357FfqJ3TrUm5o69eZbuCT7Kp2kPbA68qaB&#10;SeYchztO5Pk5VT186O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eCgxNUAAAAJAQAADwAAAAAA&#10;AAABACAAAAAiAAAAZHJzL2Rvd25yZXYueG1sUEsBAhQAFAAAAAgAh07iQF7UW3oWAgAAGAQAAA4A&#10;AAAAAAAAAQAgAAAAJAEAAGRycy9lMm9Eb2MueG1sUEsFBgAAAAAGAAYAWQEAAK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346"/>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pPr>
        <w:spacing w:line="360" w:lineRule="auto"/>
        <w:rPr>
          <w:rFonts w:ascii="仿宋" w:hAnsi="仿宋" w:eastAsia="仿宋"/>
          <w:color w:val="auto"/>
          <w:highlight w:val="none"/>
          <w:lang w:eastAsia="zh-CN"/>
        </w:rPr>
      </w:pPr>
      <w:bookmarkStart w:id="347" w:name="_Toc8290"/>
      <w:r>
        <w:rPr>
          <w:rFonts w:ascii="仿宋" w:hAnsi="仿宋" w:eastAsia="仿宋" w:cs="仿宋"/>
          <w:b/>
          <w:bCs/>
          <w:color w:val="auto"/>
          <w:highlight w:val="none"/>
          <w:lang w:eastAsia="zh-CN" w:bidi="ar-SA"/>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239"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026" o:spt="202" type="#_x0000_t202" style="position:absolute;left:0pt;margin-left:-9pt;margin-top:21.8pt;height:56.55pt;width:72pt;z-index:25191936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K7n3xhkCAAAYBAAADgAAAGRycy9lMm9Eb2MueG1srVNL&#10;btswEN0X6B0I7mtZrpM4guUgjZGiQPoB0h6ApiiLqMhhh7Sl9ADNDbrqpvuey+fokHJcN91k0Y1A&#10;coZv3nt8ml/0pmVbhV6DLXk+GnOmrIRK23XJP328fjHjzAdhK9GCVSW/U55fLJ4/m3euUBNooK0U&#10;MgKxvuhcyZsQXJFlXjbKCD8CpywVa0AjAm1xnVUoOkI3bTYZj0+zDrByCFJ5T6fLocj3iPgUQKhr&#10;LdUS5MYoGwZUVK0IJMk32nm+SGzrWsnwvq69CqwtOSkN6UtDaL2K32wxF8UahWu03FMQT6HwSJMR&#10;2tLQA9RSBME2qP+BMloieKjDSILJBiHJEVKRjx95c9sIp5IWstq7g+n+/8HKd9sPyHRV8snLc86s&#10;MPTku+/3ux+/dj+/sdnpSbSoc76gzltHvaF/BT0FJ8n17gbkZ88sXDXCrtUlInSNEhVRzOPN7Ojq&#10;gOMjyKp7CxVNEpsACaiv0UT/yBFG6PQ8d4fnUX1gkg7P8+l0TBVJpbN8ls8St0wUD5cd+vBagWFx&#10;UXKk10/gYnvjQyQjioeWOMvCtW7blIDW/nVAjfEkkY98B+ahX/V7M1ZQ3ZEMhCFQ9DvRogH8yllH&#10;YSq5/7IRqDhr31iyIjGn9KXN9ORsQirwuLI6rggrCarkgbNheRWGxG4c6nVDkwbzLVySfbVO0qLP&#10;A6s9bwpMUrwPd0zk8T51/fmh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GysXNgAAAAKAQAA&#10;DwAAAAAAAAABACAAAAAiAAAAZHJzL2Rvd25yZXYueG1sUEsBAhQAFAAAAAgAh07iQCu598YZAgAA&#10;GAQAAA4AAAAAAAAAAQAgAAAAJw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347"/>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48" w:name="_Toc26268"/>
      <w:bookmarkStart w:id="349" w:name="_Toc47694327"/>
      <w:bookmarkStart w:id="350" w:name="_Toc11168"/>
      <w:r>
        <w:rPr>
          <w:rFonts w:hint="eastAsia" w:ascii="仿宋" w:hAnsi="仿宋" w:eastAsia="仿宋" w:cs="仿宋"/>
          <w:bCs w:val="0"/>
          <w:color w:val="auto"/>
          <w:sz w:val="24"/>
          <w:szCs w:val="24"/>
          <w:highlight w:val="none"/>
        </w:rPr>
        <w:t>★52</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绿色施工安全防护</w:t>
      </w:r>
      <w:bookmarkEnd w:id="348"/>
      <w:bookmarkEnd w:id="349"/>
      <w:bookmarkEnd w:id="350"/>
    </w:p>
    <w:p>
      <w:pPr>
        <w:spacing w:line="360" w:lineRule="auto"/>
        <w:rPr>
          <w:rFonts w:ascii="仿宋" w:hAnsi="仿宋" w:eastAsia="仿宋" w:cs="仿宋"/>
          <w:b/>
          <w:bCs/>
          <w:color w:val="auto"/>
          <w:highlight w:val="none"/>
          <w:lang w:eastAsia="zh-CN"/>
        </w:rPr>
      </w:pPr>
      <w:bookmarkStart w:id="351" w:name="_Toc1795"/>
      <w:r>
        <w:rPr>
          <w:rFonts w:ascii="仿宋" w:hAnsi="仿宋" w:eastAsia="仿宋" w:cs="仿宋"/>
          <w:b/>
          <w:bCs/>
          <w:color w:val="auto"/>
          <w:highlight w:val="none"/>
          <w:lang w:eastAsia="zh-CN" w:bidi="ar-SA"/>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238"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wps:spPr>
                      <wps:txb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026" o:spt="202" type="#_x0000_t202" style="position:absolute;left:0pt;margin-left:-9pt;margin-top:17.6pt;height:54.25pt;width:77pt;z-index:25192038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gHDs+BoCAAAYBAAADgAAAGRycy9lMm9Eb2MueG1srVNL&#10;btswEN0X6B0I7mvZruOPYDlIY6QokH6AtAegKcoiKnHYIW3JPUBzg6666b7n8jk6pBTXTTdZdEOQ&#10;nOGb994Ml5dtXbG9QqfBZHw0GHKmjIRcm23GP328eTHnzHlhclGBURk/KMcvV8+fLRubqjGUUOUK&#10;GYEYlzY246X3Nk0SJ0tVCzcAqwwFC8BaeDriNslRNIReV8l4OJwmDWBuEaRyjm7XXZD3iPgUQCgK&#10;LdUa5K5WxneoqCrhSZIrtXV8FdkWhZL+fVE45VmVcVLq40pFaL8Ja7JainSLwpZa9hTEUyg80lQL&#10;bajoCWotvGA71P9A1VoiOCj8QEKddEKiI6RiNHzkzV0prIpayGpnT6a7/wcr3+0/INN5xscvqfFG&#10;1NTy4/f7449fx5/f2Hw6DRY11qWUeWcp17evoKXBiXKdvQX52TED16UwW3WFCE2pRE4UR+Flcva0&#10;w3EBZNO8hZwqiZ2HCNQWWAf/yBFG6NSew6k9qvVM0uViNlsMKSIpNJ3PF7OLWEGkD48tOv9aQc3C&#10;JuNI3Y/gYn/rfCAj0oeUUMvAja6qOAGV+euCEsNNJB/4dsx9u2l7MzaQH0gGQjdQ9J1oUwJ+5ayh&#10;Ycq4+7ITqDir3hiyYjGaTML0xcPkYjamA55HNucRYSRBZdxz1m2vfTexO4t6W1KlznwDV2RfoaO0&#10;4HPHqudNAxMV98MdJvL8HLP+fOj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a+0RPYAAAACgEA&#10;AA8AAAAAAAAAAQAgAAAAIgAAAGRycy9kb3ducmV2LnhtbFBLAQIUABQAAAAIAIdO4kCAcOz4GgIA&#10;ABgEAAAOAAAAAAAAAAEAIAAAACcBAABkcnMvZTJvRG9jLnhtbFBLBQYAAAAABgAGAFkBAACzBQAA&#10;AAA=&#10;">
                <v:fill on="f" focussize="0,0"/>
                <v:stroke on="f"/>
                <v:imagedata o:title=""/>
                <o:lock v:ext="edit" aspectratio="f"/>
                <v:textbo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351"/>
    </w:p>
    <w:p>
      <w:pPr>
        <w:widowControl w:val="0"/>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widowControl w:val="0"/>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pPr>
        <w:widowControl w:val="0"/>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 85 条约定及时向承包人支付绿色施工安全防护费。</w:t>
      </w:r>
    </w:p>
    <w:p>
      <w:pPr>
        <w:widowControl w:val="0"/>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pPr>
        <w:spacing w:line="360" w:lineRule="auto"/>
        <w:rPr>
          <w:rFonts w:ascii="仿宋" w:hAnsi="仿宋" w:eastAsia="仿宋" w:cs="仿宋"/>
          <w:b/>
          <w:bCs/>
          <w:color w:val="auto"/>
          <w:highlight w:val="none"/>
          <w:u w:val="dotted"/>
          <w:lang w:eastAsia="zh-CN"/>
        </w:rPr>
      </w:pPr>
      <w:bookmarkStart w:id="352"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3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57920" behindDoc="0" locked="0" layoutInCell="1" allowOverlap="1">
                <wp:simplePos x="0" y="0"/>
                <wp:positionH relativeFrom="column">
                  <wp:posOffset>-1905</wp:posOffset>
                </wp:positionH>
                <wp:positionV relativeFrom="paragraph">
                  <wp:posOffset>1270</wp:posOffset>
                </wp:positionV>
                <wp:extent cx="977900" cy="607060"/>
                <wp:effectExtent l="0" t="0" r="0" b="0"/>
                <wp:wrapNone/>
                <wp:docPr id="237" name="文本框 956"/>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026" o:spt="202" type="#_x0000_t202" style="position:absolute;left:0pt;margin-left:-0.15pt;margin-top:0.1pt;height:47.8pt;width:77pt;z-index:251857920;mso-width-relative:page;mso-height-relative:page;" filled="f" stroked="f" coordsize="21600,21600" o:gfxdata="UEsDBAoAAAAAAIdO4kAAAAAAAAAAAAAAAAAEAAAAZHJzL1BLAwQUAAAACACHTuJA1ZaXCdMAAAAF&#10;AQAADwAAAGRycy9kb3ducmV2LnhtbE2OTU/DMBBE70j8B2uRuLV2WwJtyKYHEFcQ5UPito23SUS8&#10;jmK3Cf8e9wTH0YzevGI7uU6deAitF4TF3IBiqbxtpUZ4f3uarUGFSGKp88IIPxxgW15eFJRbP8or&#10;n3axVgkiISeEJsY+1zpUDTsKc9+zpO7gB0cxxaHWdqAxwV2nl8bcaketpIeGen5ouPreHR3Cx/Ph&#10;6/PGvNSPLutHPxktbqMRr68W5h5U5Cn+jeGsn9ShTE57fxQbVIcwW6UhwhLUucxWd6D2CJtsDbos&#10;9H/78hdQSwMEFAAAAAgAh07iQEjtkSkaAgAAGAQAAA4AAABkcnMvZTJvRG9jLnhtbK1TzY7TMBC+&#10;I/EOlu80aem2NGq6WrZahLT8SAsP4DpOY5F4zNhtUh4A3oATF+48V5+DsZMtZbnsgYtle8bffN83&#10;4+Vl19Rsr9BpMDkfj1LOlJFQaLPN+ccPN89ecOa8MIWowaicH5Tjl6unT5atzdQEKqgLhYxAjMta&#10;m/PKe5sliZOVaoQbgVWGgiVgIzwdcZsUKFpCb+pkkqazpAUsLIJUztHtug/yAREfAwhlqaVag9w1&#10;yvgeFVUtPElylbaOryLbslTSvytLpzyrc05KfVypCO03YU1WS5FtUdhKy4GCeAyFB5oaoQ0VPUGt&#10;hRdsh/ofqEZLBAelH0lokl5IdIRUjNMH3txVwqqohax29mS6+3+w8u3+PTJd5HzyfM6ZEQ21/Pj9&#10;2/HHr+PPr2xxMQsWtdZllHlnKdd3L6GjwYlynb0F+ckxA9eVMFt1hQhtpURBFMfhZXL2tMdxAWTT&#10;voGCKomdhwjUldgE/8gRRujUnsOpParzTNLlYj5fpBSRFJql83QW25eI7P6xRedfKWhY2OQcqfsR&#10;XOxvnQ9kRHafEmoZuNF1HSegNn9dUGK4ieQD35657zbdYMYGigPJQOgHir4TbSrAL5y1NEw5d593&#10;AhVn9WtDVizG02mYvniYXswndMDzyOY8IowkqJx7zvrtte8ndmdRbyuq1Jtv4IrsK3WUFnzuWQ28&#10;aWCi4mG4w0Sen2PWnw+9+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VlpcJ0wAAAAUBAAAPAAAA&#10;AAAAAAEAIAAAACIAAABkcnMvZG93bnJldi54bWxQSwECFAAUAAAACACHTuJASO2RKRoCAAAYBAAA&#10;DgAAAAAAAAABACAAAAAiAQAAZHJzL2Uyb0RvYy54bWxQSwUGAAAAAAYABgBZAQAArgU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pPr>
        <w:spacing w:line="360" w:lineRule="auto"/>
        <w:rPr>
          <w:rFonts w:ascii="仿宋" w:hAnsi="仿宋" w:eastAsia="仿宋" w:cs="仿宋"/>
          <w:b/>
          <w:bCs/>
          <w:color w:val="auto"/>
          <w:highlight w:val="none"/>
          <w:u w:val="dotted"/>
          <w:lang w:eastAsia="zh-CN"/>
        </w:rPr>
      </w:pPr>
      <w:bookmarkStart w:id="353"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3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92384" behindDoc="0" locked="0" layoutInCell="1" allowOverlap="1">
                <wp:simplePos x="0" y="0"/>
                <wp:positionH relativeFrom="column">
                  <wp:posOffset>-79375</wp:posOffset>
                </wp:positionH>
                <wp:positionV relativeFrom="paragraph">
                  <wp:posOffset>108585</wp:posOffset>
                </wp:positionV>
                <wp:extent cx="977900" cy="396240"/>
                <wp:effectExtent l="0" t="0" r="0" b="0"/>
                <wp:wrapNone/>
                <wp:docPr id="236" name="文本框 867"/>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026" o:spt="202" type="#_x0000_t202" style="position:absolute;left:0pt;margin-left:-6.25pt;margin-top:8.55pt;height:31.2pt;width:77pt;z-index:251792384;mso-width-relative:page;mso-height-relative:page;" filled="f" stroked="f" coordsize="21600,21600" o:gfxdata="UEsDBAoAAAAAAIdO4kAAAAAAAAAAAAAAAAAEAAAAZHJzL1BLAwQUAAAACACHTuJAqf2N7NYAAAAJ&#10;AQAADwAAAGRycy9kb3ducmV2LnhtbE2PwU7DMAyG70i8Q2QkbluSaWWsa7oDiCuIDZB2yxqvrWic&#10;qsnW8vZ4Jzja/6ffn4vt5DtxwSG2gQzouQKBVAXXUm3gY/8yewQRkyVnu0Bo4AcjbMvbm8LmLoz0&#10;jpddqgWXUMytgSalPpcyVg16G+ehR+LsFAZvE49DLd1gRy73nVwo9SC9bYkvNLbHpwar793ZG/h8&#10;PR2+luqtfvZZP4ZJSfJracz9nVYbEAmn9AfDVZ/VoWSnYziTi6IzMNOLjFEOVhrEFVhqXhwNrNYZ&#10;yLKQ/z8ofwFQSwMEFAAAAAgAh07iQAz2d1kaAgAAGAQAAA4AAABkcnMvZTJvRG9jLnhtbK1TzW4T&#10;MRC+I/EOlu9kkzQkzSqbqjQqQio/UuEBHK83a7H2mLGT3fIA9A04ceHOc+U5GHvTEMqlBy6W7Rl/&#10;833fjBcXnWnYTqHXYAs+Ggw5U1ZCqe2m4J8+Xr8458wHYUvRgFUFv1OeXyyfP1u0LldjqKEpFTIC&#10;sT5vXcHrEFyeZV7Wygg/AKcsBStAIwIdcZOVKFpCN002Hg6nWQtYOgSpvKfbVR/kB0R8CiBUlZZq&#10;BXJrlA09KqpGBJLka+08Xya2VaVkeF9VXgXWFJyUhrRSEdqv45otFyLfoHC1lgcK4ikUHmkyQlsq&#10;eoRaiSDYFvU/UEZLBA9VGEgwWS8kOUIqRsNH3tzWwqmkhaz27mi6/3+w8t3uAzJdFnx8NuXMCkMt&#10;33+/3//4tf/5jZ1PZ9Gi1vmcMm8d5YbuFXQ0OEmudzcgP3tm4aoWdqMuEaGtlSiJ4ii+zE6e9jg+&#10;gqzbt1BSJbENkIC6Ck30jxxhhE7tuTu2R3WBSbqcz2bzIUUkhc7m0/EktS8T+cNjhz68VmBY3BQc&#10;qfsJXOxufIhkRP6QEmtZuNZNkyagsX9dUGK8SeQj35556NbdwYw1lHckA6EfKPpOtKkBv3LW0jAV&#10;3H/ZClScNW8sWTEfTYgsC+kweTkb0wFPI+vTiLCSoAoeOOu3V6Gf2K1DvampUm++hUuyr9JJWvS5&#10;Z3XgTQOTFB+GO07k6Tll/fnQ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Y3s1gAAAAkBAAAP&#10;AAAAAAAAAAEAIAAAACIAAABkcnMvZG93bnJldi54bWxQSwECFAAUAAAACACHTuJADPZ3WRoCAAAY&#10;BAAADgAAAAAAAAABACAAAAAlAQAAZHJzL2Uyb0RvYy54bWxQSwUGAAAAAAYABgBZAQAAs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（1）发包人应配合承包人做好绿色施工安全防护工作，定期对其现场机构全部人员进行绿色施工安全防护教育和培训。</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（2）发包人应对其现场机构全部人员的安全事故承担责任，但由于承包人原因造成发包人人员安全事故的，应由承包人承担责任。</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（3）发包人有下列行为之一或由于发包人原因造成安全事故的，由发包人承担责任，由此增加的费用和延误的工期由发包人承担。</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（4）发包人应负责赔偿下列情形造成的第三者人身伤亡和财产损失。</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pPr>
        <w:spacing w:line="360" w:lineRule="auto"/>
        <w:rPr>
          <w:rFonts w:ascii="仿宋" w:hAnsi="仿宋" w:eastAsia="仿宋" w:cs="仿宋"/>
          <w:color w:val="auto"/>
          <w:highlight w:val="none"/>
          <w:u w:val="dotted"/>
          <w:lang w:eastAsia="zh-CN"/>
        </w:rPr>
      </w:pPr>
      <w:bookmarkStart w:id="354"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354"/>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93408" behindDoc="0" locked="0" layoutInCell="1" allowOverlap="1">
                <wp:simplePos x="0" y="0"/>
                <wp:positionH relativeFrom="column">
                  <wp:posOffset>-44450</wp:posOffset>
                </wp:positionH>
                <wp:positionV relativeFrom="paragraph">
                  <wp:posOffset>127000</wp:posOffset>
                </wp:positionV>
                <wp:extent cx="1028700" cy="567055"/>
                <wp:effectExtent l="0" t="0" r="0" b="0"/>
                <wp:wrapNone/>
                <wp:docPr id="235" name="文本框 868"/>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026" o:spt="202" type="#_x0000_t202" style="position:absolute;left:0pt;margin-left:-3.5pt;margin-top:10pt;height:44.65pt;width:81pt;z-index:251793408;mso-width-relative:page;mso-height-relative:page;" filled="f" stroked="f" coordsize="21600,21600" o:gfxdata="UEsDBAoAAAAAAIdO4kAAAAAAAAAAAAAAAAAEAAAAZHJzL1BLAwQUAAAACACHTuJAwyMVNNUAAAAJ&#10;AQAADwAAAGRycy9kb3ducmV2LnhtbE2PwU7DMBBE70j8g7VI3Fq7QCgNcXoAcQVRoBK3bbxNIuJ1&#10;FLtN+Hu2J3qb1axm3hTryXfqSENsA1tYzA0o4iq4lmsLnx8vswdQMSE77AKThV+KsC4vLwrMXRj5&#10;nY6bVCsJ4ZijhSalPtc6Vg15jPPQE4u3D4PHJOdQazfgKOG+0zfG3GuPLUtDgz09NVT9bA7ewtfr&#10;/nt7Z97qZ5/1Y5iMZr/S1l5fLcwjqERT+n+GE76gQylMu3BgF1VnYbaUKcmCtIA6+VkmYifCrG5B&#10;l4U+X1D+AVBLAwQUAAAACACHTuJA5/lC2xoCAAAZBAAADgAAAGRycy9lMm9Eb2MueG1srVPLjtMw&#10;FN0j8Q+W9zRp6Yuo6WiYahDSACMNfIDrOI1F4muu3SblA+APWLFhP9/V7+Da6ZQybGbBJrJ9r889&#10;5/hkcdE1NdspdBpMzoeDlDNlJBTabHL+6eP1izlnzgtTiBqMyvleOX6xfP5s0dpMjaCCulDICMS4&#10;rLU5r7y3WZI4WalGuAFYZahYAjbC0xY3SYGiJfSmTkZpOk1awMIiSOUcna76Ij8i4lMAoSy1VCuQ&#10;20YZ36OiqoUnSa7S1vFlZFuWSvoPZemUZ3XOSamPXxpC63X4JsuFyDYobKXlkYJ4CoVHmhqhDQ09&#10;Qa2EF2yL+h+oRksEB6UfSGiSXkh0hFQM00fe3FXCqqiFrHb2ZLr7f7Dy/e4WmS5yPno54cyIhp78&#10;8OP74ef94dc3Np/Og0WtdRl13lnq9d1r6Cg4Ua6zNyA/O2bgqhJmoy4Roa2UKIjiMNxMzq72OC6A&#10;rNt3UNAksfUQgboSm+AfOcIInZ5nf3oe1Xkmw8h0NJ+lVJJUm0xn6WQSR4js4bZF598oaFhY5Bzp&#10;+SO62N04H9iI7KElDDNwres6RqA2fx1QYziJ7APhnrrv1t3RjTUUe9KB0CeK/idaVIBfOWspTTl3&#10;X7YCFWf1W0NevBqOxyF+cTOezEa0wfPK+rwijCSonHvO+uWV7yO7tag3FU3q3TdwSf6VOkoLRves&#10;jrwpMVHxMd0hkuf72PXn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jFTTVAAAACQEAAA8A&#10;AAAAAAAAAQAgAAAAIgAAAGRycy9kb3ducmV2LnhtbFBLAQIUABQAAAAIAIdO4kDn+ULbGgIAABkE&#10;AAAOAAAAAAAAAAEAIAAAACQ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（1）承包人应严格按照国家、省、市有关绿色施工安全防护的标准规范制定绿色施工安全防护操作规程，配备必要的安全生产和劳动保护设施，加强对承包人人员的施工安全教育和培训。</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（2）承包人应对合同工程的绿色施工安全防护负责，采取有效的安全措施消除安全事故隐患，并接受和配合政府有关部门实施的监督检查。</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（3）承包人应加强施工作业安全管理，特别应加强使用易燃、易爆、有毒与腐蚀性材料，以及爆破和地下施工等危险作业的安全管理，尽量避免人员伤亡和财产损失。</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（4）承包人应按监理人的指令制定应对灾害的应急预案，并按预案做好安全检查，配置必要的救助物资和器材，切实保护好有关人员的人身和财产安全。</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（5）承包人违反本条约定或由于承包人原因造成安全事故的，由承包人承担责任，由此增加的费用和延误的工期由承包人承担。</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（6）承包人应对其履行合同所雇佣的全部人员，包括分包人人员的安全事故承担责任，但由于发包人原因造成承包人人员安全事故的，应由发包人承担责任。</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（7）由于承包人原因在施工场地内及其毗邻区域造成的第三者人身伤亡和财产损失，由承包人负责赔偿。</w:t>
      </w:r>
    </w:p>
    <w:p>
      <w:pPr>
        <w:spacing w:line="360" w:lineRule="auto"/>
        <w:rPr>
          <w:rFonts w:ascii="仿宋" w:hAnsi="仿宋" w:eastAsia="仿宋" w:cs="仿宋"/>
          <w:color w:val="auto"/>
          <w:highlight w:val="none"/>
          <w:u w:val="dotted"/>
          <w:lang w:eastAsia="zh-CN"/>
        </w:rPr>
      </w:pPr>
      <w:bookmarkStart w:id="355"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355"/>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adjustRightInd w:val="0"/>
        <w:snapToGri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71120</wp:posOffset>
                </wp:positionV>
                <wp:extent cx="954405" cy="479425"/>
                <wp:effectExtent l="0" t="0" r="0" b="0"/>
                <wp:wrapNone/>
                <wp:docPr id="234" name="文本框 869"/>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026" o:spt="202" type="#_x0000_t202" style="position:absolute;left:0pt;margin-left:-9pt;margin-top:5.6pt;height:37.75pt;width:75.15pt;z-index:251794432;mso-width-relative:page;mso-height-relative:page;" filled="f" stroked="f" coordsize="21600,21600" o:gfxdata="UEsDBAoAAAAAAIdO4kAAAAAAAAAAAAAAAAAEAAAAZHJzL1BLAwQUAAAACACHTuJAoIxDNtcAAAAJ&#10;AQAADwAAAGRycy9kb3ducmV2LnhtbE2PzU7DMBCE70h9B2uRuLV2UighZNNDEVcqyo/EzY23SUS8&#10;jmK3CW9f90SPoxnNfFOsJ9uJEw2+dYyQLBQI4sqZlmuEz4/XeQbCB81Gd44J4Y88rMvZTaFz40Z+&#10;p9Mu1CKWsM81QhNCn0vpq4as9gvXE0fv4AarQ5RDLc2gx1huO5kqtZJWtxwXGt3TpqHqd3e0CF9v&#10;h5/ve7WtX+xDP7pJSbZPEvHuNlHPIAJN4T8MF/yIDmVk2rsjGy86hHmSxS8hGkkK4hJYpksQe4Rs&#10;9QiyLOT1g/IMUEsDBBQAAAAIAIdO4kBmd6XbGwIAABgEAAAOAAAAZHJzL2Uyb0RvYy54bWytU0tu&#10;2zAQ3RfoHQjua9munMSC5SCNkaJA+gHSHoCmKIuoxGGHtCX3AM0Nuuqm+57L5+iQUlw33WTRjUBy&#10;hm/ee3xaXHZNzXYKnQaT88lozJkyEgptNjn/9PHmxQVnzgtTiBqMyvleOX65fP5s0dpMTaGCulDI&#10;CMS4rLU5r7y3WZI4WalGuBFYZahYAjbC0xY3SYGiJfSmTqbj8VnSAhYWQSrn6HTVF/mAiE8BhLLU&#10;Uq1AbhtlfI+KqhaeJLlKW8eXkW1ZKunfl6VTntU5J6U+fmkIrdfhmywXItugsJWWAwXxFAqPNDVC&#10;Gxp6hFoJL9gW9T9QjZYIDko/ktAkvZDoCKmYjB95c1cJq6IWstrZo+nu/8HKd7sPyHSR8+nLlDMj&#10;Gnryw/f7w49fh5/f2MXZPFjUWpdR552lXt+9go6CE+U6ewvys2MGrithNuoKEdpKiYIoTsLN5ORq&#10;j+MCyLp9CwVNElsPEagrsQn+kSOM0Ol59sfnUZ1nkg7nszQdzziTVErP5+l0FieI7OGyRedfK2hY&#10;WOQc6fUjuNjdOh/IiOyhJcwycKPrOiagNn8dUGM4ieQD356579bdYMYaij3JQOgDRb8TLSrAr5y1&#10;FKacuy9bgYqz+o0hK+YTYk7pi5t0dj6lDZ5W1qcVYSRB5dxz1i+vfZ/YrUW9qWhSb76BK7Kv1FFa&#10;8LlnNfCmwETFQ7hDIk/3sevPD73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MQzbXAAAACQEA&#10;AA8AAAAAAAAAAQAgAAAAIgAAAGRycy9kb3ducmV2LnhtbFBLAQIUABQAAAAIAIdO4kBmd6XbGwIA&#10;ABgEAAAOAAAAAAAAAAEAIAAAACYBAABkcnMvZTJvRG9jLnhtbFBLBQYAAAAABgAGAFkBAACz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小时内仍未整改的，监理人可在报经发包人批准后委托第三方采取措施。该款项经造价咨询人核实后，由发包人从应付或将付给承包人的款项中扣除。</w:t>
      </w:r>
    </w:p>
    <w:p>
      <w:pPr>
        <w:spacing w:line="360" w:lineRule="auto"/>
        <w:rPr>
          <w:rFonts w:ascii="仿宋" w:hAnsi="仿宋" w:eastAsia="仿宋" w:cs="仿宋"/>
          <w:color w:val="auto"/>
          <w:highlight w:val="none"/>
          <w:lang w:eastAsia="zh-CN"/>
        </w:rPr>
      </w:pPr>
      <w:bookmarkStart w:id="356"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35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95456" behindDoc="0" locked="0" layoutInCell="1" allowOverlap="1">
                <wp:simplePos x="0" y="0"/>
                <wp:positionH relativeFrom="column">
                  <wp:posOffset>124460</wp:posOffset>
                </wp:positionH>
                <wp:positionV relativeFrom="paragraph">
                  <wp:posOffset>102870</wp:posOffset>
                </wp:positionV>
                <wp:extent cx="800100" cy="720090"/>
                <wp:effectExtent l="0" t="0" r="0" b="0"/>
                <wp:wrapNone/>
                <wp:docPr id="233"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026" o:spt="202" type="#_x0000_t202" style="position:absolute;left:0pt;margin-left:9.8pt;margin-top:8.1pt;height:56.7pt;width:63pt;z-index:251795456;mso-width-relative:page;mso-height-relative:page;" filled="f" stroked="f" coordsize="21600,21600" o:gfxdata="UEsDBAoAAAAAAIdO4kAAAAAAAAAAAAAAAAAEAAAAZHJzL1BLAwQUAAAACACHTuJAedE7C9MAAAAJ&#10;AQAADwAAAGRycy9kb3ducmV2LnhtbE1PwU7DMAy9I/EPkZG4sWTVVrHSdAcQVxBjIHHzGq+taJyq&#10;ydby93gnONnP7+m953I7+16daYxdYAvLhQFFXAfXcWNh//58dw8qJmSHfWCy8EMRttX1VYmFCxO/&#10;0XmXGiUmHAu00KY0FFrHuiWPcREGYuGOYfSYBI6NdiNOYu57nRmTa48dS0KLAz22VH/vTt7Cx8vx&#10;63NlXpsnvx6mMBvNfqOtvb1ZmgdQieb0J4ZLfakOlXQ6hBO7qHrBm1yUMvMM1IVfreVwkCUTRlel&#10;/v9B9QtQSwMEFAAAAAgAh07iQNVTneAYAgAAGAQAAA4AAABkcnMvZTJvRG9jLnhtbK1TQW4TMRTd&#10;I3EHy3sySRpoOsqkKo2KkApFKhzA8XgyFmN/8+1kJhyA3oAVG/Y9V87BtydNQ9l0wWZk+/95/73n&#10;59l5Zxq2Ueg12IKPBkPOlJVQarsq+JfPV6+mnPkgbCkasKrgW+X5+fzli1nrcjWGGppSISMQ6/PW&#10;FbwOweVZ5mWtjPADcMpSsQI0ItAWV1mJoiV002Tj4fBN1gKWDkEq7+l00Rf5HhGfAwhVpaVagFwb&#10;ZUOPiqoRgST5WjvP54ltVSkZbqrKq8CagpPSkL40hNbL+M3mM5GvULhayz0F8RwKTzQZoS0NPUAt&#10;RBBsjfofKKMlgocqDCSYrBeSHCEVo+ETb25r4VTSQlZ7dzDd/z9Y+XHzCZkuCz4+OeHMCkNXvvt5&#10;t/t1v/v9g01Pk0Wt8zl13jrqDd1b6Cg4Sa531yC/embhshZ2pS4Qoa2VKIniKJqbHf0aL8XnPoIs&#10;2w9Q0iSxDpCAugpN9I8cYYRO17M9XI/qApN0OB2SRVSRVDqlKJ0lbpnIH3526MM7BYbFRcGRbj+B&#10;i821D5GMyB9a4iwLV7ppUgIa+9cBNcaTRD7y7ZmHbtlRdxSxhHJLMhD6QNFzokUN+J2zlsJUcP9t&#10;LVBx1ry3ZMXZaDKJ6UubyWsizxkeV5bHFWElQRU8cNYvL0Of2LVDvappUm++hQuyr9JJ2iOrPW8K&#10;TFK8D3dM5PE+dT0+6P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dE7C9MAAAAJAQAADwAAAAAA&#10;AAABACAAAAAiAAAAZHJzL2Rvd25yZXYueG1sUEsBAhQAFAAAAAgAh07iQNVTneAYAgAAGAQAAA4A&#10;AAAAAAAAAQAgAAAAIgEAAGRycy9lMm9Eb2MueG1sUEsFBgAAAAAGAAYAWQEAAK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pPr>
        <w:widowControl w:val="0"/>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pPr>
        <w:spacing w:line="360" w:lineRule="auto"/>
        <w:rPr>
          <w:rFonts w:ascii="仿宋" w:hAnsi="仿宋" w:eastAsia="仿宋" w:cs="仿宋"/>
          <w:b/>
          <w:bCs/>
          <w:color w:val="auto"/>
          <w:highlight w:val="none"/>
          <w:lang w:eastAsia="zh-CN"/>
        </w:rPr>
      </w:pPr>
      <w:bookmarkStart w:id="357"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3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6480"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232" name="文本框 871"/>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026" o:spt="202" type="#_x0000_t202" style="position:absolute;left:0pt;margin-left:-5.8pt;margin-top:1.25pt;height:51.25pt;width:68.8pt;z-index:251796480;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NrnJ7MZAgAAGAQAAA4AAABkcnMvZTJvRG9jLnhtbK1TS27b&#10;MBDdF+gdCO5ryY5/FSwHaYwUBdIPkPYANEVZRCUOO6QtuQdobtBVN933XD5Hh5Tjuukmi24EkjN8&#10;897j0+Kya2q2U+g0mJwPBylnykgotNnk/NPHmxdzzpwXphA1GJXzvXL8cvn82aK1mRpBBXWhkBGI&#10;cVlrc155b7MkcbJSjXADsMpQsQRshKctbpICRUvoTZ2M0nSatICFRZDKOTpd9UV+RMSnAEJZaqlW&#10;ILeNMr5HRVULT5Jcpa3jy8i2LJX078vSKc/qnJNSH780hNbr8E2WC5FtUNhKyyMF8RQKjzQ1Qhsa&#10;eoJaCS/YFvU/UI2WCA5KP5DQJL2Q6AipGKaPvLmrhFVRC1nt7Ml09/9g5bvdB2S6yPnoYsSZEQ09&#10;+eH7/eHHr8PPb2w+GwaLWusy6ryz1Ou7V9BRcKJcZ29BfnbMwHUlzEZdIUJbKVEQxXgzObva47gA&#10;sm7fQkGTxNZDBOpKbIJ/5AgjdHqe/el5VOeZpMP57GI2pYqk0nSSzmeTwC0R2cNli86/VtCwsMg5&#10;0utHcLG7db5vfWgJswzc6LqOCajNXweEGU4i+cC3Z+67dXc0Yw3FnmQg9IGi34kWFeBXzloKU87d&#10;l61AxVn9xpAVL4fjcUhf3IwnsxFt8LyyPq8IIwkq556zfnnt+8RuLepNRZN68w1ckX2ljtKCzz2r&#10;I28KTDTnGO6QyPN97Prz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vwBm/WAAAACQEAAA8A&#10;AAAAAAAAAQAgAAAAIgAAAGRycy9kb3ducmV2LnhtbFBLAQIUABQAAAAIAIdO4kDa5yezGQIAABgE&#10;AAAOAAAAAAAAAAEAIAAAACUBAABkcnMvZTJvRG9jLnhtbFBLBQYAAAAABgAGAFkBAACwBQ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材料和垃圾，保持施工场地和合同工程的清洁整齐。否则，发包人可自行处理或委托第三方处理留下的物品，所得金额在扣除由此发生的费用之后，将余额退还给承包人。</w:t>
      </w:r>
    </w:p>
    <w:p>
      <w:pPr>
        <w:spacing w:line="360" w:lineRule="auto"/>
        <w:rPr>
          <w:rFonts w:ascii="仿宋" w:hAnsi="仿宋" w:eastAsia="仿宋"/>
          <w:color w:val="auto"/>
          <w:highlight w:val="none"/>
          <w:lang w:eastAsia="zh-CN"/>
        </w:rPr>
      </w:pPr>
      <w:bookmarkStart w:id="358"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3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7504"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231"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026" o:spt="202" type="#_x0000_t202" style="position:absolute;left:0pt;margin-left:0pt;margin-top:1.35pt;height:46.8pt;width:68.8pt;z-index:251797504;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B6Uwi8GQIAABgEAAAOAAAAZHJzL2Uyb0RvYy54bWytU0tu2zAQ&#10;3RfoHQjua1m2EzuC5SCNkaJA+gHSHoCmKIuoxGGHtCX3AM0Nuuqm+57L5+iQchw33WTRjTCcGb55&#10;73E0v+yamm0VOg0m5+lgyJkyEgpt1jn//Onm1Ywz54UpRA1G5XynHL9cvHwxb22mRlBBXShkBGJc&#10;1tqcV97bLEmcrFQj3ACsMlQsARvh6YjrpEDREnpTJ6Ph8DxpAQuLIJVzlF32RX5AxOcAQllqqZYg&#10;N40yvkdFVQtPklylreOLyLYslfQfytIpz+qck1IfvzSE4lX4Jou5yNYobKXlgYJ4DoUnmhqhDQ09&#10;Qi2FF2yD+h+oRksEB6UfSGiSXkh0hFSkwyfe3FXCqqiFrHb2aLr7f7Dy/fYjMl3kfDROOTOioSff&#10;/7jf//y9//WdzaajYFFrXUadd5Z6ffcaOlqcKNfZW5BfHDNwXQmzVleI0FZKFEQxDTeTk6s9jgsg&#10;q/YdFDRJbDxEoK7EJvhHjjBCp+fZHZ9HdZ5JSs6m4+k5VSSVzi4mY4rDBJE9XLbo/BsFDQtBzpFe&#10;P4KL7a3zfetDS5hl4EbXNeVFVpu/EoQZMpF84Nsz992qo+6gaAXFjmQg9AtFvxMFFeA3zlpappy7&#10;rxuBirP6rSErLtLJJGxfPEzOpiM64GlldVoRRhJUzj1nfXjt+43dWNTriib15hu4IvtKHaU9sjrw&#10;poWJ5hyWO2zk6Tl2Pf7Q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3p0w1AAAAAUBAAAPAAAA&#10;AAAAAAEAIAAAACIAAABkcnMvZG93bnJldi54bWxQSwECFAAUAAAACACHTuJAelMIvBkCAAAYBAAA&#10;DgAAAAAAAAABACAAAAAjAQAAZHJzL2Uyb0RvYy54bWxQSwUGAAAAAAYABgBZAQAArgUAAAAA&#10;">
                <v:fill on="f" focussize="0,0"/>
                <v:stroke on="f"/>
                <v:imagedata o:title=""/>
                <o:lock v:ext="edit" aspectratio="f"/>
                <v:textbo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管理，鼓励承包人实施省、市级或其它级别文明工地。对于工程获得省、市级或其它级别文明工地的，应按照第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5条规定向承包人支付文明工地增加费。</w:t>
      </w:r>
    </w:p>
    <w:p>
      <w:pPr>
        <w:spacing w:line="360" w:lineRule="auto"/>
        <w:rPr>
          <w:rFonts w:ascii="仿宋" w:hAnsi="仿宋" w:eastAsia="仿宋"/>
          <w:color w:val="auto"/>
          <w:highlight w:val="none"/>
          <w:lang w:eastAsia="zh-CN"/>
        </w:rPr>
      </w:pPr>
      <w:bookmarkStart w:id="359" w:name="_Toc24255"/>
      <w:r>
        <w:rPr>
          <w:color w:val="auto"/>
          <w:highlight w:val="none"/>
          <w:lang w:eastAsia="zh-CN" w:bidi="ar-SA"/>
        </w:rPr>
        <mc:AlternateContent>
          <mc:Choice Requires="wps">
            <w:drawing>
              <wp:anchor distT="0" distB="0" distL="114300" distR="114300" simplePos="0" relativeHeight="251856896" behindDoc="0" locked="0" layoutInCell="1" allowOverlap="1">
                <wp:simplePos x="0" y="0"/>
                <wp:positionH relativeFrom="column">
                  <wp:posOffset>17780</wp:posOffset>
                </wp:positionH>
                <wp:positionV relativeFrom="paragraph">
                  <wp:posOffset>250825</wp:posOffset>
                </wp:positionV>
                <wp:extent cx="873760" cy="594360"/>
                <wp:effectExtent l="0" t="0" r="0" b="0"/>
                <wp:wrapNone/>
                <wp:docPr id="230"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026" o:spt="202" type="#_x0000_t202" style="position:absolute;left:0pt;margin-left:1.4pt;margin-top:19.75pt;height:46.8pt;width:68.8pt;z-index:251856896;mso-width-relative:page;mso-height-relative:page;" filled="f" stroked="f" coordsize="21600,21600" o:gfxdata="UEsDBAoAAAAAAIdO4kAAAAAAAAAAAAAAAAAEAAAAZHJzL1BLAwQUAAAACACHTuJADfQFfdYAAAAI&#10;AQAADwAAAGRycy9kb3ducmV2LnhtbE2PzW7CMBCE75V4B2srcSt2SKhKiMOBqleq0h+J2xIvSdR4&#10;HcWGpG9fc2pvO5rRzLfFdrKduNLgW8cakoUCQVw503Kt4eP95eEJhA/IBjvHpOGHPGzL2V2BuXEj&#10;v9H1EGoRS9jnqKEJoc+l9FVDFv3C9cTRO7vBYohyqKUZcIzltpNLpR6lxZbjQoM97Rqqvg8Xq+Fz&#10;fz5+Zeq1frarfnSTkmzXUuv5faI2IAJN4S8MN/yIDmVkOrkLGy86DcsIHjSk6xWIm52pDMQpHmma&#10;gCwL+f+B8hdQSwMEFAAAAAgAh07iQMpFv5oYAgAAGAQAAA4AAABkcnMvZTJvRG9jLnhtbK1TS27b&#10;MBDdF+gdCO5r+RvHguUgjZGiQNoUSHsAmqIsohKHHdKW3AM0N+iqm+5zLp+jQ8px3HSTRTfCcGb4&#10;5r3H0fyirSu2Veg0mIwPen3OlJGQa7PO+JfP12/OOXNemFxUYFTGd8rxi8XrV/PGpmoIJVS5QkYg&#10;xqWNzXjpvU2TxMlS1cL1wCpDxQKwFp6OuE5yFA2h11Uy7PfPkgYwtwhSOUfZZVfkB0R8CSAUhZZq&#10;CXJTK+M7VFSV8CTJldo6vohsi0JJf1sUTnlWZZyU+vilIRSvwjdZzEW6RmFLLQ8UxEsoPNNUC21o&#10;6BFqKbxgG9T/QNVaIjgofE9CnXRCoiOkYtB/5s1dKayKWshqZ4+mu/8HKz9uPyHTecaHI/LEiJqe&#10;fP/zfv/rYf/7B5tNJsGixrqUOu8s9fr2LbS0OFGuszcgvzpm4KoUZq0uEaEplciJ4iDcTE6udjgu&#10;gKyaD5DTJLHxEIHaAuvgHznCCJ2o7I7Po1rPJCXPp6PpGVUklSaz8YjiMEGkj5ctOv9OQc1CkHGk&#10;14/gYnvjfNf62BJmGbjWVUV5kVbmrwRhhkwkH/h2zH27aqk7KFpBviMZCN1C0e9EQQn4nbOGlinj&#10;7ttGoOKsem/IitlgPCbiPh7Gk+mQDnhaWZ1WhJEElXHPWRde+W5jNxb1uqRJnfkGLsm+QkdpT6wO&#10;vGlhojmH5Q4beXqOXU8/9O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fQFfdYAAAAIAQAADwAA&#10;AAAAAAABACAAAAAiAAAAZHJzL2Rvd25yZXYueG1sUEsBAhQAFAAAAAgAh07iQMpFv5oYAgAAGAQA&#10;AA4AAAAAAAAAAQAgAAAAJQEAAGRycy9lMm9Eb2MueG1sUEsFBgAAAAAGAAYAWQEAAK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3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承包人应按照法律规定进行施工，做好安全技术交底工作，施工过程中做好各项安全防护措施。承包人为实施合同而雇用的特殊工种的人员应受过专门的培训并已取得上岗证书。</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 7 天以书面通知发包人和监理人，并报送相应的安全防护措施，经发包人认可后实施。</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60" w:name="_Toc47694328"/>
      <w:bookmarkStart w:id="361" w:name="_Toc29669"/>
      <w:bookmarkStart w:id="362" w:name="_Toc9687"/>
      <w:r>
        <w:rPr>
          <w:rFonts w:hint="eastAsia" w:ascii="仿宋" w:hAnsi="仿宋" w:eastAsia="仿宋" w:cs="仿宋"/>
          <w:bCs w:val="0"/>
          <w:color w:val="auto"/>
          <w:sz w:val="24"/>
          <w:szCs w:val="24"/>
          <w:highlight w:val="none"/>
        </w:rPr>
        <w:t>53</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测量放线</w:t>
      </w:r>
      <w:bookmarkEnd w:id="360"/>
      <w:bookmarkEnd w:id="361"/>
      <w:bookmarkEnd w:id="362"/>
    </w:p>
    <w:p>
      <w:pPr>
        <w:pStyle w:val="13"/>
        <w:tabs>
          <w:tab w:val="left" w:pos="1202"/>
        </w:tabs>
        <w:adjustRightInd w:val="0"/>
        <w:snapToGrid w:val="0"/>
        <w:spacing w:line="360" w:lineRule="auto"/>
        <w:ind w:firstLine="0"/>
        <w:rPr>
          <w:rFonts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229"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026" o:spt="202" type="#_x0000_t202" style="position:absolute;left:0pt;margin-left:-9pt;margin-top:22.55pt;height:43pt;width:72pt;z-index:251921408;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ApEM/ZFwIAABgEAAAOAAAAZHJzL2Uyb0RvYy54bWytU0tu&#10;2zAQ3RfoHQjua1mu8xMsB2mMFAXSD5D2ADRFWURFDjukLbkHaG/QVTfd91w+R4eU47jpJotuhOHM&#10;8M17j6PZZW9atlHoNdiS56MxZ8pKqLRdlfzTx5sX55z5IGwlWrCq5Fvl+eX8+bNZ5wo1gQbaSiEj&#10;EOuLzpW8CcEVWeZlo4zwI3DKUrEGNCLQEVdZhaIjdNNmk/H4NOsAK4cglfeUXQxFvkfEpwBCXWup&#10;FiDXRtkwoKJqRSBJvtHO83liW9dKhvd17VVgbclJaUhfGkLxMn6z+UwUKxSu0XJPQTyFwiNNRmhL&#10;Qw9QCxEEW6P+B8poieChDiMJJhuEJEdIRT5+5M1dI5xKWshq7w6m+/8HK99tPiDTVcknkwvOrDD0&#10;5Lsf33c/f+9+fWPnZy+jRZ3zBXXeOeoN/SvoaXGSXO9uQX72zMJ1I+xKXSFC1yhREcU83syOrg44&#10;PoIsu7dQ0SSxDpCA+hpN9I8cYYROz7M9PI/qA5OUvMin0zFVJJVOpqc5xXGCKO4vO/ThtQLDYlBy&#10;pNdP4GJz68PQet8SZ1m40W1LeVG09q8EYcZMIh/5DsxDv+ypOypaQrUlGQjDQtHvREED+JWzjpap&#10;5P7LWqDirH1jyYrEnLYvHaYnZxNSgceV5XFFWElQJQ+cDeF1GDZ27VCvGpo0mG/hiuyrdZL2wGrP&#10;mxYmmbNf7riRx+fU9fBD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63redcAAAAKAQAADwAA&#10;AAAAAAABACAAAAAiAAAAZHJzL2Rvd25yZXYueG1sUEsBAhQAFAAAAAgAh07iQCkQz9kXAgAAGAQA&#10;AA4AAAAAAAAAAQAgAAAAJgEAAGRycy9lMm9Eb2MueG1sUEsFBgAAAAAGAAYAWQEAAK8FA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pPr>
        <w:adjustRightInd w:val="0"/>
        <w:snapToGrid w:val="0"/>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62230</wp:posOffset>
                </wp:positionV>
                <wp:extent cx="914400" cy="677545"/>
                <wp:effectExtent l="0" t="0" r="0" b="0"/>
                <wp:wrapNone/>
                <wp:docPr id="228"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026" o:spt="202" type="#_x0000_t202" style="position:absolute;left:0pt;margin-left:-9pt;margin-top:4.9pt;height:53.35pt;width:72pt;z-index:251798528;mso-width-relative:page;mso-height-relative:page;" filled="f" stroked="f" coordsize="21600,21600" o:gfxdata="UEsDBAoAAAAAAIdO4kAAAAAAAAAAAAAAAAAEAAAAZHJzL1BLAwQUAAAACACHTuJADU3z6tYAAAAJ&#10;AQAADwAAAGRycy9kb3ducmV2LnhtbE2PzU7DMBCE70i8g7VI3Fo7FY3aEKcHEFcQ5Ufito23SUS8&#10;jmK3CW/P9gS3Hc1odr5yN/tenWmMXWAL2dKAIq6D67ix8P72tNiAignZYR+YLPxQhF11fVVi4cLE&#10;r3Tep0ZJCccCLbQpDYXWsW7JY1yGgVi8Yxg9JpFjo92Ik5T7Xq+MybXHjuVDiwM9tFR/70/ewsfz&#10;8evzzrw0j349TGE2mv1WW3t7k5l7UInm9BeGy3yZDpVsOoQTu6h6C4tsIyzJwlYILv4qF32QI8vX&#10;oKtS/yeofgFQSwMEFAAAAAgAh07iQOqCeJMXAgAAGAQAAA4AAABkcnMvZTJvRG9jLnhtbK1TwW4T&#10;MRC9I/EPlu9kkyhp2lU2VWlUhFSgUuEDHK83a7H2mLGT3fAB8Ac9ceHOd+U7GHvTEMqlBy6W7Rm/&#10;ee/NeH7ZmYZtFXoNtuCjwZAzZSWU2q4L/unjzatzznwQthQNWFXwnfL8cvHyxbx1uRpDDU2pkBGI&#10;9XnrCl6H4PIs87JWRvgBOGUpWAEaEeiI66xE0RK6abLxcHiWtYClQ5DKe7pd9kF+QMTnAEJVaamW&#10;IDdG2dCjompEIEm+1s7zRWJbVUqGD1XlVWBNwUlpSCsVof0qrtliLvI1CldreaAgnkPhiSYjtKWi&#10;R6ilCIJtUP8DZbRE8FCFgQST9UKSI6RiNHzizX0tnEpayGrvjqb7/wcr32/vkOmy4OMxNd4KQy3f&#10;P3zf//i1//mNnc8m0aLW+Zwy7x3lhu41dDQ4Sa53tyA/e2bhuhZ2ra4Qoa2VKIniKL7MTp72OD6C&#10;rNp3UFIlsQmQgLoKTfSPHGGETu3ZHdujusAkXV6MJpMhRSSFzmaz6WSaKoj88bFDH94oMCxuCo7U&#10;/QQutrc+RDIif0yJtSzc6KZJE9DYvy4oMd4k8pFvzzx0q+5gxgrKHclA6AeKvhNtasCvnLU0TAX3&#10;XzYCFWfNW0tWJOY0fekwmc7GpAJPI6vTiLCSoAoeOOu316Gf2I1Dva6pUm++hSuyr9JJWvS5Z3Xg&#10;TQOTFB+GO07k6Tll/fnQ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TfPq1gAAAAkBAAAPAAAA&#10;AAAAAAEAIAAAACIAAABkcnMvZG93bnJldi54bWxQSwECFAAUAAAACACHTuJA6oJ4kxcCAAAYBAAA&#10;DgAAAAAAAAABACAAAAAlAQAAZHJzL2Uyb0RvYy54bWxQSwUGAAAAAAYABgBZAQAArgU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pPr>
        <w:spacing w:line="360" w:lineRule="auto"/>
        <w:rPr>
          <w:rFonts w:ascii="仿宋" w:hAnsi="仿宋" w:eastAsia="仿宋" w:cs="仿宋"/>
          <w:b/>
          <w:bCs/>
          <w:color w:val="auto"/>
          <w:highlight w:val="none"/>
          <w:u w:val="dotted"/>
          <w:lang w:eastAsia="zh-CN"/>
        </w:rPr>
      </w:pPr>
      <w:bookmarkStart w:id="363"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3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99552" behindDoc="0" locked="0" layoutInCell="1" allowOverlap="1">
                <wp:simplePos x="0" y="0"/>
                <wp:positionH relativeFrom="column">
                  <wp:posOffset>33020</wp:posOffset>
                </wp:positionH>
                <wp:positionV relativeFrom="paragraph">
                  <wp:posOffset>57785</wp:posOffset>
                </wp:positionV>
                <wp:extent cx="914400" cy="541020"/>
                <wp:effectExtent l="0" t="0" r="0" b="0"/>
                <wp:wrapNone/>
                <wp:docPr id="227"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026" o:spt="202" type="#_x0000_t202" style="position:absolute;left:0pt;margin-left:2.6pt;margin-top:4.55pt;height:42.6pt;width:72pt;z-index:251799552;mso-width-relative:page;mso-height-relative:page;" filled="f" stroked="f" coordsize="21600,21600" o:gfxdata="UEsDBAoAAAAAAIdO4kAAAAAAAAAAAAAAAAAEAAAAZHJzL1BLAwQUAAAACACHTuJAh5QRH9IAAAAG&#10;AQAADwAAAGRycy9kb3ducmV2LnhtbE2OwU7DMBBE70j9B2srcaN2SoqaEKeHVlxBtIDUmxtvk4h4&#10;HcVuE/6e7QmOTzOaecVmcp244hBaTxqShQKBVHnbUq3h4/DysAYRoiFrOk+o4QcDbMrZXWFy60d6&#10;x+s+1oJHKORGQxNjn0sZqgadCQvfI3F29oMzkXGopR3MyOOuk0ulnqQzLfFDY3rcNlh97y9Ow+fr&#10;+fiVqrd651b96CclyWVS6/t5op5BRJziXxlu+qwOJTud/IVsEJ2G1ZKLGrIExC1NM+YTc/oIsizk&#10;f/3yF1BLAwQUAAAACACHTuJA8ydE0RcCAAAYBAAADgAAAGRycy9lMm9Eb2MueG1srVNLjhMxEN0j&#10;cQfLe9KdKCFDK53RMNEgpOEjDRzAcbvTFm2XKTvpDgeAG7Biw55z5RyU3ZkQhs0s2Fi2q/zqvVfl&#10;xWVvWrZT6DXYko9HOWfKSqi03ZT844ebZxec+SBsJVqwquR75fnl8umTRecKNYEG2kohIxDri86V&#10;vAnBFVnmZaOM8CNwylKwBjQi0BE3WYWiI3TTZpM8f551gJVDkMp7ul0NQX5ExMcAQl1rqVYgt0bZ&#10;MKCiakUgSb7RzvNlYlvXSoZ3de1VYG3JSWlIKxWh/Tqu2XIhig0K12h5pCAeQ+GBJiO0paInqJUI&#10;gm1R/wNltETwUIeRBJMNQpIjpGKcP/DmrhFOJS1ktXcn0/3/g5Vvd++R6arkk8mcMysMtfzw/dvh&#10;x6/Dz6/sYj6LFnXOF5R55yg39C+hp8FJcr27BfnJMwvXjbAbdYUIXaNERRTH8WV29nTA8RFk3b2B&#10;iiqJbYAE1Ndoon/kCCN0as/+1B7VBybp8sV4Os0pIik0m47zSWpfJor7xw59eKXAsLgpOVL3E7jY&#10;3foQyYjiPiXWsnCj2zZNQGv/uqDEeJPIR74D89Cv+6MZa6j2JANhGCj6TrRpAL9w1tEwldx/3gpU&#10;nLWvLVmRmNP0pcN0NifmDM8j6/OIsJKgSh44G7bXYZjYrUO9aajSYL6FK7Kv1kla9HlgdeRNA5MU&#10;H4c7TuT5OWX9+dD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eUER/SAAAABgEAAA8AAAAAAAAA&#10;AQAgAAAAIgAAAGRycy9kb3ducmV2LnhtbFBLAQIUABQAAAAIAIdO4kDzJ0TRFwIAABgEAAAOAAAA&#10;AAAAAAEAIAAAACEBAABkcnMvZTJvRG9jLnhtbFBLBQYAAAAABgAGAFkBAACqBQAAAAA=&#10;">
                <v:fill on="f" focussize="0,0"/>
                <v:stroke on="f"/>
                <v:imagedata o:title=""/>
                <o:lock v:ext="edit" aspectratio="f"/>
                <v:textbo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pPr>
        <w:spacing w:line="360" w:lineRule="auto"/>
        <w:rPr>
          <w:rFonts w:ascii="仿宋" w:hAnsi="仿宋" w:eastAsia="仿宋" w:cs="仿宋"/>
          <w:b/>
          <w:bCs/>
          <w:color w:val="auto"/>
          <w:highlight w:val="none"/>
          <w:u w:val="dotted"/>
          <w:lang w:eastAsia="zh-CN"/>
        </w:rPr>
      </w:pPr>
      <w:bookmarkStart w:id="364"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3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00576" behindDoc="0" locked="0" layoutInCell="1" allowOverlap="1">
                <wp:simplePos x="0" y="0"/>
                <wp:positionH relativeFrom="column">
                  <wp:posOffset>71755</wp:posOffset>
                </wp:positionH>
                <wp:positionV relativeFrom="paragraph">
                  <wp:posOffset>113665</wp:posOffset>
                </wp:positionV>
                <wp:extent cx="914400" cy="375920"/>
                <wp:effectExtent l="0" t="0" r="0" b="0"/>
                <wp:wrapNone/>
                <wp:docPr id="226" name="文本框 876"/>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026" o:spt="202" type="#_x0000_t202" style="position:absolute;left:0pt;margin-left:5.65pt;margin-top:8.95pt;height:29.6pt;width:72pt;z-index:251800576;mso-width-relative:page;mso-height-relative:page;" filled="f" stroked="f" coordsize="21600,21600" o:gfxdata="UEsDBAoAAAAAAIdO4kAAAAAAAAAAAAAAAAAEAAAAZHJzL1BLAwQUAAAACACHTuJAYyXFtNUAAAAI&#10;AQAADwAAAGRycy9kb3ducmV2LnhtbE2PQU/DMAyF70j8h8hI3FhSoCsrTXcAcWVig0m7ZY3XVjRO&#10;1WRr+ffzTuxkPb+n58/FcnKdOOEQWk8akpkCgVR521Kt4Xvz8fACIkRD1nSeUMMfBliWtzeFya0f&#10;6QtP61gLLqGQGw1NjH0uZagadCbMfI/E3sEPzkSWQy3tYEYud518VGounWmJLzSmx7cGq9/10Wn4&#10;+Tzsts9qVb+7tB/9pCS5hdT6/i5RryAiTvE/DBd8RoeSmfb+SDaIjnXyxEme2QLExU9TXuw1ZFkC&#10;sizk9QPlGVBLAwQUAAAACACHTuJArvOUvRkCAAAYBAAADgAAAGRycy9lMm9Eb2MueG1srVPNbhMx&#10;EL4j8Q6W72STkCbtKpuqNCpCKj9S4QEcrzdrsfaYsZPd8AD0DThx4c5z5TkYe9MQyqUHLpbtGX/z&#10;fd+M55edadhWoddgCz4aDDlTVkKp7brgnz7evDjnzAdhS9GAVQXfKc8vF8+fzVuXqzHU0JQKGYFY&#10;n7eu4HUILs8yL2tlhB+AU5aCFaARgY64zkoULaGbJhsPh9OsBSwdglTe0+2yD/IDIj4FEKpKS7UE&#10;uTHKhh4VVSMCSfK1dp4vEtuqUjK8ryqvAmsKTkpDWqkI7VdxzRZzka9RuFrLAwXxFAqPNBmhLRU9&#10;Qi1FEGyD+h8ooyWChyoMJJisF5IcIRWj4SNv7mrhVNJCVnt3NN3/P1j5bvsBmS4LPh5PObPCUMv3&#10;3+/3P37tf35j57NptKh1PqfMO0e5oXsFHQ1OkuvdLcjPnlm4roVdqytEaGslSqI4ii+zk6c9jo8g&#10;q/YtlFRJbAIkoK5CE/0jRxihU3t2x/aoLjBJlxejyWRIEUmhl7Ozi3FqXybyh8cOfXitwLC4KThS&#10;9xO42N76EMmI/CEl1rJwo5smTUBj/7qgxHiTyEe+PfPQrbqDGSsodyQDoR8o+k60qQG/ctbSMBXc&#10;f9kIVJw1byxZkZjT9KXD5GxGzBmeRlanEWElQRU8cNZvr0M/sRuHel1Tpd58C1dkX6WTtOhzz+rA&#10;mwYmKT4Md5zI03PK+vOh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yXFtNUAAAAIAQAADwAA&#10;AAAAAAABACAAAAAiAAAAZHJzL2Rvd25yZXYueG1sUEsBAhQAFAAAAAgAh07iQK7zlL0ZAgAAGAQA&#10;AA4AAAAAAAAAAQAgAAAAJAEAAGRycy9lMm9Eb2MueG1sUEsFBgAAAAAGAAYAWQEAAK8FA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pPr>
        <w:spacing w:line="360" w:lineRule="auto"/>
        <w:rPr>
          <w:rFonts w:ascii="仿宋" w:hAnsi="仿宋" w:eastAsia="仿宋"/>
          <w:b/>
          <w:bCs/>
          <w:color w:val="auto"/>
          <w:highlight w:val="none"/>
          <w:lang w:eastAsia="zh-CN"/>
        </w:rPr>
      </w:pPr>
      <w:bookmarkStart w:id="365"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color w:val="auto"/>
          <w:highlight w:val="none"/>
          <w:lang w:eastAsia="zh-CN" w:bidi="ar-SA"/>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225" name="文本框 877"/>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026" o:spt="202" type="#_x0000_t202" style="position:absolute;left:0pt;margin-left:-9pt;margin-top:21.9pt;height:35.3pt;width:72pt;z-index:251801600;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DhgMKsGAIAABgEAAAOAAAAZHJzL2Uyb0RvYy54bWytU8Fu&#10;EzEQvSPxD5bvZJOQkrDKpiqNipAKRSp8gOP1Zi3WHjN2shs+gP4BJy7c+135DsbeNIRy6YGLZXvG&#10;b957M56fd6ZhW4Vegy34aDDkTFkJpbbrgn/+dPVixpkPwpaiAasKvlOeny+eP5u3LldjqKEpFTIC&#10;sT5vXcHrEFyeZV7Wygg/AKcsBStAIwIdcZ2VKFpCN002Hg5fZS1g6RCk8p5ul32QHxDxKYBQVVqq&#10;JciNUTb0qKgaEUiSr7XzfJHYVpWS4aaqvAqsKTgpDWmlIrRfxTVbzEW+RuFqLQ8UxFMoPNJkhLZU&#10;9Ai1FEGwDep/oIyWCB6qMJBgsl5IcoRUjIaPvLmthVNJC1nt3dF0//9g5YftR2S6LPh4fMaZFYZa&#10;vv9xt/95v//1nc2m02hR63xOmbeOckP3BjoanCTXu2uQXzyzcFkLu1YXiNDWSpREcRRfZidPexwf&#10;QVbteyipktgESEBdhSb6R44wQqf27I7tUV1gki5fjyaTIUUkhSaT2ctRal8m8ofHDn14q8CwuCk4&#10;UvcTuNhe+xDJiPwhJdaycKWbJk1AY/+6oMR4k8hHvj3z0K26gxkrKHckA6EfKPpOtKkBv3HW0jAV&#10;3H/dCFScNe8sWZGY0/Slw+RsOiYVeBpZnUaElQRV8MBZv70M/cRuHOp1TZV68y1ckH2VTtKizz2r&#10;A28amKT4MNxxIk/PKevPh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BLqU/XAAAACgEAAA8A&#10;AAAAAAAAAQAgAAAAIgAAAGRycy9kb3ducmV2LnhtbFBLAQIUABQAAAAIAIdO4kDhgMKsGAIAABgE&#10;AAAOAAAAAAAAAAEAIAAAACY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365"/>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13"/>
        <w:tabs>
          <w:tab w:val="left" w:pos="2070"/>
        </w:tabs>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66" w:name="_Toc47694329"/>
      <w:bookmarkStart w:id="367" w:name="_Toc29965"/>
      <w:bookmarkStart w:id="368" w:name="_Toc18905"/>
      <w:r>
        <w:rPr>
          <w:rFonts w:hint="eastAsia" w:ascii="仿宋" w:hAnsi="仿宋" w:eastAsia="仿宋" w:cs="仿宋"/>
          <w:bCs w:val="0"/>
          <w:color w:val="auto"/>
          <w:sz w:val="24"/>
          <w:szCs w:val="24"/>
          <w:highlight w:val="none"/>
        </w:rPr>
        <w:t>54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钻孔与勘探性开挖</w:t>
      </w:r>
      <w:bookmarkEnd w:id="366"/>
      <w:bookmarkEnd w:id="367"/>
      <w:bookmarkEnd w:id="368"/>
    </w:p>
    <w:p>
      <w:pPr>
        <w:pStyle w:val="13"/>
        <w:adjustRightInd w:val="0"/>
        <w:snapToGrid w:val="0"/>
        <w:spacing w:line="360" w:lineRule="auto"/>
        <w:ind w:firstLine="0"/>
        <w:rPr>
          <w:rFonts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224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224" name="文本框 878"/>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026" o:spt="202" type="#_x0000_t202" style="position:absolute;left:0pt;margin-left:-10.5pt;margin-top:22.45pt;height:51.05pt;width:72pt;z-index:2519224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AcvJSOGAIAABgEAAAOAAAAZHJzL2Uyb0RvYy54bWytU0Fu&#10;EzEU3SNxB8t7MkmatmGUSVUaFSEVilQ4gOPxZCzG/ubbyUw4AL0BKzbse66cg29PGkLZdMFmZPt/&#10;v//e85vZRWcatlHoNdiCjwZDzpSVUGq7KvjnT9evppz5IGwpGrCq4Fvl+cX85YtZ63I1hhqaUiEj&#10;EOvz1hW8DsHlWeZlrYzwA3DKUrECNCLQFldZiaIldNNk4+HwLGsBS4cglfd0uuiLfI+IzwGEqtJS&#10;LUCujbKhR0XViECSfK2d5/PEtqqUDLdV5VVgTcFJaUhfGkLrZfxm85nIVyhcreWegngOhSeajNCW&#10;hh6gFiIItkb9D5TREsFDFQYSTNYLSY6QitHwiTd3tXAqaSGrvTuY7v8frPyw+YhMlwUfjyecWWHo&#10;yXc/7nc/H3a/vrPp+TRa1DqfU+edo97QvYGOgpPkencD8otnFq5qYVfqEhHaWomSKI7izezoao/j&#10;I8iyfQ8lTRLrAAmoq9BE/8gRRuj0PNvD86guMEmHr0eTyZAqkkpnk+nJyWmaIPLHyw59eKvAsLgo&#10;ONLrJ3CxufEhkhH5Y0ucZeFaN01KQGP/OqDGeJLIR74989Atu70ZSyi3JAOhDxT9TrSoAb9x1lKY&#10;Cu6/rgUqzpp3lqxIzCl9aTM5PR+TCjyuLI8rwkqCKnjgrF9ehT6xa4d6VdOk3nwLl2RfpZO06HPP&#10;as+bApMU78MdE3m8T11/fuj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LZqrXAAAACgEAAA8A&#10;AAAAAAAAAQAgAAAAIgAAAGRycy9kb3ducmV2LnhtbFBLAQIUABQAAAAIAIdO4kAcvJSOGAIAABgE&#10;AAAOAAAAAAAAAAEAIAAAACY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 63 条约定书面发出专项指令。承包人在接到监理工程师指令后，应及时实施相关工作。</w:t>
      </w:r>
    </w:p>
    <w:p>
      <w:pPr>
        <w:pStyle w:val="13"/>
        <w:tabs>
          <w:tab w:val="left" w:pos="720"/>
          <w:tab w:val="left" w:pos="1080"/>
        </w:tabs>
        <w:adjustRightInd w:val="0"/>
        <w:snapToGrid w:val="0"/>
        <w:spacing w:line="360" w:lineRule="auto"/>
        <w:ind w:firstLine="0"/>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23456" behindDoc="0" locked="0" layoutInCell="1" allowOverlap="1">
                <wp:simplePos x="0" y="0"/>
                <wp:positionH relativeFrom="column">
                  <wp:posOffset>-133350</wp:posOffset>
                </wp:positionH>
                <wp:positionV relativeFrom="paragraph">
                  <wp:posOffset>265430</wp:posOffset>
                </wp:positionV>
                <wp:extent cx="914400" cy="699135"/>
                <wp:effectExtent l="0" t="0" r="0" b="0"/>
                <wp:wrapNone/>
                <wp:docPr id="223" name="文本框 879"/>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wps:spPr>
                      <wps:txb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026" o:spt="202" type="#_x0000_t202" style="position:absolute;left:0pt;margin-left:-10.5pt;margin-top:20.9pt;height:55.05pt;width:72pt;z-index:251923456;mso-width-relative:page;mso-height-relative:page;" filled="f" stroked="f" coordsize="21600,21600" o:gfxdata="UEsDBAoAAAAAAIdO4kAAAAAAAAAAAAAAAAAEAAAAZHJzL1BLAwQUAAAACACHTuJArR8UOdcAAAAK&#10;AQAADwAAAGRycy9kb3ducmV2LnhtbE2PQU/DMAyF70j7D5GRuG1Jyjax0nSHIa4gBkPiljVeW9E4&#10;VZOt5d/jneBm+z09f6/YTr4TFxxiG8iAXigQSFVwLdUGPt6f5w8gYrLkbBcIDfxghG05uyls7sJI&#10;b3jZp1pwCMXcGmhS6nMpY9Wgt3EReiTWTmHwNvE61NINduRw38lMqbX0tiX+0Ngedw1W3/uzN3B4&#10;OX19LtVr/eRX/RgmJclvpDF3t1o9gkg4pT8zXPEZHUpmOoYzuSg6A/NMc5dkYKm5wtWQ3fPhyMNK&#10;b0CWhfxfofwFUEsDBBQAAAAIAIdO4kAj8QblGQIAABgEAAAOAAAAZHJzL2Uyb0RvYy54bWytU0tu&#10;2zAQ3RfoHQjua9mO87FgOUhjpCiQtgHSHoCmKIuoyGGHtCX3AO0Nuuqm+5zL5+iQclw33WTRjUBy&#10;hm/ee3yaXXamYRuFXoMt+Ggw5ExZCaW2q4J/+njz6oIzH4QtRQNWFXyrPL+cv3wxa12uxlBDUypk&#10;BGJ93rqC1yG4PMu8rJURfgBOWSpWgEYE2uIqK1G0hG6abDwcnmUtYOkQpPKeThd9ke8R8TmAUFVa&#10;qgXItVE29KioGhFIkq+183ye2FaVkuFDVXkVWFNwUhrSl4bQehm/2Xwm8hUKV2u5pyCeQ+GJJiO0&#10;paEHqIUIgq1R/wNltETwUIWBBJP1QpIjpGI0fOLNfS2cSlrIau8Opvv/Byvfb+6Q6bLg4/EJZ1YY&#10;evLdj++7nw+7X9/Yxfk0WtQ6n1PnvaPe0L2GjoKT5Hp3C/KzZxaua2FX6goR2lqJkiiO4s3s6GqP&#10;4yPIsn0HJU0S6wAJqKvQRP/IEUbo9Dzbw/OoLjBJh9PRZDKkiqTS2XQ6OjlNE0T+eNmhD28UGBYX&#10;BUd6/QQuNrc+RDIif2yJsyzc6KZJCWjsXwfUGE8S+ci3Zx66Zbc3YwnllmQg9IGi34kWNeBXzloK&#10;U8H9l7VAxVnz1pIViTmlL20mp+djUoHHleVxRVhJUAUPnPXL69Andu1Qr2qa1Jtv4Yrsq3SSFn3u&#10;We15U2CS4n24YyKP96nrzw89/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HxQ51wAAAAoBAAAP&#10;AAAAAAAAAAEAIAAAACIAAABkcnMvZG93bnJldi54bWxQSwECFAAUAAAACACHTuJAI/EG5RkCAAAY&#10;BAAADgAAAAAAAAABACAAAAAmAQAAZHJzL2Uyb0RvYy54bWxQSwUGAAAAAAYABgBZAQAAsQUAAAAA&#10;">
                <v:fill on="f" focussize="0,0"/>
                <v:stroke on="f"/>
                <v:imagedata o:title=""/>
                <o:lock v:ext="edit" aspectratio="f"/>
                <v:textbo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除工程量清单中已列有此类工作的支付项目和额度外，此项工作所发生的一切费用，经造价咨询人核实后，由合同双方当事人按照第79条规定办理。</w:t>
      </w:r>
    </w:p>
    <w:p>
      <w:pPr>
        <w:pStyle w:val="22"/>
        <w:tabs>
          <w:tab w:val="left" w:pos="54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69" w:name="_Toc13842"/>
      <w:bookmarkStart w:id="370" w:name="_Toc15679"/>
      <w:bookmarkStart w:id="371" w:name="_Toc47694330"/>
      <w:r>
        <w:rPr>
          <w:rFonts w:hint="eastAsia" w:ascii="仿宋" w:hAnsi="仿宋" w:eastAsia="仿宋" w:cs="仿宋"/>
          <w:bCs w:val="0"/>
          <w:color w:val="auto"/>
          <w:sz w:val="24"/>
          <w:szCs w:val="24"/>
          <w:highlight w:val="none"/>
        </w:rPr>
        <w:t>55</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发包人供应材料和工程设备</w:t>
      </w:r>
      <w:bookmarkEnd w:id="369"/>
      <w:bookmarkEnd w:id="370"/>
      <w:bookmarkEnd w:id="371"/>
    </w:p>
    <w:p>
      <w:pPr>
        <w:pStyle w:val="13"/>
        <w:adjustRightInd w:val="0"/>
        <w:snapToGrid w:val="0"/>
        <w:spacing w:line="360" w:lineRule="auto"/>
        <w:ind w:firstLine="0"/>
        <w:rPr>
          <w:rFonts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222"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026" o:spt="202" type="#_x0000_t202" style="position:absolute;left:0pt;margin-left:-9pt;margin-top:21.95pt;height:40.55pt;width:72pt;z-index:2519244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Dx40JfGAIAABgEAAAOAAAAZHJzL2Uyb0RvYy54bWytU81u&#10;EzEQviPxDpbvZJNVAukqm6o0KkIqP1LhARyvN2ux9pixk93yAPAGPXHhznPlORh70zSUSw9cLNsz&#10;/ub7vhkvznvTsp1Cr8GWfDIac6ashErbTck/f7p6MefMB2Er0YJVJb9Vnp8vnz9bdK5QOTTQVgoZ&#10;gVhfdK7kTQiuyDIvG2WEH4FTloI1oBGBjrjJKhQdoZs2y8fjl1kHWDkEqbyn29UQ5AdEfAog1LWW&#10;agVya5QNAyqqVgSS5BvtPF8mtnWtZPhQ114F1paclIa0UhHar+OaLRei2KBwjZYHCuIpFB5pMkJb&#10;KnqEWokg2Bb1P1BGSwQPdRhJMNkgJDlCKibjR97cNMKppIWs9u5ouv9/sPL97iMyXZU8z3POrDDU&#10;8v3dj/3P3/tf39l8nizqnC8o88ZRbuhfQ0+Dk+R6dw3yi2cWLhthN+oCEbpGiYooTqK52cnT2BRf&#10;+Aiy7t5BRZXENkAC6ms00T9yhBE6tef22B7VBybp8mwynY4pIik0m0zP5rNUQRT3jx368EaBYXFT&#10;cqTuJ3Cxu/YhkhHFfUqsZeFKt22agNb+dUGJ8SaRj3wH5qFf95QdRayhuiUZCMNA0XeiTQP4jbOO&#10;hqnk/utWoOKsfWvJisScpi8dprNXOanA08j6NCKsJKiSB86G7WUYJnbrUG8aqjSYb+GC7Kt1kvbA&#10;6sCbBiYpPgx3nMjTc8p6+ND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joSDjXAAAACgEAAA8A&#10;AAAAAAAAAQAgAAAAIgAAAGRycy9kb3ducmV2LnhtbFBLAQIUABQAAAAIAIdO4kDx40JfGAIAABgE&#10;AAAOAAAAAAAAAAEAIAAAACY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pPr>
        <w:pStyle w:val="13"/>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372"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37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02624" behindDoc="0" locked="0" layoutInCell="1" allowOverlap="1">
                <wp:simplePos x="0" y="0"/>
                <wp:positionH relativeFrom="column">
                  <wp:posOffset>-58420</wp:posOffset>
                </wp:positionH>
                <wp:positionV relativeFrom="paragraph">
                  <wp:posOffset>73025</wp:posOffset>
                </wp:positionV>
                <wp:extent cx="914400" cy="514985"/>
                <wp:effectExtent l="0" t="0" r="0" b="0"/>
                <wp:wrapNone/>
                <wp:docPr id="221"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026" o:spt="202" type="#_x0000_t202" style="position:absolute;left:0pt;margin-left:-4.6pt;margin-top:5.75pt;height:40.55pt;width:72pt;z-index:251802624;mso-width-relative:page;mso-height-relative:page;" filled="f" stroked="f" coordsize="21600,21600" o:gfxdata="UEsDBAoAAAAAAIdO4kAAAAAAAAAAAAAAAAAEAAAAZHJzL1BLAwQUAAAACACHTuJA1UIk0NYAAAAI&#10;AQAADwAAAGRycy9kb3ducmV2LnhtbE2PzU7DMBCE70h9B2uRuLV2QluREKeHIq4g+oPEzY23SUS8&#10;jmK3CW/P9gTHnRnNflNsJteJKw6h9aQhWSgQSJW3LdUaDvvX+ROIEA1Z03lCDT8YYFPO7gqTWz/S&#10;B153sRZcQiE3GpoY+1zKUDXoTFj4Hom9sx+ciXwOtbSDGbncdTJVai2daYk/NKbHbYPV9+7iNBzf&#10;zl+fS/Vev7hVP/pJSXKZ1PrhPlHPICJO8S8MN3xGh5KZTv5CNohOwzxLOcl6sgJx8x+XPOWkIUvX&#10;IMtC/h9Q/gJQSwMEFAAAAAgAh07iQCuxXHMWAgAAGAQAAA4AAABkcnMvZTJvRG9jLnhtbK1Ty47T&#10;MBTdI/EPlvc0TdVCJ2o6GqYahDQ8pIEPcB2nsUh8zbXbpHwA/AErNuz5rn4H13anlGEzCzaR7Xt9&#10;7jnHJ4vLoWvZTqHTYEqej8acKSOh0mZT8o8fbp7NOXNemEq0YFTJ98rxy+XTJ4veFmoCDbSVQkYg&#10;xhW9LXnjvS2yzMlGdcKNwCpDxRqwE562uMkqFD2hd202GY+fZz1gZRGkco5OV6nIj4j4GECoay3V&#10;CuS2U8YnVFSt8CTJNdo6voxs61pJ/66unfKsLTkp9fFLQ2i9Dt9suRDFBoVttDxSEI+h8EBTJ7Sh&#10;oSeolfCCbVH/A9VpieCg9iMJXZaEREdIRT5+4M1dI6yKWshqZ0+mu/8HK9/u3iPTVcknk5wzIzp6&#10;8sP3b4cfvw4/v7L5PA8W9dYV1HlnqdcPL2Gg4ES5zt6C/OSYgetGmI26QoS+UaIiivFmdnY14bgA&#10;su7fQEWTxNZDBBpq7IJ/5AgjdHqe/el51OCZpMOLfDodU0VSaZZPL+azwC0Txf1li86/UtCxsCg5&#10;0utHcLG7dT613reEWQZudNvGBLTmrwPCDCeRfOCbmPthPRzNWEO1JxkIKVD0O9GiAfzCWU9hKrn7&#10;vBWoOGtfG7IiMqf0xc109mJCKvC8sj6vCCMJquSes7S89imxW4t609CkZL6BK7Kv1lFa8DmxOvKm&#10;wERzjuEOiTzfx64/P/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VCJNDWAAAACAEAAA8AAAAA&#10;AAAAAQAgAAAAIgAAAGRycy9kb3ducmV2LnhtbFBLAQIUABQAAAAIAIdO4kArsVxzFgIAABgEAAAO&#10;AAAAAAAAAAEAIAAAACUBAABkcnMvZTJvRG9jLnhtbFBLBQYAAAAABgAGAFkBAACt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373"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3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03648" behindDoc="0" locked="0" layoutInCell="1" allowOverlap="1">
                <wp:simplePos x="0" y="0"/>
                <wp:positionH relativeFrom="column">
                  <wp:posOffset>-71120</wp:posOffset>
                </wp:positionH>
                <wp:positionV relativeFrom="paragraph">
                  <wp:posOffset>64135</wp:posOffset>
                </wp:positionV>
                <wp:extent cx="967740" cy="452755"/>
                <wp:effectExtent l="0" t="0" r="0" b="0"/>
                <wp:wrapNone/>
                <wp:docPr id="220"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026" o:spt="202" type="#_x0000_t202" style="position:absolute;left:0pt;margin-left:-5.6pt;margin-top:5.05pt;height:35.65pt;width:76.2pt;z-index:251803648;mso-width-relative:page;mso-height-relative:page;" filled="f" stroked="f" coordsize="21600,21600" o:gfxdata="UEsDBAoAAAAAAIdO4kAAAAAAAAAAAAAAAAAEAAAAZHJzL1BLAwQUAAAACACHTuJAj9xV5dUAAAAJ&#10;AQAADwAAAGRycy9kb3ducmV2LnhtbE2PTU/DMAyG70j8h8hIu21JpoJGqbsDiOsmxofELWu8tqJx&#10;qiZbu39PeoKj/T56/bjYTq4TFxpC6xlBrxQI4srblmuEj/fX5QZEiIat6TwTwpUCbMvbm8Lk1o/8&#10;RpdDrEUq4ZAbhCbGPpcyVA05E1a+J07ZyQ/OxDQOtbSDGVO56+RaqQfpTMvpQmN6em6o+jmcHcLn&#10;7vT9lal9/eLu+9FPSrJ7lIiLO62eQESa4h8Ms35ShzI5Hf2ZbRAdwlLrdUJToDSIGcjmxRFhozOQ&#10;ZSH/f1D+AlBLAwQUAAAACACHTuJAX2x/BxgCAAAYBAAADgAAAGRycy9lMm9Eb2MueG1srVPNjtMw&#10;EL4j8Q6W7zRt1G67UdPVstUipOVHWngA13Eai8Rjxk6T8gDwBpy4cOe5+hyMnW4py2UPXCx7ZvzN&#10;930eL6/6pmY7hU6DyflkNOZMGQmFNtucf/xw+2LBmfPCFKIGo3K+V45frZ4/W3Y2UylUUBcKGYEY&#10;l3U255X3NksSJyvVCDcCqwwlS8BGeDriNilQdITe1Ek6Hl8kHWBhEaRyjqLrIcmPiPgUQChLLdUa&#10;ZNso4wdUVLXwJMlV2jq+imzLUkn/riyd8qzOOSn1caUmtN+ENVktRbZFYSstjxTEUyg80tQIbajp&#10;CWotvGAt6n+gGi0RHJR+JKFJBiHREVIxGT/y5r4SVkUtZLWzJ9Pd/4OVb3fvkeki52lKnhjR0JMf&#10;vn87/Ph1+PmVLRZpsKizLqPKe0u1vn8JPQ1OlOvsHchPjhm4qYTZqmtE6ColCqI4CTeTs6sDjgsg&#10;m+4NFNRJtB4iUF9iE/wjRxihE5X96XlU75mk4OXFfD6ljKTUdJbOZ7PYQWQPly06/0pBw8Im50iv&#10;H8HF7s75QEZkDyWhl4FbXddxAmrzV4AKQySSD3wH5r7f9EczNlDsSQbCMFD0nWhTAX7hrKNhyrn7&#10;3ApUnNWvDVlxOZkG4j4eprN5sBrPM5vzjDCSoHLuORu2N36Y2Nai3lbUaTDfwDXZV+ooLfg8sDry&#10;poGJio/DHSby/Byr/nzo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3FXl1QAAAAkBAAAPAAAA&#10;AAAAAAEAIAAAACIAAABkcnMvZG93bnJldi54bWxQSwECFAAUAAAACACHTuJAX2x/BxgCAAAYBAAA&#10;DgAAAAAAAAABACAAAAAkAQAAZHJzL2Uyb0RvYy54bWxQSwUGAAAAAAYABgBZAQAArg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 55.2 款交货日期向承包人供应工程材料和工程设备，并提供产品质量合格证明文件，对工程材料和工程设备质量负责。发包人应在工程材料和工程设备到货前至少提前 24 小时，以书面形式通知承包人和监理人，并在监理人的见证下与承包人共同清点，同时在施工现场内合理堆放。</w:t>
      </w:r>
    </w:p>
    <w:p>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374"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3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04672" behindDoc="0" locked="0" layoutInCell="1" allowOverlap="1">
                <wp:simplePos x="0" y="0"/>
                <wp:positionH relativeFrom="column">
                  <wp:posOffset>-27305</wp:posOffset>
                </wp:positionH>
                <wp:positionV relativeFrom="paragraph">
                  <wp:posOffset>24765</wp:posOffset>
                </wp:positionV>
                <wp:extent cx="914400" cy="1019175"/>
                <wp:effectExtent l="0" t="0" r="0" b="0"/>
                <wp:wrapNone/>
                <wp:docPr id="219" name="文本框 883"/>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026" o:spt="202" type="#_x0000_t202" style="position:absolute;left:0pt;margin-left:-2.15pt;margin-top:1.95pt;height:80.25pt;width:72pt;z-index:251804672;mso-width-relative:page;mso-height-relative:page;" filled="f" stroked="f" coordsize="21600,21600" o:gfxdata="UEsDBAoAAAAAAIdO4kAAAAAAAAAAAAAAAAAEAAAAZHJzL1BLAwQUAAAACACHTuJAN+shs9cAAAAI&#10;AQAADwAAAGRycy9kb3ducmV2LnhtbE2PzU7DMBCE70i8g7WVuLXrklBIiNMDiCuo5Ufi5sbbJGq8&#10;jmK3CW+Pe2pvs5rRzLfFerKdONHgW8cKlgsJgrhypuVawdfn2/wJhA+aje4ck4I/8rAub28KnRs3&#10;8oZO21CLWMI+1wqaEPoc0VcNWe0XrieO3t4NVod4DjWaQY+x3HZ4L+UKrW45LjS6p5eGqsP2aBV8&#10;v+9/f1L5Ub/ah350k0S2GSp1N1vKZxCBpnAJwxk/okMZmXbuyMaLTsE8TWJSQZKBONtJ9ghiF8Uq&#10;TQHLAq8fKP8BUEsDBBQAAAAIAIdO4kCsX8OCGQIAABkEAAAOAAAAZHJzL2Uyb0RvYy54bWytU0GO&#10;0zAU3SNxB8t7mqR0mDZqOhqmGoQ0wEgDB3Adp7FI/M2326QcAG7Aig37OVfPwbfTKWXYzIJNZPt/&#10;v//e88v8om8btlXoNJiCZ6OUM2UklNqsC/7p4/WLKWfOC1OKBowq+E45frF4/mze2VyNoYamVMgI&#10;xLi8swWvvbd5kjhZq1a4EVhlqFgBtsLTFtdJiaIj9LZJxmn6KukAS4sglXN0uhyK/ICITwGEqtJS&#10;LUFuWmX8gIqqEZ4kuVpbxxeRbVUp6T9UlVOeNQUnpT5+aQitV+GbLOYiX6OwtZYHCuIpFB5paoU2&#10;NPQItRResA3qf6BaLREcVH4koU0GIdERUpGlj7y5q4VVUQtZ7ezRdPf/YOX77S0yXRZ8nM04M6Kl&#10;J9//+L7/eb//9Y1Npy+DRZ11OXXeWer1/WvoKThRrrM3ID87ZuCqFmatLhGhq5UoiWIWbiYnVwcc&#10;F0BW3TsoaZLYeIhAfYVt8I8cYYROz7M7Po/qPZN0OMsmk5QqkkpZms2y87M4QuQPty06/0ZBy8Ki&#10;4EjPH9HF9sb5wEbkDy1hmIFr3TQxAo3564Aaw0lkHwgP1H2/6g9urKDckQ6EIVH0P9GiBvzKWUdp&#10;Krj7shGoOGveGvIiUqf4xc3k7HxMMvC0sjqtCCMJquCes2F55YfIbizqdU2TBvcNXJJ/lY7SgtED&#10;qwNvSkxUfEh3iOTpPnb9+aM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36yGz1wAAAAgBAAAP&#10;AAAAAAAAAAEAIAAAACIAAABkcnMvZG93bnJldi54bWxQSwECFAAUAAAACACHTuJArF/DghkCAAAZ&#10;BAAADgAAAAAAAAABACAAAAAmAQAAZHJzL2Uyb0RvYy54bWxQSwUGAAAAAAYABgBZAQAAsQ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13"/>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375"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375"/>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05696" behindDoc="0" locked="0" layoutInCell="1" allowOverlap="1">
                <wp:simplePos x="0" y="0"/>
                <wp:positionH relativeFrom="column">
                  <wp:posOffset>-45085</wp:posOffset>
                </wp:positionH>
                <wp:positionV relativeFrom="paragraph">
                  <wp:posOffset>64135</wp:posOffset>
                </wp:positionV>
                <wp:extent cx="914400" cy="594360"/>
                <wp:effectExtent l="0" t="0" r="0" b="0"/>
                <wp:wrapNone/>
                <wp:docPr id="218" name="文本框 88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026" o:spt="202" type="#_x0000_t202" style="position:absolute;left:0pt;margin-left:-3.55pt;margin-top:5.05pt;height:46.8pt;width:72pt;z-index:251805696;mso-width-relative:page;mso-height-relative:page;" filled="f" stroked="f" coordsize="21600,21600" o:gfxdata="UEsDBAoAAAAAAIdO4kAAAAAAAAAAAAAAAAAEAAAAZHJzL1BLAwQUAAAACACHTuJAHpnFWtYAAAAJ&#10;AQAADwAAAGRycy9kb3ducmV2LnhtbE2PS2/CMBCE75X4D9Yi9QZ2SssjxOHQqtdWpQ+Jm4mXJCJe&#10;R7Eh6b/v5lROq50ZzX6b7QbXiCt2ofakIZkrEEiFtzWVGr4+X2drECEasqbxhBp+McAun9xlJrW+&#10;pw+87mMpuIRCajRUMbaplKGo0Jkw9y0SeyffORN57UppO9NzuWvkg1JL6UxNfKEyLT5XWJz3F6fh&#10;++10+HlU7+WLe2p7PyhJbiO1vp8magsi4hD/wzDiMzrkzHT0F7JBNBpmq4STrCueo79YbkAcR2Gx&#10;Apln8vaD/A9QSwMEFAAAAAgAh07iQG4fmO8YAgAAGAQAAA4AAABkcnMvZTJvRG9jLnhtbK1TzW4T&#10;MRC+I/EOlu9kk5CWdJVNVRoVIZUfqfAAjtebtVh7zNjJbngAeANOXLjzXHkOxt5tCOXSAxfL9oy/&#10;+b5vxovLzjRsp9BrsAWfjMacKSuh1HZT8I8fbp7NOfNB2FI0YFXB98rzy+XTJ4vW5WoKNTSlQkYg&#10;1uetK3gdgsuzzMtaGeFH4JSlYAVoRKAjbrISRUvopsmm4/F51gKWDkEq7+l21Qf5gIiPAYSq0lKt&#10;QG6NsqFHRdWIQJJ8rZ3ny8S2qpQM76rKq8CagpPSkFYqQvt1XLPlQuQbFK7WcqAgHkPhgSYjtKWi&#10;R6iVCIJtUf8DZbRE8FCFkQST9UKSI6RiMn7gzV0tnEpayGrvjqb7/wcr3+7eI9NlwacTarwVhlp+&#10;+P7t8OPX4edXNp/PokWt8zll3jnKDd1L6GhwklzvbkF+8szCdS3sRl0hQlsrURLFSXyZnTztcXwE&#10;WbdvoKRKYhsgAXUVmugfOcIIndqzP7ZHdYFJuryYzGZjikgKnV3Mnp+n9mUiv3/s0IdXCgyLm4Ij&#10;dT+Bi92tD5GMyO9TYi0LN7pp0gQ09q8LSow3iXzk2zMP3bobzFhDuScZCP1A0XeiTQ34hbOWhqng&#10;/vNWoOKseW3JisScpi8dZmcvpqQCTyPr04iwkqAKHjjrt9ehn9itQ72pqVJvvoUrsq/SSVr0uWc1&#10;8KaBSYqH4Y4TeXpOWX8+9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pnFWtYAAAAJAQAADwAA&#10;AAAAAAABACAAAAAiAAAAZHJzL2Rvd25yZXYueG1sUEsBAhQAFAAAAAgAh07iQG4fmO8YAgAAGAQA&#10;AA4AAAAAAAAAAQAgAAAAJQEAAGRycy9lMm9Eb2MueG1sUEsFBgAAAAAGAAYAWQEAAK8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pPr>
        <w:pStyle w:val="13"/>
        <w:tabs>
          <w:tab w:val="left" w:pos="720"/>
          <w:tab w:val="left" w:pos="1080"/>
        </w:tabs>
        <w:adjustRightInd w:val="0"/>
        <w:snapToGrid w:val="0"/>
        <w:spacing w:line="360" w:lineRule="auto"/>
        <w:ind w:firstLine="0"/>
        <w:rPr>
          <w:rFonts w:ascii="仿宋" w:hAnsi="仿宋" w:eastAsia="仿宋" w:cs="仿宋"/>
          <w:b/>
          <w:bCs/>
          <w:color w:val="auto"/>
          <w:highlight w:val="none"/>
          <w:u w:val="dotted"/>
          <w:lang w:eastAsia="zh-CN"/>
        </w:rPr>
      </w:pPr>
      <w:bookmarkStart w:id="376"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3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06720" behindDoc="0" locked="0" layoutInCell="1" allowOverlap="1">
                <wp:simplePos x="0" y="0"/>
                <wp:positionH relativeFrom="column">
                  <wp:posOffset>-18415</wp:posOffset>
                </wp:positionH>
                <wp:positionV relativeFrom="paragraph">
                  <wp:posOffset>33020</wp:posOffset>
                </wp:positionV>
                <wp:extent cx="914400" cy="908685"/>
                <wp:effectExtent l="0" t="0" r="0" b="0"/>
                <wp:wrapNone/>
                <wp:docPr id="217" name="文本框 885"/>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026" o:spt="202" type="#_x0000_t202" style="position:absolute;left:0pt;margin-left:-1.45pt;margin-top:2.6pt;height:71.55pt;width:72pt;z-index:251806720;mso-width-relative:page;mso-height-relative:page;" filled="f" stroked="f" coordsize="21600,21600" o:gfxdata="UEsDBAoAAAAAAIdO4kAAAAAAAAAAAAAAAAAEAAAAZHJzL1BLAwQUAAAACACHTuJAUeRObNYAAAAI&#10;AQAADwAAAGRycy9kb3ducmV2LnhtbE2PwU7DMBBE70j8g7VIvbXrpC1qQ5weQFyLaAGJmxtvk4h4&#10;HcVuk/49zglus5rRzNt8N9pWXKn3jWMFyUKCIC6dabhS8HF8nW9A+KDZ6NYxKbiRh11xf5frzLiB&#10;3+l6CJWIJewzraAOocsQfVmT1X7hOuLonV1vdYhnX6Hp9RDLbYuplI9odcNxodYdPddU/hwuVsHn&#10;/vz9tZJv1Ytdd4MbJbLdolKzh0Q+gQg0hr8wTPgRHYrIdHIXNl60CubpNiYVrFMQk71KEhCnSWyW&#10;gEWO/x8ofgFQSwMEFAAAAAgAh07iQGqeHR4XAgAAGAQAAA4AAABkcnMvZTJvRG9jLnhtbK1TS27b&#10;MBDdF+gdCO5ryYaTOILlII2RokD6AdIegKYoi6jEYYe0JfcA7Q266qb7nsvn6JB0XDfdZNGNQHKG&#10;b957fJpfDV3LtgqdBlPy8SjnTBkJlTbrkn/8cPtixpnzwlSiBaNKvlOOXy2eP5v3tlATaKCtFDIC&#10;Ma7obckb722RZU42qhNuBFYZKtaAnfC0xXVWoegJvWuzSZ6fZz1gZRGkco5Ol6nID4j4FECoay3V&#10;EuSmU8YnVFSt8CTJNdo6vohs61pJ/66unfKsLTkp9fFLQ2i9Ct9sMRfFGoVttDxQEE+h8EhTJ7Sh&#10;oUeopfCCbVD/A9VpieCg9iMJXZaEREdIxTh/5M19I6yKWshqZ4+mu/8HK99u3yPTVckn4wvOjOjo&#10;yfffv+1//Nr//Mpms7NgUW9dQZ33lnr98BIGCk6U6+wdyE+OGbhphFmra0ToGyUqojgON7OTqwnH&#10;BZBV/wYqmiQ2HiLQUGMX/CNHGKHT8+yOz6MGzyQdXo6n05wqkkqX+ew8cctE8XDZovOvFHQsLEqO&#10;9PoRXGzvnA9kRPHQEmYZuNVtGxPQmr8OqDGcRPKBb2Luh9VwMGMF1Y5kIKRA0e9EiwbwC2c9hank&#10;7vNGoOKsfW3Iisic0hc307OLCanA08rqtCKMJKiSe87S8sanxG4s6nVDk5L5Bq7JvlpHacHnxOrA&#10;mwITFR/CHRJ5uo9df37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5E5s1gAAAAgBAAAPAAAA&#10;AAAAAAEAIAAAACIAAABkcnMvZG93bnJldi54bWxQSwECFAAUAAAACACHTuJAap4dHhcCAAAYBAAA&#10;DgAAAAAAAAABACAAAAAlAQAAZHJzL2Uyb0RvYy54bWxQSwUGAAAAAAYABgBZAQAArg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（5）供应数量少于一览表约定的数量时，由发包人补齐；多于一览表约定的数量时，发包人应将多出的部分运出施工场地；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（6）交货时间早于一览表约定计划和第 55.2 款交货日期，由发包人承担由此发生的保管费；交货时间迟于一览表约定计划和第 55.2 款交货日期，由发包人承担由此增加的费用和（或）延误的工期。</w:t>
      </w:r>
    </w:p>
    <w:p>
      <w:pPr>
        <w:pStyle w:val="40"/>
        <w:rPr>
          <w:color w:val="auto"/>
          <w:highlight w:val="none"/>
        </w:rPr>
      </w:pPr>
    </w:p>
    <w:p>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377"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3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07744" behindDoc="0" locked="0" layoutInCell="1" allowOverlap="1">
                <wp:simplePos x="0" y="0"/>
                <wp:positionH relativeFrom="column">
                  <wp:posOffset>41275</wp:posOffset>
                </wp:positionH>
                <wp:positionV relativeFrom="paragraph">
                  <wp:posOffset>22225</wp:posOffset>
                </wp:positionV>
                <wp:extent cx="914400" cy="611505"/>
                <wp:effectExtent l="0" t="0" r="0" b="0"/>
                <wp:wrapNone/>
                <wp:docPr id="216" name="文本框 886"/>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026" o:spt="202" type="#_x0000_t202" style="position:absolute;left:0pt;margin-left:3.25pt;margin-top:1.75pt;height:48.15pt;width:72pt;z-index:251807744;mso-width-relative:page;mso-height-relative:page;" filled="f" stroked="f" coordsize="21600,21600" o:gfxdata="UEsDBAoAAAAAAIdO4kAAAAAAAAAAAAAAAAAEAAAAZHJzL1BLAwQUAAAACACHTuJAwdBq8NIAAAAG&#10;AQAADwAAAGRycy9kb3ducmV2LnhtbE2OwU7DMBBE70j8g7VI3KhdIFUTsukBxBVEC0jc3HibRMTr&#10;KHab8PdsT3CaHc1o9pWb2ffqRGPsAiMsFwYUcR1cxw3C++75Zg0qJsvO9oEJ4YcibKrLi9IWLkz8&#10;RqdtapSMcCwsQpvSUGgd65a8jYswEEt2CKO3SezYaDfaScZ9r2+NWWlvO5YPrR3osaX6e3v0CB8v&#10;h6/Pe/PaPPlsmMJsNPtcI15fLc0DqERz+ivDGV/QoRKmfTiyi6pHWGVSRLgTOaeZkWOPkOdr0FWp&#10;/+NXv1BLAwQUAAAACACHTuJAUW2fThgCAAAYBAAADgAAAGRycy9lMm9Eb2MueG1srVNLbtswEN0X&#10;6B0I7mtJhu06guUgjZGiQPoB0h6ApiiLqMRhh7Ql9wDtDbrqpvuey+fIkHJcN91k0Y1AcoZv3nt8&#10;Wlz2bcN2Cp0GU/BslHKmjIRSm03BP328eTHnzHlhStGAUQXfK8cvl8+fLTqbqzHU0JQKGYEYl3e2&#10;4LX3Nk8SJ2vVCjcCqwwVK8BWeNriJilRdITeNsk4TWdJB1haBKmco9PVUORHRHwKIFSVlmoFctsq&#10;4wdUVI3wJMnV2jq+jGyrSkn/vqqc8qwpOCn18UtDaL0O32S5EPkGha21PFIQT6HwSFMrtKGhJ6iV&#10;8IJtUf8D1WqJ4KDyIwltMgiJjpCKLH3kzV0trIpayGpnT6a7/wcr3+0+INNlwcfZjDMjWnryw4/v&#10;h5+/D7++sfl8FizqrMup885Sr+9fQU/BiXKdvQX52TED17UwG3WFCF2tREkUs3AzObs64LgAsu7e&#10;QkmTxNZDBOorbIN/5AgjdHqe/el5VO+ZpMOLbDJJqSKpNMuyaTqNE0T+cNmi868VtCwsCo70+hFc&#10;7G6dD2RE/tASZhm40U0TE9CYvw6oMZxE8oHvwNz36/5oxhrKPclAGAJFvxMtasCvnHUUpoK7L1uB&#10;irPmjSErInNKX9xMpi/HpALPK+vzijCSoAruORuW135I7Nai3tQ0aTDfwBXZV+koLfg8sDrypsBE&#10;xcdwh0Se72PXnx96e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0Grw0gAAAAYBAAAPAAAAAAAA&#10;AAEAIAAAACIAAABkcnMvZG93bnJldi54bWxQSwECFAAUAAAACACHTuJAUW2fThgCAAAYBAAADgAA&#10;AAAAAAABACAAAAAhAQAAZHJzL2Uyb0RvYy54bWxQSwUGAAAAAAYABgBZAQAAqw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378"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3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08768" behindDoc="0" locked="0" layoutInCell="1" allowOverlap="1">
                <wp:simplePos x="0" y="0"/>
                <wp:positionH relativeFrom="column">
                  <wp:posOffset>-53975</wp:posOffset>
                </wp:positionH>
                <wp:positionV relativeFrom="paragraph">
                  <wp:posOffset>54610</wp:posOffset>
                </wp:positionV>
                <wp:extent cx="1028700" cy="297180"/>
                <wp:effectExtent l="0" t="0" r="0" b="0"/>
                <wp:wrapNone/>
                <wp:docPr id="215" name="文本框 887"/>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026" o:spt="202" type="#_x0000_t202" style="position:absolute;left:0pt;margin-left:-4.25pt;margin-top:4.3pt;height:23.4pt;width:81pt;z-index:251808768;mso-width-relative:page;mso-height-relative:page;" filled="f" stroked="f" coordsize="21600,21600" o:gfxdata="UEsDBAoAAAAAAIdO4kAAAAAAAAAAAAAAAAAEAAAAZHJzL1BLAwQUAAAACACHTuJASpI/mtQAAAAH&#10;AQAADwAAAGRycy9kb3ducmV2LnhtbE2OTU/DMBBE70j9D9ZW4tbaLXUVQjY9FHEFUT4kbm68TSLi&#10;dRS7Tfj3uCc4jmb05hW7yXXiQkNoPSOslgoEceVtyzXC+9vTIgMRomFrOs+E8EMBduXspjC59SO/&#10;0uUQa5EgHHKD0MTY51KGqiFnwtL3xKk7+cGZmOJQSzuYMcFdJ9dKbaUzLaeHxvS0b6j6Ppwdwsfz&#10;6etzo17qR6f70U9KsruXiLfzlXoAEWmKf2O46id1KJPT0Z/ZBtEhLDKdlgjZFsS11ncpHxG03oAs&#10;C/nfv/wFUEsDBBQAAAAIAIdO4kBPGvILGgIAABkEAAAOAAAAZHJzL2Uyb0RvYy54bWytU0tu2zAQ&#10;3RfoHQjua33g1I5gOUhjpCiQfoC0B6ApyiIqcdghbSk9QHuDrLrpvufyOTqkHNdNN1l0Q5Cc4Zv3&#10;3gwXF0PXsp1Cp8GUPJuknCkjodJmU/JPH69fzDlzXphKtGBUye+U4xfL588WvS1UDg20lUJGIMYV&#10;vS15470tksTJRnXCTcAqQ8EasBOejrhJKhQ9oXdtkqfpy6QHrCyCVM7R7WoM8gMiPgUQ6lpLtQK5&#10;7ZTxIyqqVniS5BptHV9GtnWtpH9f10551paclPq4UhHar8OaLBei2KCwjZYHCuIpFB5p6oQ2VPQI&#10;tRJesC3qf6A6LREc1H4ioUtGIdERUpGlj7y5bYRVUQtZ7ezRdPf/YOW73Qdkuip5np1xZkRHLd/f&#10;f9//+LX/+Y3N57NgUW9dQZm3lnL98AoGGpwo19kbkJ8dM3DVCLNRl4jQN0pURDELL5OTpyOOCyDr&#10;/i1UVElsPUSgocYu+EeOMEKn9twd26MGz2QomebzWUohSbH8fJbNY/8SUTy8tuj8awUdC5uSI7U/&#10;oovdjfOBjSgeUkIxA9e6beMItOavC0oMN5F9IDxS98N6OLixhuqOdCCME0X/iTYN4FfOepqmkrsv&#10;W4GKs/aNIS/Os+k0jF88TM9mOR3wNLI+jQgjCarknrNxe+XHkd1a1JuGKo3uG7gk/2odpQWjR1YH&#10;3jQxUfFhusNInp5j1p8f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pI/mtQAAAAHAQAADwAA&#10;AAAAAAABACAAAAAiAAAAZHJzL2Rvd25yZXYueG1sUEsBAhQAFAAAAAgAh07iQE8a8gsaAgAAGQQA&#10;AA4AAAAAAAAAAQAgAAAAIwEAAGRycy9lMm9Eb2MueG1sUEsFBgAAAAAGAAYAWQEAAK8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360"/>
          <w:tab w:val="left" w:pos="420"/>
        </w:tabs>
        <w:spacing w:before="120" w:beforeLines="50" w:after="120" w:afterLines="50" w:line="360" w:lineRule="auto"/>
        <w:rPr>
          <w:rFonts w:ascii="仿宋" w:hAnsi="仿宋" w:eastAsia="仿宋" w:cs="仿宋"/>
          <w:bCs w:val="0"/>
          <w:color w:val="auto"/>
          <w:sz w:val="24"/>
          <w:szCs w:val="24"/>
          <w:highlight w:val="none"/>
        </w:rPr>
      </w:pPr>
      <w:bookmarkStart w:id="379" w:name="_Toc28058"/>
      <w:bookmarkStart w:id="380" w:name="_Toc47694331"/>
      <w:bookmarkStart w:id="381" w:name="_Toc30751"/>
      <w:r>
        <w:rPr>
          <w:rFonts w:hint="eastAsia" w:ascii="仿宋" w:hAnsi="仿宋" w:eastAsia="仿宋" w:cs="仿宋"/>
          <w:bCs w:val="0"/>
          <w:color w:val="auto"/>
          <w:sz w:val="24"/>
          <w:szCs w:val="24"/>
          <w:highlight w:val="none"/>
        </w:rPr>
        <w:t>56</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承包人购置设备及工器具、采购材料和工程设备</w:t>
      </w:r>
      <w:bookmarkEnd w:id="379"/>
      <w:bookmarkEnd w:id="380"/>
      <w:bookmarkEnd w:id="381"/>
    </w:p>
    <w:p>
      <w:pPr>
        <w:spacing w:line="360" w:lineRule="auto"/>
        <w:rPr>
          <w:rFonts w:ascii="仿宋" w:hAnsi="仿宋" w:eastAsia="仿宋"/>
          <w:b/>
          <w:bCs/>
          <w:color w:val="auto"/>
          <w:highlight w:val="none"/>
          <w:lang w:eastAsia="zh-CN"/>
        </w:rPr>
      </w:pPr>
      <w:bookmarkStart w:id="382" w:name="_Toc6410"/>
      <w:r>
        <w:rPr>
          <w:rFonts w:ascii="仿宋" w:hAnsi="仿宋" w:eastAsia="仿宋" w:cs="仿宋"/>
          <w:b/>
          <w:bCs/>
          <w:color w:val="auto"/>
          <w:highlight w:val="none"/>
          <w:lang w:eastAsia="zh-CN" w:bidi="ar-SA"/>
        </w:rPr>
        <mc:AlternateContent>
          <mc:Choice Requires="wps">
            <w:drawing>
              <wp:anchor distT="0" distB="0" distL="114300" distR="114300" simplePos="0" relativeHeight="251925504" behindDoc="0" locked="0" layoutInCell="1" allowOverlap="1">
                <wp:simplePos x="0" y="0"/>
                <wp:positionH relativeFrom="column">
                  <wp:posOffset>-95250</wp:posOffset>
                </wp:positionH>
                <wp:positionV relativeFrom="paragraph">
                  <wp:posOffset>234950</wp:posOffset>
                </wp:positionV>
                <wp:extent cx="914400" cy="648970"/>
                <wp:effectExtent l="0" t="0" r="0" b="0"/>
                <wp:wrapNone/>
                <wp:docPr id="21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026" o:spt="202" type="#_x0000_t202" style="position:absolute;left:0pt;margin-left:-7.5pt;margin-top:18.5pt;height:51.1pt;width:72pt;z-index:251925504;mso-width-relative:page;mso-height-relative:page;" filled="f" stroked="f" coordsize="21600,21600" o:gfxdata="UEsDBAoAAAAAAIdO4kAAAAAAAAAAAAAAAAAEAAAAZHJzL1BLAwQUAAAACACHTuJAE8yyetcAAAAK&#10;AQAADwAAAGRycy9kb3ducmV2LnhtbE2PQU/DMAyF70j8h8hI3LakHQPaNd0BxBXE2JC4ZY3XVmuc&#10;qsnW8u/xTuzkZ/np+XvFenKdOOMQWk8akrkCgVR521KtYfv1NnsGEaIhazpPqOEXA6zL25vC5NaP&#10;9InnTawFh1DIjYYmxj6XMlQNOhPmvkfi28EPzkReh1rawYwc7jqZKvUonWmJPzSmx5cGq+Pm5DTs&#10;3g8/3w/qo351y370k5LkMqn1/V2iViAiTvHfDBd8RoeSmfb+RDaITsMsWXKXqGHxxPNiSDMWexaL&#10;LAVZFvK6QvkHUEsDBBQAAAAIAIdO4kCGaB+oGAIAABgEAAAOAAAAZHJzL2Uyb0RvYy54bWytU81u&#10;EzEQviPxDpbvZJNo6c8qm6o0KkIqUKnwAI7Xm7VYe8zYyW54AHiDnrhw57nyHB170xDKpQculu0Z&#10;f/N934xnF71p2Uah12BLPhmNOVNWQqXtquSfP12/OuPMB2Er0YJVJd8qzy/mL1/MOleoKTTQVgoZ&#10;gVhfdK7kTQiuyDIvG2WEH4FTloI1oBGBjrjKKhQdoZs2m47HJ1kHWDkEqbyn28UQ5HtEfA4g1LWW&#10;agFybZQNAyqqVgSS5BvtPJ8ntnWtZPhY114F1paclIa0UhHaL+OazWeiWKFwjZZ7CuI5FJ5oMkJb&#10;KnqAWogg2Br1P1BGSwQPdRhJMNkgJDlCKibjJ97cNcKppIWs9u5guv9/sPLD5haZrko+neScWWGo&#10;5bv7H7ufv3e/vrN8mkeLOucLyrxzlBv6N9DT4CS53t2A/OKZhatG2JW6RISuUaIiipP4Mjt6OuD4&#10;CLLs3kNFlcQ6QALqazTRP3KEETq1Z3toj+oDk3R5PsnzMUUkhU7ys/PT1L5MFI+PHfrwVoFhcVNy&#10;pO4ncLG58SGSEcVjSqxl4Vq3bZqA1v51QYnxJpGPfAfmoV/2ezOWUG1JBsIwUPSdaNMAfuOso2Eq&#10;uf+6Fqg4a99ZsiIxp+lLh/z16ZRU4HFkeRwRVhJUyQNnw/YqDBO7dqhXDVUazLdwSfbVOkmLPg+s&#10;9rxpYJLi/XDHiTw+p6w/H3r+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PMsnrXAAAACgEAAA8A&#10;AAAAAAAAAQAgAAAAIgAAAGRycy9kb3ducmV2LnhtbFBLAQIUABQAAAAIAIdO4kCGaB+o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lang w:eastAsia="zh-CN"/>
        </w:rPr>
        <w:t>56.1</w:t>
      </w:r>
      <w:bookmarkEnd w:id="382"/>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09792" behindDoc="0" locked="0" layoutInCell="1" allowOverlap="1">
                <wp:simplePos x="0" y="0"/>
                <wp:positionH relativeFrom="column">
                  <wp:posOffset>-10160</wp:posOffset>
                </wp:positionH>
                <wp:positionV relativeFrom="paragraph">
                  <wp:posOffset>64135</wp:posOffset>
                </wp:positionV>
                <wp:extent cx="914400" cy="486410"/>
                <wp:effectExtent l="0" t="0" r="0" b="0"/>
                <wp:wrapNone/>
                <wp:docPr id="213"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026" o:spt="202" type="#_x0000_t202" style="position:absolute;left:0pt;margin-left:-0.8pt;margin-top:5.05pt;height:38.3pt;width:72pt;z-index:251809792;mso-width-relative:page;mso-height-relative:page;" filled="f" stroked="f" coordsize="21600,21600" o:gfxdata="UEsDBAoAAAAAAIdO4kAAAAAAAAAAAAAAAAAEAAAAZHJzL1BLAwQUAAAACACHTuJA0e8OjtYAAAAI&#10;AQAADwAAAGRycy9kb3ducmV2LnhtbE2PzW7CMBCE75V4B2srcQM7KE0hxOFA1StV6Y/U2xIvSdR4&#10;HcWGpG9fc2qPszOa+bbYTbYTVxp861hDslQgiCtnWq41vL89L9YgfEA22DkmDT/kYVfO7grMjRv5&#10;la7HUItYwj5HDU0IfS6lrxqy6JeuJ47e2Q0WQ5RDLc2AYyy3nVwplUmLLceFBnvaN1R9Hy9Ww8fh&#10;/PWZqpf6yT70o5uUZLuRWs/vE7UFEWgKf2G44Ud0KCPTyV3YeNFpWCRZTMa7SkDc/HSVgjhpWGeP&#10;IMtC/n+g/AVQSwMEFAAAAAgAh07iQEpOFk4XAgAAGAQAAA4AAABkcnMvZTJvRG9jLnhtbK1TwW4T&#10;MRC9I/EPlu9ksyGUsMqmKo2KkApUKnyA4/VmLdYeM3ayGz4A/oATF+79rnwHY28aQrn0wMWyPeM3&#10;770Zz89707KtQq/BljwfjTlTVkKl7brknz5ePZtx5oOwlWjBqpLvlOfni6dP5p0r1AQaaCuFjECs&#10;LzpX8iYEV2SZl40ywo/AKUvBGtCIQEdcZxWKjtBNm03G47OsA6wcglTe0+1yCPIDIj4GEOpaS7UE&#10;uTHKhgEVVSsCSfKNdp4vEtu6VjJ8qGuvAmtLTkpDWqkI7VdxzRZzUaxRuEbLAwXxGAoPNBmhLRU9&#10;Qi1FEGyD+h8ooyWChzqMJJhsEJIcIRX5+IE3t41wKmkhq707mu7/H6x8v71BpquST/LnnFlhqOX7&#10;H9/3P+/2v76x2WwWLeqcLyjz1lFu6F9DT4OT5Hp3DfKzZxYuG2HX6gIRukaJiijm8WV28nTA8RFk&#10;1b2DiiqJTYAE1Ndoon/kCCN0as/u2B7VBybp8lU+nY4pIik0nZ1N89S+TBT3jx368EaBYXFTcqTu&#10;J3CxvfYhkhHFfUqsZeFKt22agNb+dUGJ8SaRj3wH5qFf9QczVlDtSAbCMFD0nWjTAH7lrKNhKrn/&#10;shGoOGvfWrIiMafpS4fpi5cTUoGnkdVpRFhJUCUPnA3byzBM7MahXjdUaTDfwgXZV+skLfo8sD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7w6O1gAAAAgBAAAPAAAA&#10;AAAAAAEAIAAAACIAAABkcnMvZG93bnJldi54bWxQSwECFAAUAAAACACHTuJASk4WThcCAAAYBAAA&#10;DgAAAAAAAAABACAAAAAlAQAAZHJzL2Uyb0RvYy54bWxQSwUGAAAAAAYABgBZAQAArg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pPr>
        <w:spacing w:line="360" w:lineRule="auto"/>
        <w:rPr>
          <w:rFonts w:ascii="仿宋" w:hAnsi="仿宋" w:eastAsia="仿宋"/>
          <w:b/>
          <w:bCs/>
          <w:color w:val="auto"/>
          <w:highlight w:val="none"/>
          <w:lang w:eastAsia="zh-CN"/>
        </w:rPr>
      </w:pPr>
      <w:bookmarkStart w:id="383"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3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10816" behindDoc="0" locked="0" layoutInCell="1" allowOverlap="1">
                <wp:simplePos x="0" y="0"/>
                <wp:positionH relativeFrom="column">
                  <wp:posOffset>-53975</wp:posOffset>
                </wp:positionH>
                <wp:positionV relativeFrom="paragraph">
                  <wp:posOffset>85725</wp:posOffset>
                </wp:positionV>
                <wp:extent cx="914400" cy="486410"/>
                <wp:effectExtent l="0" t="0" r="0" b="0"/>
                <wp:wrapNone/>
                <wp:docPr id="212"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026" o:spt="202" type="#_x0000_t202" style="position:absolute;left:0pt;margin-left:-4.25pt;margin-top:6.75pt;height:38.3pt;width:72pt;z-index:251810816;mso-width-relative:page;mso-height-relative:page;" filled="f" stroked="f" coordsize="21600,21600" o:gfxdata="UEsDBAoAAAAAAIdO4kAAAAAAAAAAAAAAAAAEAAAAZHJzL1BLAwQUAAAACACHTuJAnE3xM9UAAAAI&#10;AQAADwAAAGRycy9kb3ducmV2LnhtbE2Py07DMBBF90j8gzVI7Fo7lKA2xOkCxBZEeUjspvE0iYjH&#10;Uew24e+ZrmA1j3t150y5nX2vTjTGLrCFbGlAEdfBddxYeH97WqxBxYTssA9MFn4owra6vCixcGHi&#10;VzrtUqMkhGOBFtqUhkLrWLfkMS7DQCzaIYwek4xjo92Ik4T7Xt8Yc6c9diwXWhzooaX6e3f0Fj6e&#10;D1+ft+alefT5MIXZaPYbbe31VWbuQSWa058ZzviCDpUw7cORXVS9hcU6F6fsV1LP+iqXZm9hYzLQ&#10;Van/P1D9AlBLAwQUAAAACACHTuJApSRV+xgCAAAYBAAADgAAAGRycy9lMm9Eb2MueG1srVPNbhMx&#10;EL4j8Q6W72SzUSjpKpuqNCpCKj9SywM4Xm/WYu0xYye74QHgDThx4c5z5Tk69qYhlEsPXCzbM/7m&#10;+74Zzy9607KtQq/BljwfjTlTVkKl7brkn+6uX8w480HYSrRgVcl3yvOLxfNn884VagINtJVCRiDW&#10;F50reROCK7LMy0YZ4UfglKVgDWhEoCOuswpFR+imzSbj8VnWAVYOQSrv6XY5BPkBEZ8CCHWtpVqC&#10;3Bhlw4CKqhWBJPlGO88XiW1dKxk+1LVXgbUlJ6UhrVSE9qu4Zou5KNYoXKPlgYJ4CoVHmozQlooe&#10;oZYiCLZB/Q+U0RLBQx1GEkw2CEmOkIp8/Mib20Y4lbSQ1d4dTff/D1a+335EpquST/IJZ1YYavn+&#10;x/f9z9/7X9/YbHYeLeqcLyjz1lFu6F9DT4OT5Hp3A/KzZxauGmHX6hIRukaJiijm8WV28nTA8RFk&#10;1b2DiiqJTYAE1Ndoon/kCCN0as/u2B7VBybp8jyfTscUkRSazs6meWpfJoqHxw59eKPAsLgpOVL3&#10;E7jY3vgQyYjiISXWsnCt2zZNQGv/uqDEeJPIR74D89Cv+oMZK6h2JANhGCj6TrRpAL9y1tEwldx/&#10;2QhUnLVvLVmRmNP0pcP05asJqcDTyOo0IqwkqJIHzobtVRgmduNQrxuqNJhv4ZLsq3WSFn0eWB14&#10;08AkxYfhjhN5ek5Zfz704h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TfEz1QAAAAgBAAAPAAAA&#10;AAAAAAEAIAAAACIAAABkcnMvZG93bnJldi54bWxQSwECFAAUAAAACACHTuJApSRV+xgCAAAYBAAA&#10;DgAAAAAAAAABACAAAAAkAQAAZHJzL2Uyb0RvYy54bWxQSwUGAAAAAAYABgBZAQAAr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 24 小时，以书面形式通知发包人和监理人，并在监理人的见证下与发包人共同清点。</w:t>
      </w:r>
    </w:p>
    <w:p>
      <w:pPr>
        <w:spacing w:line="360" w:lineRule="auto"/>
        <w:rPr>
          <w:rFonts w:ascii="仿宋" w:hAnsi="仿宋" w:eastAsia="仿宋"/>
          <w:b/>
          <w:bCs/>
          <w:color w:val="auto"/>
          <w:highlight w:val="none"/>
          <w:lang w:eastAsia="zh-CN"/>
        </w:rPr>
      </w:pPr>
      <w:bookmarkStart w:id="384"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3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11840" behindDoc="0" locked="0" layoutInCell="1" allowOverlap="1">
                <wp:simplePos x="0" y="0"/>
                <wp:positionH relativeFrom="column">
                  <wp:posOffset>-27940</wp:posOffset>
                </wp:positionH>
                <wp:positionV relativeFrom="paragraph">
                  <wp:posOffset>9525</wp:posOffset>
                </wp:positionV>
                <wp:extent cx="914400" cy="792480"/>
                <wp:effectExtent l="0" t="0" r="0" b="0"/>
                <wp:wrapNone/>
                <wp:docPr id="211"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0" o:spid="_x0000_s1026" o:spt="202" type="#_x0000_t202" style="position:absolute;left:0pt;margin-left:-2.2pt;margin-top:0.75pt;height:62.4pt;width:72pt;z-index:251811840;mso-width-relative:page;mso-height-relative:page;" filled="f" stroked="f" coordsize="21600,21600" o:gfxdata="UEsDBAoAAAAAAIdO4kAAAAAAAAAAAAAAAAAEAAAAZHJzL1BLAwQUAAAACACHTuJAPEDQhNYAAAAI&#10;AQAADwAAAGRycy9kb3ducmV2LnhtbE2PzW7CMBCE75V4B2uRegMbCFFJ43AA9doK+iP1ZuIliRqv&#10;o9iQ9O27nOhtd2c0+02+HV0rrtiHxpOGxVyBQCq9bajS8PH+MnsCEaIha1pPqOEXA2yLyUNuMusH&#10;OuD1GCvBIRQyo6GOscukDGWNzoS575BYO/vemchrX0nbm4HDXSuXSqXSmYb4Q2063NVY/hwvTsPn&#10;6/n7K1Fv1d6tu8GPSpLbSK0fpwv1DCLiGO9muOEzOhTMdPIXskG0GmZJwk6+r0Hc5NUmBXHiYZmu&#10;QBa5/F+g+ANQSwMEFAAAAAgAh07iQPGOC2kYAgAAGAQAAA4AAABkcnMvZTJvRG9jLnhtbK1TzW4T&#10;MRC+I/EOlu9ks1GgzSqbqjQqQio/UuEBHK83a7H2mLGT3fAA8AY9ceHOc+U5GHvTNJRLD1ws2zP+&#10;5vu+Gc8vetOyrUKvwZY8H405U1ZCpe265J8/Xb8458wHYSvRglUl3ynPLxbPn807V6gJNNBWChmB&#10;WF90ruRNCK7IMi8bZYQfgVOWgjWgEYGOuM4qFB2hmzabjMevsg6wcghSeU+3yyHID4j4FECoay3V&#10;EuTGKBsGVFStCCTJN9p5vkhs61rJ8KGuvQqsLTkpDWmlIrRfxTVbzEWxRuEaLQ8UxFMoPNJkhLZU&#10;9Ai1FEGwDep/oIyWCB7qMJJgskFIcoRU5ONH3tw2wqmkhaz27mi6/3+w8v32IzJdlXyS55xZYajl&#10;+7sf+5+/97++s/NZsqhzvqDMW0e5oX8NPQ1OkuvdDcgvnlm4aoRdq0tE6BolKqKYR3Ozk6exKb7w&#10;EWTVvYOKKolNgATU12iif+QII3Rqz+7YHtUHJulylk+nY4pICp3NJtPzxC0Txf1jhz68UWBY3JQc&#10;qfsJXGxvfIhkRHGfEmtZuNZtmyagtX9dUGK8SeQj34F56Fc9ZUcRK6h2JANhGCj6TrRpAL9x1tEw&#10;ldx/3QhUnLVvLVmRmNP0pcP05dmEVOBpZHUaEVYSVMkDZ8P2KgwTu3Go1w1VGsy3cEn21TpJe2B1&#10;4E0DkxQfhjtO5Ok5ZT186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EDQhNYAAAAIAQAADwAA&#10;AAAAAAABACAAAAAiAAAAZHJzL2Rvd25yZXYueG1sUEsBAhQAFAAAAAgAh07iQPGOC2kYAgAAGAQA&#10;AA4AAAAAAAAAAQAgAAAAJQEAAGRycy9lMm9Eb2MueG1sUEsFBgAAAAAGAAYAWQEAAK8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pPr>
        <w:spacing w:line="360" w:lineRule="auto"/>
        <w:rPr>
          <w:rFonts w:ascii="仿宋" w:hAnsi="仿宋" w:eastAsia="仿宋"/>
          <w:b/>
          <w:bCs/>
          <w:color w:val="auto"/>
          <w:highlight w:val="none"/>
          <w:lang w:eastAsia="zh-CN"/>
        </w:rPr>
      </w:pPr>
      <w:bookmarkStart w:id="385"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3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12864" behindDoc="0" locked="0" layoutInCell="1" allowOverlap="1">
                <wp:simplePos x="0" y="0"/>
                <wp:positionH relativeFrom="column">
                  <wp:posOffset>6985</wp:posOffset>
                </wp:positionH>
                <wp:positionV relativeFrom="paragraph">
                  <wp:posOffset>19685</wp:posOffset>
                </wp:positionV>
                <wp:extent cx="914400" cy="792480"/>
                <wp:effectExtent l="0" t="0" r="0" b="0"/>
                <wp:wrapNone/>
                <wp:docPr id="210" name="文本框 891"/>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026" o:spt="202" type="#_x0000_t202" style="position:absolute;left:0pt;margin-left:0.55pt;margin-top:1.55pt;height:62.4pt;width:72pt;z-index:251812864;mso-width-relative:page;mso-height-relative:page;" filled="f" stroked="f" coordsize="21600,21600" o:gfxdata="UEsDBAoAAAAAAIdO4kAAAAAAAAAAAAAAAAAEAAAAZHJzL1BLAwQUAAAACACHTuJAxeSSpdIAAAAH&#10;AQAADwAAAGRycy9kb3ducmV2LnhtbE2OwU7DMBBE70j8g7VI3Kid0gINcXoAcQVRoFJv23ibRMTr&#10;KHab8PdsT3DaGc1o9hXryXfqRENsA1vIZgYUcRVcy7WFz4+XmwdQMSE77AKThR+KsC4vLwrMXRj5&#10;nU6bVCsZ4ZijhSalPtc6Vg15jLPQE0t2CIPHJHaotRtwlHHf6bkxd9pjy/KhwZ6eGqq+N0dv4ev1&#10;sNsuzFv97Jf9GCaj2a+0tddXmXkElWhKf2U44ws6lMK0D0d2UXXiMylauJVzThdLEXsR8/sV6LLQ&#10;//nLX1BLAwQUAAAACACHTuJAHuRI3BYCAAAYBAAADgAAAGRycy9lMm9Eb2MueG1srVPLjtMwFN0j&#10;8Q+W9zRtVZg2ajoaphqENDykgQ9wHCexiH3NtdukfAD8ASs27Pmufgc3TqaUYTMLNpHte33uOccn&#10;68vONGyv0GuwGZ9NppwpK6HQtsr4xw83z5ac+SBsIRqwKuMH5fnl5umTdetSNYcamkIhIxDr09Zl&#10;vA7BpUniZa2M8BNwylKxBDQi0BarpEDRErppkvl0+iJpAQuHIJX3dLodinxExMcAQllqqbYgd0bZ&#10;MKCiakQgSb7WzvNNZFuWSoZ3ZelVYE3GSWmIXxpC67z/Jpu1SCsUrtZypCAeQ+GBJiO0paEnqK0I&#10;gu1Q/wNltETwUIaJBJMMQqIjpGI2feDNXS2cilrIau9Opvv/Byvf7t8j00XG5zPyxApDT378/u34&#10;49fx51e2XM16i1rnU+q8c9QbupfQUXCiXO9uQX7yzMJ1LWylrhChrZUoiGK8mZxdHXB8D5K3b6Cg&#10;SWIXIAJ1JZreP3KEETpROZyeR3WBSTpczRaLKVUklS5W88UyPl8i0vvLDn14pcCwfpFxpNeP4GJ/&#10;6wPJoNb7ln6WhRvdNDEBjf3rgBr7k0i+5zswD13ejWbkUBxIBsIQKPqdaFEDfuGspTBl3H/eCVSc&#10;Na8tWRGZU/riZvH8Yk4q8LySn1eElQSV8cDZsLwOQ2J3DnVV06TBfAtXZF+po7Te54HVyJsCExWP&#10;4e4Teb6PXX9+6M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eSSpdIAAAAHAQAADwAAAAAAAAAB&#10;ACAAAAAiAAAAZHJzL2Rvd25yZXYueG1sUEsBAhQAFAAAAAgAh07iQB7kSNwWAgAAGAQAAA4AAAAA&#10;AAAAAQAgAAAAIQEAAGRycy9lMm9Eb2MueG1sUEsFBgAAAAAGAAYAWQEAAKk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pPr>
        <w:spacing w:line="360" w:lineRule="auto"/>
        <w:rPr>
          <w:rFonts w:ascii="仿宋" w:hAnsi="仿宋" w:eastAsia="仿宋"/>
          <w:color w:val="auto"/>
          <w:highlight w:val="none"/>
          <w:lang w:eastAsia="zh-CN"/>
        </w:rPr>
      </w:pPr>
      <w:bookmarkStart w:id="386" w:name="_Toc29015"/>
      <w:r>
        <w:rPr>
          <w:color w:val="auto"/>
          <w:highlight w:val="none"/>
          <w:lang w:eastAsia="zh-CN" w:bidi="ar-SA"/>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209" name="文本框 892"/>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026" o:spt="202" type="#_x0000_t202" style="position:absolute;left:0pt;margin-left:-9pt;margin-top:19.1pt;height:34.8pt;width:72pt;z-index:25192652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DccDbtGAIAABgEAAAOAAAAZHJzL2Uyb0RvYy54bWytU81u&#10;EzEQviPxDpbvZDdRKM0qm6o0KkIqP1LLAzheb9Zi7TFjJ7vhAeANOHHhznPlOTr2piGUSw9cLNsz&#10;/ub7vhnPL3rTsq1Cr8GWfDzKOVNWQqXtuuSf7q5fnHPmg7CVaMGqku+U5xeL58/mnSvUBBpoK4WM&#10;QKwvOlfyJgRXZJmXjTLCj8ApS8Ea0IhAR1xnFYqO0E2bTfL8LOsAK4cglfd0uxyC/ICITwGEutZS&#10;LUFujLJhQEXVikCSfKOd54vEtq6VDB/q2qvA2pKT0pBWKkL7VVyzxVwUaxSu0fJAQTyFwiNNRmhL&#10;RY9QSxEE26D+B8poieChDiMJJhuEJEdIxTh/5M1tI5xKWshq746m+/8HK99vPyLTVckn+YwzKwy1&#10;fP/j+/7n7/2vb+x8NokWdc4XlHnrKDf0r6GnwUlyvbsB+dkzC1eNsGt1iQhdo0RFFMfxZXbydMDx&#10;EWTVvYOKKolNgATU12iif+QII3Rqz+7YHtUHJulyNp5Oc4pICk2n49lZal8miofHDn14o8CwuCk5&#10;UvcTuNje+BDJiOIhJdaycK3bNk1Aa/+6oMR4k8hHvgPz0K/6gxkrqHYkA2EYKPpOtGkAv3LW0TCV&#10;3H/ZCFSctW8tWZGY0/Slw/TlqwmpwNPI6jQirCSokgfOhu1VGCZ241CvG6o0mG/hkuyrdZIWfR5Y&#10;HXjTwCTFh+GOE3l6Tll/PvTiH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3eY1HXAAAACgEAAA8A&#10;AAAAAAAAAQAgAAAAIgAAAGRycy9kb3ducmV2LnhtbFBLAQIUABQAAAAIAIdO4kDccDbtGAIAABgE&#10;AAAOAAAAAAAAAAEAIAAAACY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38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如果承包人不执行监理人依据第 56.4 款和第 56.5 款约定发出的指令,则发包人可自行或委托第三方执行该指令，由此发生的费用由承包人承担。该笔款项经造价咨询人核实后，由发包人从应付或将付给承包人的工程款中扣除。</w:t>
      </w:r>
    </w:p>
    <w:p>
      <w:pPr>
        <w:spacing w:line="360" w:lineRule="auto"/>
        <w:rPr>
          <w:rFonts w:ascii="仿宋" w:hAnsi="仿宋" w:eastAsia="仿宋" w:cs="仿宋"/>
          <w:b/>
          <w:bCs/>
          <w:color w:val="auto"/>
          <w:highlight w:val="none"/>
          <w:lang w:eastAsia="zh-CN"/>
        </w:rPr>
      </w:pPr>
      <w:bookmarkStart w:id="387"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3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13888" behindDoc="0" locked="0" layoutInCell="1" allowOverlap="1">
                <wp:simplePos x="0" y="0"/>
                <wp:positionH relativeFrom="column">
                  <wp:posOffset>-27940</wp:posOffset>
                </wp:positionH>
                <wp:positionV relativeFrom="paragraph">
                  <wp:posOffset>31750</wp:posOffset>
                </wp:positionV>
                <wp:extent cx="914400" cy="502920"/>
                <wp:effectExtent l="0" t="0" r="0" b="0"/>
                <wp:wrapNone/>
                <wp:docPr id="208" name="文本框 893"/>
                <wp:cNvGraphicFramePr/>
                <a:graphic xmlns:a="http://schemas.openxmlformats.org/drawingml/2006/main">
                  <a:graphicData uri="http://schemas.microsoft.com/office/word/2010/wordprocessingShape">
                    <wps:wsp>
                      <wps:cNvSpPr txBox="1">
                        <a:spLocks noChangeArrowheads="1"/>
                      </wps:cNvSpPr>
                      <wps:spPr bwMode="auto">
                        <a:xfrm>
                          <a:off x="0" y="0"/>
                          <a:ext cx="914400" cy="50292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026" o:spt="202" type="#_x0000_t202" style="position:absolute;left:0pt;margin-left:-2.2pt;margin-top:2.5pt;height:39.6pt;width:72pt;z-index:251813888;mso-width-relative:page;mso-height-relative:page;" filled="f" stroked="f" coordsize="21600,21600" o:gfxdata="UEsDBAoAAAAAAIdO4kAAAAAAAAAAAAAAAAAEAAAAZHJzL1BLAwQUAAAACACHTuJAxAoieNUAAAAH&#10;AQAADwAAAGRycy9kb3ducmV2LnhtbE2PzU7DMBCE70i8g7VI3Np1S1q1IZseQFxBlB+Jmxtvk4h4&#10;HcVuE94e9wTH0Yxmvil2k+vUmYfQeiFYzDUolsrbVmqC97en2QZUiEas6bwwwQ8H2JXXV4XJrR/l&#10;lc/7WKtUIiE3BE2MfY4YqoadCXPfsyTv6AdnYpJDjXYwYyp3HS61XqMzraSFxvT80HD1vT85go/n&#10;49dnpl/qR7fqRz9pFLdFotubhb4HFXmKf2G44Cd0KBPTwZ/EBtURzLIsJQlW6dHFvtuuQR0INtkS&#10;sCzwP3/5C1BLAwQUAAAACACHTuJATQdh/BgCAAAYBAAADgAAAGRycy9lMm9Eb2MueG1srVPNbhMx&#10;EL4j8Q6W72Q3IYVmlU1VGhUhlR+p8ACO15u1WHvM2MlueAD6Bpy4cOe58hyMvWkI5dIDF8v2jL/5&#10;vm/G84vetGyr0GuwJR+Pcs6UlVBpuy75p4/Xz84580HYSrRgVcl3yvOLxdMn884VagINtJVCRiDW&#10;F50reROCK7LMy0YZ4UfglKVgDWhEoCOuswpFR+imzSZ5/iLrACuHIJX3dLscgvyAiI8BhLrWUi1B&#10;boyyYUBF1YpAknyjneeLxLaulQzv69qrwNqSk9KQVipC+1Vcs8VcFGsUrtHyQEE8hsIDTUZoS0WP&#10;UEsRBNug/gfKaIngoQ4jCSYbhCRHSMU4f+DNbSOcSlrIau+Opvv/ByvfbT8g01XJJzk13gpDLd9/&#10;v9v/+LX/+Y2dz55HizrnC8q8dZQb+lfQ0+Akud7dgPzsmYWrRti1ukSErlGiIorj+DI7eTrg+Aiy&#10;6t5CRZXEJkAC6ms00T9yhBE6tWd3bI/qA5N0ORtPpzlFJIXO8slsktqXieL+sUMfXiswLG5KjtT9&#10;BC62Nz5EMqK4T4m1LFzrtk0T0Nq/Ligx3iTyke/APPSr/mDGCqodyUAYBoq+E20awK+cdTRMJfdf&#10;NgIVZ+0bS1Yk5jR96TA9e0nMGZ5GVqcRYSVBlTxwNmyvwjCxG4d63VClwXwLl2RfrZO06PPA6sCb&#10;BiYpPgx3nMjTc8r686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CiJ41QAAAAcBAAAPAAAA&#10;AAAAAAEAIAAAACIAAABkcnMvZG93bnJldi54bWxQSwECFAAUAAAACACHTuJATQdh/BgCAAAYBAAA&#10;DgAAAAAAAAABACAAAAAkAQAAZHJzL2Uyb0RvYy54bWxQSwUGAAAAAAYABgBZAQAArg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pPr>
        <w:spacing w:line="360" w:lineRule="auto"/>
        <w:rPr>
          <w:rFonts w:ascii="仿宋" w:hAnsi="仿宋" w:eastAsia="仿宋"/>
          <w:b/>
          <w:bCs/>
          <w:color w:val="auto"/>
          <w:highlight w:val="none"/>
          <w:lang w:eastAsia="zh-CN"/>
        </w:rPr>
      </w:pPr>
      <w:bookmarkStart w:id="388"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3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14912" behindDoc="0" locked="0" layoutInCell="1" allowOverlap="1">
                <wp:simplePos x="0" y="0"/>
                <wp:positionH relativeFrom="column">
                  <wp:posOffset>-45085</wp:posOffset>
                </wp:positionH>
                <wp:positionV relativeFrom="paragraph">
                  <wp:posOffset>15240</wp:posOffset>
                </wp:positionV>
                <wp:extent cx="914400" cy="819150"/>
                <wp:effectExtent l="0" t="0" r="0" b="0"/>
                <wp:wrapNone/>
                <wp:docPr id="207" name="文本框 894"/>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026" o:spt="202" type="#_x0000_t202" style="position:absolute;left:0pt;margin-left:-3.55pt;margin-top:1.2pt;height:64.5pt;width:72pt;z-index:251814912;mso-width-relative:page;mso-height-relative:page;" filled="f" stroked="f" coordsize="21600,21600" o:gfxdata="UEsDBAoAAAAAAIdO4kAAAAAAAAAAAAAAAAAEAAAAZHJzL1BLAwQUAAAACACHTuJA2Yk3ldYAAAAI&#10;AQAADwAAAGRycy9kb3ducmV2LnhtbE2PzU7DMBCE70h9B2srcWvXKaHQEKeHIq4gyo/EzY23SdR4&#10;HcVuE94e50Rvs5rRzLf5drStuFDvG8cKkqUEQVw603Cl4PPjZfEIwgfNRreOScEvedgWs5tcZ8YN&#10;/E6XfahELGGfaQV1CF2G6MuarPZL1xFH7+h6q0M8+wpNr4dYbltcSblGqxuOC7XuaFdTedqfrYKv&#10;1+PPdyrfqmd73w1ulMh2g0rdzhP5BCLQGP7DMOFHdCgi08Gd2XjRKlg8JDGpYJWCmOy79QbEYRJJ&#10;CljkeP1A8QdQSwMEFAAAAAgAh07iQP3gaSIYAgAAGAQAAA4AAABkcnMvZTJvRG9jLnhtbK1TwW4T&#10;MRC9I/EPlu9kd6OUJqtsqtKoCKlApcIHOF5v1mLXY8ZOdsMHwB/0xIU735Xv6NibhlAuPXCxbM/4&#10;zXtvxvOLvm3YVqHTYAqejVLOlJFQarMu+OdP16+mnDkvTCkaMKrgO+X4xeLli3lnczWGGppSISMQ&#10;4/LOFrz23uZJ4mStWuFGYJWhYAXYCk9HXCclio7Q2yYZp+nrpAMsLYJUztHtcgjyAyI+BxCqSku1&#10;BLlplfEDKqpGeJLkam0dX0S2VaWk/1hVTnnWFJyU+rhSEdqvwpos5iJfo7C1lgcK4jkUnmhqhTZU&#10;9Ai1FF6wDep/oFotERxUfiShTQYh0RFSkaVPvLmrhVVRC1nt7NF09/9g5YftLTJdFnycnnNmREst&#10;39//2P/8vf/1nU1nk2BRZ11OmXeWcn3/BnoanCjX2RuQXxwzcFULs1aXiNDVSpREMQsvk5OnA44L&#10;IKvuPZRUSWw8RKC+wjb4R44wQqf27I7tUb1nki5n2WSSUkRSaJrNsrPYvkTkj48tOv9WQcvCpuBI&#10;3Y/gYnvjfCAj8seUUMvAtW6aOAGN+euCEsNNJB/4Dsx9v+oPZqyg3JEMhGGg6DvRpgb8xllHw1Rw&#10;93UjUHHWvDNkRWRO0xcPk7PzManA08jqNCKMJKiCe86G7ZUfJnZjUa9rqjSYb+CS7Kt0lBZ8Hlgd&#10;eNPARMWH4Q4TeXqOWX8+9O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Yk3ldYAAAAIAQAADwAA&#10;AAAAAAABACAAAAAiAAAAZHJzL2Rvd25yZXYueG1sUEsBAhQAFAAAAAgAh07iQP3gaSIYAgAAGAQA&#10;AA4AAAAAAAAAAQAgAAAAJQEAAGRycy9lMm9Eb2MueG1sUEsFBgAAAAAGAAYAWQEAAK8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pPr>
        <w:spacing w:line="360" w:lineRule="auto"/>
        <w:rPr>
          <w:rFonts w:ascii="仿宋" w:hAnsi="仿宋" w:eastAsia="仿宋"/>
          <w:b/>
          <w:bCs/>
          <w:color w:val="auto"/>
          <w:highlight w:val="none"/>
          <w:lang w:eastAsia="zh-CN"/>
        </w:rPr>
      </w:pPr>
      <w:bookmarkStart w:id="389" w:name="_Toc14474"/>
      <w:r>
        <w:rPr>
          <w:color w:val="auto"/>
          <w:highlight w:val="none"/>
          <w:lang w:eastAsia="zh-CN" w:bidi="ar-SA"/>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206" name="文本框 895"/>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026" o:spt="202" type="#_x0000_t202" style="position:absolute;left:0pt;margin-left:-9pt;margin-top:16.3pt;height:56.05pt;width:72pt;z-index:251927552;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eas0wGAIAABgEAAAOAAAAZHJzL2Uyb0RvYy54bWytU0Fu&#10;2zAQvBfoHwjea0mukziC5SCNkaJA2hRI+wCaoiyiEpdd0pbcBzQ/6KmX3vMuv6NLynHd9JJDLwLJ&#10;Xc7ODEezi75t2Eah02AKno1SzpSRUGqzKvjnT9evppw5L0wpGjCq4Fvl+MX85YtZZ3M1hhqaUiEj&#10;EOPyzha89t7mSeJkrVrhRmCVoWIF2ApPW1wlJYqO0NsmGafpadIBlhZBKufodDEU+R4RnwMIVaWl&#10;WoBct8r4ARVVIzxJcrW2js8j26pS0t9WlVOeNQUnpT5+aQitl+GbzGciX6GwtZZ7CuI5FJ5oaoU2&#10;NPQAtRBesDXqf6BaLREcVH4koU0GIdERUpGlT7y5q4VVUQtZ7ezBdPf/YOWHzUdkuiz4OD3lzIiW&#10;nnz3437382H36zubnp8Eizrrcuq8s9Tr+zfQU3CiXGdvQH5xzMBVLcxKXSJCVytREsUs3EyOrg44&#10;LoAsu/dQ0iSx9hCB+grb4B85wgidnmd7eB7Veybp8DybTFKqSCqdZdn0deSWiPzxskXn3ypoWVgU&#10;HOn1I7jY3DgfyIj8sSXMMnCtmyYmoDF/HVBjOInkA9+Bue+X/d6MJZRbkoEwBIp+J1rUgN846yhM&#10;BXdf1wIVZ807Q1ZE5pS+uJmcnI1JBR5XlscVYSRBFdxzNiyv/JDYtUW9qmnSYL6BS7Kv0lFa8Hlg&#10;tedNgYmK9+EOiTzex64/P/T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5Q/rbXAAAACgEAAA8A&#10;AAAAAAAAAQAgAAAAIgAAAGRycy9kb3ducmV2LnhtbFBLAQIUABQAAAAIAIdO4kBeas0wGAIAABgE&#10;AAAOAAAAAAAAAAEAIAAAACY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38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90" w:name="_Toc12157"/>
      <w:bookmarkStart w:id="391" w:name="_Toc47694332"/>
      <w:bookmarkStart w:id="392" w:name="_Toc15845"/>
      <w:r>
        <w:rPr>
          <w:rFonts w:ascii="仿宋" w:hAnsi="仿宋" w:eastAsia="仿宋" w:cs="仿宋"/>
          <w:bCs w:val="0"/>
          <w:color w:val="auto"/>
          <w:sz w:val="24"/>
          <w:szCs w:val="24"/>
          <w:highlight w:val="none"/>
        </w:rPr>
        <w:t>5</w:t>
      </w:r>
      <w:r>
        <w:rPr>
          <w:rFonts w:hint="eastAsia" w:ascii="仿宋" w:hAnsi="仿宋" w:eastAsia="仿宋" w:cs="仿宋"/>
          <w:bCs w:val="0"/>
          <w:color w:val="auto"/>
          <w:sz w:val="24"/>
          <w:szCs w:val="24"/>
          <w:highlight w:val="none"/>
        </w:rPr>
        <w:t>7</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设备及工器具的验收、</w:t>
      </w:r>
      <w:r>
        <w:rPr>
          <w:rFonts w:hint="eastAsia" w:ascii="仿宋" w:hAnsi="仿宋" w:eastAsia="仿宋" w:cs="仿宋"/>
          <w:bCs w:val="0"/>
          <w:color w:val="auto"/>
          <w:sz w:val="24"/>
          <w:szCs w:val="24"/>
          <w:highlight w:val="none"/>
          <w:lang w:val="en-US"/>
        </w:rPr>
        <w:t>工程</w:t>
      </w:r>
      <w:r>
        <w:rPr>
          <w:rFonts w:hint="eastAsia" w:ascii="仿宋" w:hAnsi="仿宋" w:eastAsia="仿宋" w:cs="仿宋"/>
          <w:bCs w:val="0"/>
          <w:color w:val="auto"/>
          <w:sz w:val="24"/>
          <w:szCs w:val="24"/>
          <w:highlight w:val="none"/>
        </w:rPr>
        <w:t>材料和工程设备的检验试验</w:t>
      </w:r>
      <w:bookmarkEnd w:id="390"/>
      <w:bookmarkEnd w:id="391"/>
      <w:bookmarkEnd w:id="392"/>
    </w:p>
    <w:p>
      <w:pPr>
        <w:pStyle w:val="13"/>
        <w:adjustRightInd w:val="0"/>
        <w:snapToGrid w:val="0"/>
        <w:spacing w:line="360" w:lineRule="auto"/>
        <w:ind w:firstLine="0"/>
        <w:rPr>
          <w:rFonts w:ascii="仿宋" w:hAnsi="仿宋" w:eastAsia="仿宋" w:cs="仿宋"/>
          <w:b/>
          <w:bCs/>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66112" behindDoc="0" locked="0" layoutInCell="1" allowOverlap="1">
                <wp:simplePos x="0" y="0"/>
                <wp:positionH relativeFrom="column">
                  <wp:posOffset>-1905</wp:posOffset>
                </wp:positionH>
                <wp:positionV relativeFrom="paragraph">
                  <wp:posOffset>266700</wp:posOffset>
                </wp:positionV>
                <wp:extent cx="914400" cy="506095"/>
                <wp:effectExtent l="0" t="0" r="0" b="0"/>
                <wp:wrapNone/>
                <wp:docPr id="205"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026" o:spt="202" type="#_x0000_t202" style="position:absolute;left:0pt;margin-left:-0.15pt;margin-top:21pt;height:39.85pt;width:72pt;z-index:251866112;mso-width-relative:page;mso-height-relative:page;" filled="f" stroked="f" coordsize="21600,21600" o:gfxdata="UEsDBAoAAAAAAIdO4kAAAAAAAAAAAAAAAAAEAAAAZHJzL1BLAwQUAAAACACHTuJArHIsatYAAAAI&#10;AQAADwAAAGRycy9kb3ducmV2LnhtbE2PzU7DMBCE70i8g7VI3Fo7aaCQxukBxBXU8iNxc+NtEjVe&#10;R7HbhLdne2pvO5rR7DfFenKdOOEQWk8akrkCgVR521Kt4evzbfYEIkRD1nSeUMMfBliXtzeFya0f&#10;aYOnbawFl1DIjYYmxj6XMlQNOhPmvkdib+8HZyLLoZZ2MCOXu06mSj1KZ1riD43p8aXB6rA9Og3f&#10;7/vfn0x91K/uoR/9pCS5Z6n1/V2iViAiTvEShjM+o0PJTDt/JBtEp2G24KCGLOVFZztbLEHs+EiT&#10;JciykNcDyn9QSwMEFAAAAAgAh07iQBgbouQZAgAAGQQAAA4AAABkcnMvZTJvRG9jLnhtbK1TzY7T&#10;MBC+I/EOlu80SWkXNmq6WrZahLT8SAsP4DhOY5F4zNhtUh4A3oATF+48V5+DsdPtluWyBy6W7Rl/&#10;833fjBcXQ9eyrUKnwRQ8m6ScKSOh0mZd8E8fr5+95Mx5YSrRglEF3ynHL5ZPnyx6m6spNNBWChmB&#10;GJf3tuCN9zZPEicb1Qk3AasMBWvATng64jqpUPSE3rXJNE3Pkh6wsghSOUe3qzHID4j4GECoay3V&#10;CuSmU8aPqKha4UmSa7R1fBnZ1rWS/n1dO+VZW3BS6uNKRWhfhjVZLkS+RmEbLQ8UxGMoPNDUCW2o&#10;6BFqJbxgG9T/QHVaIjio/URCl4xCoiOkIksfeHPbCKuiFrLa2aPp7v/BynfbD8h0VfBpOufMiI5a&#10;vv/xff/z9/7XN5Zlz6NHvXU5pd5aSvbDKxhocqJeZ29AfnbMwFUjzFpdIkLfKFERxyy4m5w8DV1x&#10;uQsgZf8WKiolNh4i0FBjFwwkSxihU392x/6owTNJl+fZbJZSRFJonp6l5/NYQeR3jy06/1pBx8Km&#10;4Ejtj+Bie+N8ICPyu5RQy8C1bts4Aq3564ISw00kH/iOzP1QDpQdRJRQ7UgGwjhR9J9o0wB+5ayn&#10;aSq4+7IRqDhr3xiyIjKn8YuH2fzFlFTgaaQ8jQgjCargnrNxe+XHkd1Y1OuGKo3mG7gk+2odpd2z&#10;OvCmiYmKD9MdRvL0HLPuf/T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xyLGrWAAAACAEAAA8A&#10;AAAAAAAAAQAgAAAAIgAAAGRycy9kb3ducmV2LnhtbFBLAQIUABQAAAAIAIdO4kAYG6LkGQIAABkE&#10;AAAOAAAAAAAAAAEAIAAAACU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 款～第 57.7 款约定执行，试车程序可遵照本通用条款第 62 条“工程试车”约定执行。</w:t>
      </w:r>
    </w:p>
    <w:p>
      <w:pPr>
        <w:spacing w:line="360" w:lineRule="auto"/>
        <w:rPr>
          <w:rFonts w:ascii="仿宋" w:hAnsi="仿宋" w:eastAsia="仿宋" w:cs="仿宋"/>
          <w:b/>
          <w:bCs/>
          <w:color w:val="auto"/>
          <w:highlight w:val="none"/>
          <w:lang w:eastAsia="zh-CN"/>
        </w:rPr>
      </w:pPr>
      <w:bookmarkStart w:id="393"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3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15936" behindDoc="0" locked="0" layoutInCell="1" allowOverlap="1">
                <wp:simplePos x="0" y="0"/>
                <wp:positionH relativeFrom="column">
                  <wp:posOffset>-36195</wp:posOffset>
                </wp:positionH>
                <wp:positionV relativeFrom="paragraph">
                  <wp:posOffset>26035</wp:posOffset>
                </wp:positionV>
                <wp:extent cx="914400" cy="506095"/>
                <wp:effectExtent l="0" t="0" r="0" b="0"/>
                <wp:wrapNone/>
                <wp:docPr id="204" name="文本框 896"/>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026" o:spt="202" type="#_x0000_t202" style="position:absolute;left:0pt;margin-left:-2.85pt;margin-top:2.05pt;height:39.85pt;width:72pt;z-index:251815936;mso-width-relative:page;mso-height-relative:page;" filled="f" stroked="f" coordsize="21600,21600" o:gfxdata="UEsDBAoAAAAAAIdO4kAAAAAAAAAAAAAAAAAEAAAAZHJzL1BLAwQUAAAACACHTuJA39qXHNUAAAAH&#10;AQAADwAAAGRycy9kb3ducmV2LnhtbE2OTU/DMBBE70j9D9ZW4tbaIS2ENJseQFxBlA+Jmxtvk6jx&#10;OordJvx73BM9jmb05hXbyXbiTINvHSMkSwWCuHKm5Rrh8+NlkYHwQbPRnWNC+CUP23J2U+jcuJHf&#10;6bwLtYgQ9rlGaELocyl91ZDVful64tgd3GB1iHGopRn0GOG2k3dK3UurW44Pje7pqaHquDtZhK/X&#10;w8/3Sr3Vz3bdj25Sku2jRLydJ2oDItAU/sdw0Y/qUEanvTux8aJDWKwf4hJhlYC41GmWgtgjZGkG&#10;sizktX/5B1BLAwQUAAAACACHTuJATfNahhgCAAAYBAAADgAAAGRycy9lMm9Eb2MueG1srVNLbtsw&#10;EN0X6B0I7mvJhu3GguUgjZGiQPoB0h6ApiiLqMRhh7Ql9wDtDbLqpvuey+fokFJcN91k0Y1AcoZv&#10;3nt8Wl52Tc32Cp0Gk/PxKOVMGQmFNtucf/p48+KCM+eFKUQNRuX8oBy/XD1/tmxtpiZQQV0oZARi&#10;XNbanFfe2yxJnKxUI9wIrDJULAEb4WmL26RA0RJ6UyeTNJ0nLWBhEaRyjk7XfZEPiPgUQChLLdUa&#10;5K5RxveoqGrhSZKrtHV8FdmWpZL+fVk65Vmdc1Lq45eG0HoTvslqKbItCltpOVAQT6HwSFMjtKGh&#10;J6i18ILtUP8D1WiJ4KD0IwlN0guJjpCKcfrIm7tKWBW1kNXOnkx3/w9Wvtt/QKaLnE/SKWdGNPTk&#10;x/vvxx+/jj+/sYvFPFjUWpdR552lXt+9go6CE+U6ewvys2MGrithtuoKEdpKiYIojsPN5Oxqj+MC&#10;yKZ9CwVNEjsPEagrsQn+kSOM0Ol5DqfnUZ1nkg4X4+k0pYqk0iydp4tZnCCyh8sWnX+toGFhkXOk&#10;14/gYn/rfCAjsoeWMMvAja7rmIDa/HVAjeEkkg98e+a+23SDGRsoDiQDoQ8U/U60qAC/ctZSmHLu&#10;vuwEKs7qN4asiMwpfXEznb2ckAo8r2zOK8JIgsq556xfXvs+sTuLelvRpN58A1dkX6mjtOBzz2rg&#10;TYGJiodwh0Se72PXnx96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2pcc1QAAAAcBAAAPAAAA&#10;AAAAAAEAIAAAACIAAABkcnMvZG93bnJldi54bWxQSwECFAAUAAAACACHTuJATfNahhgCAAAYBAAA&#10;DgAAAAAAAAABACAAAAAkAQAAZHJzL2Uyb0RvYy54bWxQSwUGAAAAAAYABgBZAQAArgU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pPr>
        <w:spacing w:line="360" w:lineRule="auto"/>
        <w:rPr>
          <w:rFonts w:ascii="仿宋" w:hAnsi="仿宋" w:eastAsia="仿宋" w:cs="仿宋"/>
          <w:b/>
          <w:bCs/>
          <w:color w:val="auto"/>
          <w:highlight w:val="none"/>
          <w:u w:val="dotted"/>
          <w:lang w:eastAsia="zh-CN"/>
        </w:rPr>
      </w:pPr>
      <w:bookmarkStart w:id="394"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3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firstLine="0"/>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16960" behindDoc="0" locked="0" layoutInCell="1" allowOverlap="1">
                <wp:simplePos x="0" y="0"/>
                <wp:positionH relativeFrom="column">
                  <wp:posOffset>-88265</wp:posOffset>
                </wp:positionH>
                <wp:positionV relativeFrom="paragraph">
                  <wp:posOffset>53975</wp:posOffset>
                </wp:positionV>
                <wp:extent cx="914400" cy="572770"/>
                <wp:effectExtent l="0" t="0" r="0" b="0"/>
                <wp:wrapNone/>
                <wp:docPr id="203" name="文本框 897"/>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026" o:spt="202" type="#_x0000_t202" style="position:absolute;left:0pt;margin-left:-6.95pt;margin-top:4.25pt;height:45.1pt;width:72pt;z-index:251816960;mso-width-relative:page;mso-height-relative:page;" filled="f" stroked="f" coordsize="21600,21600" o:gfxdata="UEsDBAoAAAAAAIdO4kAAAAAAAAAAAAAAAAAEAAAAZHJzL1BLAwQUAAAACACHTuJAYeT5k9YAAAAI&#10;AQAADwAAAGRycy9kb3ducmV2LnhtbE2PwU7DMBBE70j8g7WVuLV2KIUkZNMDiCuI0iJxc+NtEjVe&#10;R7HbhL/HPdHjaEYzb4r1ZDtxpsG3jhGShQJBXDnTco2w/XqbpyB80Gx055gQfsnDury9KXRu3Mif&#10;dN6EWsQS9rlGaELocyl91ZDVfuF64ugd3GB1iHKopRn0GMttJ++VepRWtxwXGt3TS0PVcXOyCLv3&#10;w8/3g/qoX+2qH92kJNtMIt7NEvUMItAU/sNwwY/oUEamvTux8aJDmCfLLEYR0hWIi79UCYg9QpY+&#10;gSwLeX2g/ANQSwMEFAAAAAgAh07iQKRbJqYXAgAAGAQAAA4AAABkcnMvZTJvRG9jLnhtbK1TzW4T&#10;MRC+I/EOlu9kNyGQdpVNVRoVIZUfqfAAjtebtVh7zNjJbngA+gacuHDnufIcjL1pCOXSAxfL9oy/&#10;+b5vxvOL3rRsq9BrsCUfj3LOlJVQabsu+aeP18/OOPNB2Eq0YFXJd8rzi8XTJ/POFWoCDbSVQkYg&#10;1hedK3kTgiuyzMtGGeFH4JSlYA1oRKAjrrMKRUfops0mef4y6wArhyCV93S7HIL8gIiPAYS61lIt&#10;QW6MsmFARdWKQJJ8o53ni8S2rpUM7+vaq8DakpPSkFYqQvtVXLPFXBRrFK7R8kBBPIbCA01GaEtF&#10;j1BLEQTboP4HymiJ4KEOIwkmG4QkR0jFOH/gzW0jnEpayGrvjqb7/wcr320/INNVySf5c86sMNTy&#10;/fe7/Y9f+5/f2Nn5LFrUOV9Q5q2j3NC/gp4GJ8n17gbkZ88sXDXCrtUlInSNEhVRHMeX2cnTAcdH&#10;kFX3FiqqJDYBElBfo4n+kSOM0Kk9u2N7VB+YpMvz8XSaU0RS6MVsMpul9mWiuH/s0IfXCgyLm5Ij&#10;dT+Bi+2ND5GMKO5TYi0L17pt0wS09q8LSow3iXzkOzAP/ao/mLGCakcyEIaBou9EmwbwK2cdDVPJ&#10;/ZeNQMVZ+8aSFYk5TV86TIk7qcDTyOo0IqwkqJIHzobtVRgmduNQrxuqNJhv4ZLsq3WSFn0eWB14&#10;08AkxYfhjhN5ek5Zfz70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5PmT1gAAAAgBAAAPAAAA&#10;AAAAAAEAIAAAACIAAABkcnMvZG93bnJldi54bWxQSwECFAAUAAAACACHTuJApFsmphcCAAAYBAAA&#10;DgAAAAAAAAABACAAAAAlAQAAZHJzL2Uyb0RvYy54bWxQSwUGAAAAAAYABgBZAQAArg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pPr>
        <w:pStyle w:val="13"/>
        <w:adjustRightInd w:val="0"/>
        <w:snapToGrid w:val="0"/>
        <w:spacing w:line="360" w:lineRule="auto"/>
        <w:ind w:left="1850" w:leftChars="771" w:firstLine="0"/>
        <w:rPr>
          <w:rFonts w:ascii="仿宋" w:hAnsi="仿宋" w:eastAsia="仿宋" w:cs="仿宋"/>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pPr>
        <w:pStyle w:val="13"/>
        <w:adjustRightInd w:val="0"/>
        <w:snapToGrid w:val="0"/>
        <w:spacing w:line="360" w:lineRule="auto"/>
        <w:ind w:left="1850" w:leftChars="771" w:firstLine="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pPr>
        <w:pStyle w:val="13"/>
        <w:adjustRightInd w:val="0"/>
        <w:snapToGrid w:val="0"/>
        <w:spacing w:line="360" w:lineRule="auto"/>
        <w:ind w:left="1850" w:leftChars="771" w:firstLine="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 24 小时通知监理人参加，并在监理人的见证下现场取样，同时送至具有相应资质等级的质量检测机构进行检验试验。</w:t>
      </w:r>
    </w:p>
    <w:p>
      <w:pPr>
        <w:pStyle w:val="13"/>
        <w:adjustRightInd w:val="0"/>
        <w:snapToGrid w:val="0"/>
        <w:spacing w:line="360" w:lineRule="auto"/>
        <w:ind w:left="1850" w:leftChars="771" w:firstLine="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 24 小时发出延期检验试验指令并书面说明理由，延期不得超过 48 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pPr>
        <w:spacing w:line="360" w:lineRule="auto"/>
        <w:rPr>
          <w:rFonts w:ascii="仿宋" w:hAnsi="仿宋" w:eastAsia="仿宋"/>
          <w:color w:val="auto"/>
          <w:highlight w:val="none"/>
          <w:lang w:eastAsia="zh-CN"/>
        </w:rPr>
      </w:pPr>
      <w:bookmarkStart w:id="395" w:name="_Toc15753"/>
      <w:r>
        <w:rPr>
          <w:color w:val="auto"/>
          <w:highlight w:val="none"/>
          <w:lang w:eastAsia="zh-CN" w:bidi="ar-SA"/>
        </w:rPr>
        <mc:AlternateContent>
          <mc:Choice Requires="wps">
            <w:drawing>
              <wp:anchor distT="0" distB="0" distL="114300" distR="114300" simplePos="0" relativeHeight="251817984" behindDoc="0" locked="0" layoutInCell="1" allowOverlap="1">
                <wp:simplePos x="0" y="0"/>
                <wp:positionH relativeFrom="column">
                  <wp:posOffset>-23495</wp:posOffset>
                </wp:positionH>
                <wp:positionV relativeFrom="paragraph">
                  <wp:posOffset>290830</wp:posOffset>
                </wp:positionV>
                <wp:extent cx="914400" cy="557530"/>
                <wp:effectExtent l="0" t="0" r="0" b="0"/>
                <wp:wrapNone/>
                <wp:docPr id="202" name="文本框 898"/>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026" o:spt="202" type="#_x0000_t202" style="position:absolute;left:0pt;margin-left:-1.85pt;margin-top:22.9pt;height:43.9pt;width:72pt;z-index:251817984;mso-width-relative:page;mso-height-relative:page;" filled="f" stroked="f" coordsize="21600,21600" o:gfxdata="UEsDBAoAAAAAAIdO4kAAAAAAAAAAAAAAAAAEAAAAZHJzL1BLAwQUAAAACACHTuJAdfzNotcAAAAJ&#10;AQAADwAAAGRycy9kb3ducmV2LnhtbE2PwW7CMBBE75X6D9ZW6g1smkDbNA6HVr0WFSgSNxMvSdR4&#10;HcWGpH/f5QS3Hc1o9k2+HF0rztiHxpOG2VSBQCq9bajSsN18Tl5AhGjImtYTavjDAMvi/i43mfUD&#10;feN5HSvBJRQyo6GOscukDGWNzoSp75DYO/remciyr6TtzcDlrpVPSi2kMw3xh9p0+F5j+bs+OQ0/&#10;X8f9LlWr6sPNu8GPSpJ7lVo/PszUG4iIY7yG4YLP6FAw08GfyAbRapgkz5zUkM55wcVPVQLiwEeS&#10;LEAWubxdUPwDUEsDBBQAAAAIAIdO4kDsXbRSGAIAABgEAAAOAAAAZHJzL2Uyb0RvYy54bWytU81u&#10;EzEQviPxDpbvZDchoekqm6o0KkIqP1LhARyvN2ux9pixk93yAPAGnLhw57nyHIy9aQjl0gMXy/aM&#10;v/m+b8aLi960bKfQa7AlH49yzpSVUGm7KfnHD9fP5pz5IGwlWrCq5HfK84vl0yeLzhVqAg20lUJG&#10;INYXnSt5E4IrsszLRhnhR+CUpWANaESgI26yCkVH6KbNJnn+IusAK4cglfd0uxqC/ICIjwGEutZS&#10;rUBujbJhQEXVikCSfKOd58vEtq6VDO/q2qvA2pKT0pBWKkL7dVyz5UIUGxSu0fJAQTyGwgNNRmhL&#10;RY9QKxEE26L+B8poieChDiMJJhuEJEdIxTh/4M1tI5xKWshq746m+/8HK9/u3iPTVckn+YQzKwy1&#10;fP/92/7Hr/3Pr2x+Po8Wdc4XlHnrKDf0L6GnwUlyvbsB+ckzC1eNsBt1iQhdo0RFFMfxZXbydMDx&#10;EWTdvYGKKoltgATU12iif+QII3Rqz92xPaoPTNLl+Xg6zSkiKTSbnc2ep/Zlorh/7NCHVwoMi5uS&#10;I3U/gYvdjQ+RjCjuU2ItC9e6bdMEtPavC0qMN4l85DswD/26P5ixhuqOZCAMA0XfiTYN4BfOOhqm&#10;kvvPW4GKs/a1JSsSc5q+dJjOziakAk8j69OIsJKgSh44G7ZXYZjYrUO9aajSYL6FS7Kv1kla9Hlg&#10;deBNA5MUH4Y7TuTpOWX9+d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8zaLXAAAACQEAAA8A&#10;AAAAAAAAAQAgAAAAIgAAAGRycy9kb3ducmV2LnhtbFBLAQIUABQAAAAIAIdO4kDsXbRSGAIAABgE&#10;AAAOAAAAAAAAAAEAIAAAACY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39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pPr>
        <w:spacing w:line="360" w:lineRule="auto"/>
        <w:rPr>
          <w:rFonts w:ascii="仿宋" w:hAnsi="仿宋" w:eastAsia="仿宋"/>
          <w:color w:val="auto"/>
          <w:highlight w:val="none"/>
          <w:u w:val="dotted"/>
          <w:lang w:eastAsia="zh-CN"/>
        </w:rPr>
      </w:pPr>
      <w:bookmarkStart w:id="396"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39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19008" behindDoc="0" locked="0" layoutInCell="1" allowOverlap="1">
                <wp:simplePos x="0" y="0"/>
                <wp:positionH relativeFrom="column">
                  <wp:posOffset>-19050</wp:posOffset>
                </wp:positionH>
                <wp:positionV relativeFrom="paragraph">
                  <wp:posOffset>16510</wp:posOffset>
                </wp:positionV>
                <wp:extent cx="914400" cy="555625"/>
                <wp:effectExtent l="0" t="0" r="0" b="0"/>
                <wp:wrapNone/>
                <wp:docPr id="201" name="文本框 899"/>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026" o:spt="202" type="#_x0000_t202" style="position:absolute;left:0pt;margin-left:-1.5pt;margin-top:1.3pt;height:43.75pt;width:72pt;z-index:251819008;mso-width-relative:page;mso-height-relative:page;" filled="f" stroked="f" coordsize="21600,21600" o:gfxdata="UEsDBAoAAAAAAIdO4kAAAAAAAAAAAAAAAAAEAAAAZHJzL1BLAwQUAAAACACHTuJAmLLHpdQAAAAH&#10;AQAADwAAAGRycy9kb3ducmV2LnhtbE2PzU7DMBCE70i8g7VI3Fo7pVQ0ZNMDiCsV5Ufito23SUS8&#10;jmK3Sd8e9wTH0Yxmvik2k+vUiYfQekHI5gYUS+VtKzXCx/vL7AFUiCSWOi+McOYAm/L6qqDc+lHe&#10;+LSLtUolEnJCaGLsc61D1bCjMPc9S/IOfnAUkxxqbQcaU7nr9MKYlXbUSlpoqOenhquf3dEhfL4e&#10;vr+WZls/u/t+9JPR4tYa8fYmM4+gIk/xLwwX/IQOZWLa+6PYoDqE2V26EhEWK1AXe5klvUdYmwx0&#10;Wej//OUvUEsDBBQAAAAIAIdO4kD488TFFwIAABgEAAAOAAAAZHJzL2Uyb0RvYy54bWytU0FuEzEU&#10;3SNxB8t7MkmUlGaUSVUaFSEVqFQ4gOPxZCzG/ubbyUw4ANygKzbsOVfO0W9PGkLZdMFmZPt/v//e&#10;85v5RWcatlXoNdiCjwZDzpSVUGq7LvjnT9evzjnzQdhSNGBVwXfK84vFyxfz1uVqDDU0pUJGINbn&#10;rSt4HYLLs8zLWhnhB+CUpWIFaESgLa6zEkVL6KbJxsPhWdYClg5BKu/pdNkX+QERnwMIVaWlWoLc&#10;GGVDj4qqEYEk+Vo7zxeJbVUpGT5WlVeBNQUnpSF9aQitV/GbLeYiX6NwtZYHCuI5FJ5oMkJbGnqE&#10;Woog2Ab1P1BGSwQPVRhIMFkvJDlCKkbDJ97c1cKppIWs9u5ouv9/sPLD9haZLgtO8zmzwtCT7+9/&#10;7H/+3v/6zs5ns2hR63xOnXeOekP3BjoKTpLr3Q3IL55ZuKqFXatLRGhrJUqiOIo3s5OrPY6PIKv2&#10;PZQ0SWwCJKCuQhP9I0cYodPz7I7Po7rAJB3ORpPJkCqSStPp9Gw8TRNE/njZoQ9vFRgWFwVHev0E&#10;LrY3PkQyIn9sibMsXOumSQlo7F8H1BhPEvnIt2ceulV3MGMF5Y5kIPSBot+JFjXgN85aClPB/deN&#10;QMVZ886SFYk5pS9tJtPXY1KBp5XVaUVYSVAFD5z1y6vQJ3bjUK9rmtSbb+GS7Kt0khZ97lkdeFNg&#10;kuJDuGMiT/ep688PvXg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LLHpdQAAAAHAQAADwAAAAAA&#10;AAABACAAAAAiAAAAZHJzL2Rvd25yZXYueG1sUEsBAhQAFAAAAAgAh07iQPjzxMUXAgAAGAQAAA4A&#10;AAAAAAAAAQAgAAAAIwEAAGRycy9lMm9Eb2MueG1sUEsFBgAAAAAGAAYAWQEAAKw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（1）现场使用前工程材料和工程设备等产品的检验试验，发包人供应的，检验试验费由发包人承担；承包人采购的，检验试验费由承包人承担。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pPr>
        <w:spacing w:line="360" w:lineRule="auto"/>
        <w:rPr>
          <w:rFonts w:ascii="仿宋" w:hAnsi="仿宋" w:eastAsia="仿宋"/>
          <w:b/>
          <w:bCs/>
          <w:color w:val="auto"/>
          <w:highlight w:val="none"/>
          <w:lang w:eastAsia="zh-CN"/>
        </w:rPr>
      </w:pPr>
      <w:bookmarkStart w:id="397"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39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20032" behindDoc="0" locked="0" layoutInCell="1" allowOverlap="1">
                <wp:simplePos x="0" y="0"/>
                <wp:positionH relativeFrom="column">
                  <wp:posOffset>-10160</wp:posOffset>
                </wp:positionH>
                <wp:positionV relativeFrom="paragraph">
                  <wp:posOffset>83185</wp:posOffset>
                </wp:positionV>
                <wp:extent cx="914400" cy="540385"/>
                <wp:effectExtent l="0" t="0" r="0" b="0"/>
                <wp:wrapNone/>
                <wp:docPr id="200" name="文本框 900"/>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026" o:spt="202" type="#_x0000_t202" style="position:absolute;left:0pt;margin-left:-0.8pt;margin-top:6.55pt;height:42.55pt;width:72pt;z-index:251820032;mso-width-relative:page;mso-height-relative:page;" filled="f" stroked="f" coordsize="21600,21600" o:gfxdata="UEsDBAoAAAAAAIdO4kAAAAAAAAAAAAAAAAAEAAAAZHJzL1BLAwQUAAAACACHTuJA8pXHbNYAAAAI&#10;AQAADwAAAGRycy9kb3ducmV2LnhtbE2PwU7DMBBE70j9B2srcWvXCaFqQ5weWnEF0QISNzfeJhHx&#10;OordJvw97gmOszOaeVtsJ9uJKw2+dawgWUoQxJUzLdcK3o/PizUIHzQb3TkmBT/kYVvO7gqdGzfy&#10;G10PoRaxhH2uFTQh9Dmirxqy2i9dTxy9sxusDlEONZpBj7HcdphKuUKrW44Lje5p11D1fbhYBR8v&#10;56/PTL7We/vYj26SyHaDSt3PE/kEItAU/sJww4/oUEamk7uw8aJTsEhWMRnvDwmIm5+lGYiTgs06&#10;BSwL/P9A+QtQSwMEFAAAAAgAh07iQNmLQQEWAgAAGAQAAA4AAABkcnMvZTJvRG9jLnhtbK1TzW4T&#10;MRC+I/EOlu9kk5BAu8qmKo2KkMqPVHgAx+vNWqw9ZuxkNzwAfQNOXLjzXHkOxt5tCOXSAxfLnhl/&#10;832fx4uLzjRsp9BrsAWfjMacKSuh1HZT8E8fr5+dceaDsKVowKqC75XnF8unTxaty9UUamhKhYxA&#10;rM9bV/A6BJdnmZe1MsKPwClLyQrQiEBH3GQlipbQTZNNx+MXWQtYOgSpvKfoqk/yAREfAwhVpaVa&#10;gdwaZUOPiqoRgST5WjvPl4ltVSkZ3leVV4E1BSelIa3UhPbruGbLhcg3KFyt5UBBPIbCA01GaEtN&#10;j1ArEQTbov4HymiJ4KEKIwkm64UkR0jFZPzAm9taOJW0kNXeHU33/w9Wvtt9QKbLgtPbcGaFoSc/&#10;fL87/Ph1+PmNnVOQLGqdz6ny1lFt6F5BR4OT5Hp3A/KzZxauamE36hIR2lqJkihO4s3s5GqP4yPI&#10;un0LJXUS2wAJqKvQRP/IEUboRGV/fB7VBSYpeD6ZzSJJSan5bPz8bJ46iPz+skMfXiswLG4KjvT6&#10;CVzsbnyIZER+XxJ7WbjWTZMmoLF/BagwRhL5yLdnHrp1N5ixhnJPMhD6gaLvRJsa8CtnLQ1Twf2X&#10;rUDFWfPGkhWJOU1fOszmL6ekAk8z69OMsJKgCh4467dXoZ/YrUO9qalTb76FS7Kv0kla9LlnNfCm&#10;gUmKh+GOE3l6TlV/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KVx2zWAAAACAEAAA8AAAAA&#10;AAAAAQAgAAAAIgAAAGRycy9kb3ducmV2LnhtbFBLAQIUABQAAAAIAIdO4kDZi0EBFgIAABgEAAAO&#10;AAAAAAAAAAEAIAAAACUBAABkcnMvZTJvRG9jLnhtbFBLBQYAAAAABgAGAFkBAACt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（1）合格的，再次检验试验费和（或）延误的工期由发包人承担，并向承包人支付合理利润。</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（2）不合格的，发包人供应的，再次检验试验费和（或）延误的工期由发包人承担，并向承包人支付合理利润；承包人采购的，再次检验试验费和（或）延误的工期由承包人承担。</w:t>
      </w:r>
    </w:p>
    <w:p>
      <w:pPr>
        <w:spacing w:line="360" w:lineRule="auto"/>
        <w:rPr>
          <w:rFonts w:ascii="仿宋" w:hAnsi="仿宋" w:eastAsia="仿宋"/>
          <w:color w:val="auto"/>
          <w:highlight w:val="none"/>
          <w:lang w:eastAsia="zh-CN"/>
        </w:rPr>
      </w:pPr>
      <w:bookmarkStart w:id="398"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color w:val="auto"/>
          <w:highlight w:val="none"/>
          <w:lang w:eastAsia="zh-CN" w:bidi="ar-SA"/>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199"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026" o:spt="202" type="#_x0000_t202" style="position:absolute;left:0pt;margin-left:-9pt;margin-top:19.3pt;height:54.35pt;width:72pt;z-index:251821056;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ByObKxYCAAAYBAAADgAAAGRycy9lMm9Eb2MueG1srVNL&#10;btswEN0X6B0I7mvJhpPWguUgjZGiQPoBkh6ApiiLqMhhh7Ql9wDtDbrqpvuey+fIiHRcN91k0Y1A&#10;coZv3nt8ml/0pmVbhV6DLfl4lHOmrIRK23XJP91dv3jFmQ/CVqIFq0q+U55fLJ4/m3euUBNooK0U&#10;MgKxvuhcyZsQXJFlXjbKCD8CpywVa0AjAm1xnVUoOkI3bTbJ8/OsA6wcglTe0+kyFfkBEZ8CCHWt&#10;pVqC3BhlQ0JF1YpAknyjneeLyLaulQwf6tqrwNqSk9IQvzSE1qvhmy3molijcI2WBwriKRQeaTJC&#10;Wxp6hFqKINgG9T9QRksED3UYSTBZEhIdIRXj/JE3t41wKmohq707mu7/H6x8v/2ITFeUhNmMMysM&#10;Pfn+x/f9z9/7X9/YLB8PFnXOF9R566g39K+hp/Yo17sbkJ89s3DVCLtWl4jQNUpURDHezE6uJhw/&#10;gKy6d1DRJLEJEIH6Gs3gHznCCJ2eZ3d8HtUHJulwNp5Oc6pIKp3P8sn0bOCWieLhskMf3igwbFiU&#10;HOn1I7jY3viQWh9ahlkWrnXbxgS09q8DwhxOIvmBb2Ie+lV/MGMF1Y5kIKRA0e9EiwbwK2cdhank&#10;/stGoOKsfWvJisic0hc307OXE1KBp5XVaUVYSVAlD5yl5VVIid041OuGJiXzLVySfbWO0gafE6sD&#10;bwpMNOcQ7iGRp/vY9eeHXt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c+h9gAAAAKAQAADwAA&#10;AAAAAAABACAAAAAiAAAAZHJzL2Rvd25yZXYueG1sUEsBAhQAFAAAAAgAh07iQAcjmysWAgAAGAQA&#10;AA4AAAAAAAAAAQAgAAAAJwEAAGRycy9lMm9Eb2MueG1sUEsFBgAAAAAGAAYAWQEAAK8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398"/>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pPr>
        <w:pStyle w:val="13"/>
        <w:adjustRightInd w:val="0"/>
        <w:snapToGrid w:val="0"/>
        <w:spacing w:line="360" w:lineRule="auto"/>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399" w:name="_Toc47694333"/>
      <w:bookmarkStart w:id="400" w:name="_Toc29792"/>
      <w:bookmarkStart w:id="401" w:name="_Toc7105"/>
      <w:r>
        <w:rPr>
          <w:rFonts w:ascii="仿宋" w:hAnsi="仿宋" w:eastAsia="仿宋" w:cs="仿宋"/>
          <w:bCs w:val="0"/>
          <w:color w:val="auto"/>
          <w:sz w:val="24"/>
          <w:szCs w:val="24"/>
          <w:highlight w:val="none"/>
        </w:rPr>
        <w:t>5</w:t>
      </w:r>
      <w:r>
        <w:rPr>
          <w:rFonts w:hint="eastAsia" w:ascii="仿宋" w:hAnsi="仿宋" w:eastAsia="仿宋" w:cs="仿宋"/>
          <w:bCs w:val="0"/>
          <w:color w:val="auto"/>
          <w:sz w:val="24"/>
          <w:szCs w:val="24"/>
          <w:highlight w:val="none"/>
        </w:rPr>
        <w:t>8</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施工设备和临时设施</w:t>
      </w:r>
      <w:bookmarkEnd w:id="399"/>
      <w:bookmarkEnd w:id="400"/>
      <w:bookmarkEnd w:id="401"/>
    </w:p>
    <w:p>
      <w:pPr>
        <w:spacing w:line="360" w:lineRule="auto"/>
        <w:rPr>
          <w:rFonts w:ascii="仿宋" w:hAnsi="仿宋" w:eastAsia="仿宋" w:cs="仿宋"/>
          <w:b/>
          <w:bCs/>
          <w:color w:val="auto"/>
          <w:highlight w:val="none"/>
          <w:lang w:eastAsia="zh-CN"/>
        </w:rPr>
      </w:pPr>
      <w:bookmarkStart w:id="402"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402"/>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22080" behindDoc="0" locked="0" layoutInCell="1" allowOverlap="1">
                <wp:simplePos x="0" y="0"/>
                <wp:positionH relativeFrom="column">
                  <wp:posOffset>-111760</wp:posOffset>
                </wp:positionH>
                <wp:positionV relativeFrom="paragraph">
                  <wp:posOffset>100965</wp:posOffset>
                </wp:positionV>
                <wp:extent cx="988060" cy="753110"/>
                <wp:effectExtent l="0" t="0" r="0" b="0"/>
                <wp:wrapNone/>
                <wp:docPr id="198" name="文本框 902"/>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026" o:spt="202" type="#_x0000_t202" style="position:absolute;left:0pt;margin-left:-8.8pt;margin-top:7.95pt;height:59.3pt;width:77.8pt;z-index:251822080;mso-width-relative:page;mso-height-relative:page;" filled="f" stroked="f" coordsize="21600,21600" o:gfxdata="UEsDBAoAAAAAAIdO4kAAAAAAAAAAAAAAAAAEAAAAZHJzL1BLAwQUAAAACACHTuJAY+GbWNcAAAAK&#10;AQAADwAAAGRycy9kb3ducmV2LnhtbE2PzU7DMBCE70i8g7WVuLV2oCltGqcHEFcQ5UfqzY23SdR4&#10;HcVuE96ezQluO5pPszP5bnStuGIfGk8akoUCgVR621Cl4fPjZb4GEaIha1pPqOEHA+yK25vcZNYP&#10;9I7XfawEh1DIjIY6xi6TMpQ1OhMWvkNi7+R7ZyLLvpK2NwOHu1beK7WSzjTEH2rT4VON5Xl/cRq+&#10;Xk+H76V6q55d2g1+VJLcRmp9N0vUFkTEMf7BMNXn6lBwp6O/kA2i1TBPHleMspFuQEzAw5rHHadj&#10;mYIscvl/QvELUEsDBBQAAAAIAIdO4kCcZs2/GgIAABgEAAAOAAAAZHJzL2Uyb0RvYy54bWytU0tu&#10;2zAQ3RfoHQjua0muk9iC5SCNkaJA+gHSHoCmKIuoxGGHtCX3AM0Nuuqm+57L5+iQclw33WTRDUFy&#10;hm/eezOcX/Ztw7YKnQZT8GyUcqaMhFKbdcE/fbx5MeXMeWFK0YBRBd8pxy8Xz5/NO5urMdTQlAoZ&#10;gRiXd7bgtfc2TxIna9UKNwKrDAUrwFZ4OuI6KVF0hN42yThNz5MOsLQIUjlHt8shyA+I+BRAqCot&#10;1RLkplXGD6ioGuFJkqu1dXwR2VaVkv59VTnlWVNwUurjSkVovwprspiLfI3C1loeKIinUHikqRXa&#10;UNEj1FJ4wTao/4FqtURwUPmRhDYZhERHSEWWPvLmrhZWRS1ktbNH093/g5Xvth+Q6ZImYUaNN6Kl&#10;lu+/3+9//Nr//MZm6ThY1FmXU+adpVzfv4Ke0qNcZ29BfnbMwHUtzFpdIUJXK1ESxSy8TE6eDjgu&#10;gKy6t1BSJbHxEIH6CtvgHznCCJ3aszu2R/WeSbqcTafpOUUkhS7OXmZZbF8i8ofHFp1/raBlYVNw&#10;pO5HcLG9dT6QEflDSqhl4EY3TZyAxvx1QYnhJpIPfAfmvl/1BzNWUO5IBsIwUPSdaFMDfuWso2Eq&#10;uPuyEag4a94YsmKWTSZh+uJhcnYxpgOeRlanEWEkQRXcczZsr/0wsRuLel1TpcF8A1dkX6WjtODz&#10;wOrAmwYmKj4Md5jI03PM+vOh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GbWNcAAAAKAQAA&#10;DwAAAAAAAAABACAAAAAiAAAAZHJzL2Rvd25yZXYueG1sUEsBAhQAFAAAAAgAh07iQJxmzb8aAgAA&#10;GAQAAA4AAAAAAAAAAQAgAAAAJgEAAGRycy9lMm9Eb2MueG1sUEsFBgAAAAAGAAYAWQEAALIFAAAA&#10;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lang w:eastAsia="zh-CN"/>
        </w:rPr>
        <w:t xml:space="preserve">承包人应按合同工程进度计划的要求，及时配置施工设备和修建临时设施。除专用条款另有约定外，承包人应自行承担修建临时设施的费用。需要临时占地的，发包人应办理其申请手续并承担相应费用。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pPr>
        <w:spacing w:line="360" w:lineRule="auto"/>
        <w:rPr>
          <w:rFonts w:ascii="仿宋" w:hAnsi="仿宋" w:eastAsia="仿宋"/>
          <w:color w:val="auto"/>
          <w:highlight w:val="none"/>
          <w:lang w:eastAsia="zh-CN"/>
        </w:rPr>
      </w:pPr>
      <w:bookmarkStart w:id="403"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403"/>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28576" behindDoc="0" locked="0" layoutInCell="1" allowOverlap="1">
                <wp:simplePos x="0" y="0"/>
                <wp:positionH relativeFrom="column">
                  <wp:posOffset>-66675</wp:posOffset>
                </wp:positionH>
                <wp:positionV relativeFrom="paragraph">
                  <wp:posOffset>18415</wp:posOffset>
                </wp:positionV>
                <wp:extent cx="873760" cy="488315"/>
                <wp:effectExtent l="0" t="0" r="0" b="0"/>
                <wp:wrapNone/>
                <wp:docPr id="197" name="文本框 903"/>
                <wp:cNvGraphicFramePr/>
                <a:graphic xmlns:a="http://schemas.openxmlformats.org/drawingml/2006/main">
                  <a:graphicData uri="http://schemas.microsoft.com/office/word/2010/wordprocessingShape">
                    <wps:wsp>
                      <wps:cNvSpPr txBox="1">
                        <a:spLocks noChangeArrowheads="1"/>
                      </wps:cNvSpPr>
                      <wps:spPr bwMode="auto">
                        <a:xfrm>
                          <a:off x="0" y="0"/>
                          <a:ext cx="873760" cy="488315"/>
                        </a:xfrm>
                        <a:prstGeom prst="rect">
                          <a:avLst/>
                        </a:prstGeom>
                        <a:noFill/>
                        <a:ln>
                          <a:noFill/>
                        </a:ln>
                      </wps:spPr>
                      <wps:txb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026" o:spt="202" type="#_x0000_t202" style="position:absolute;left:0pt;margin-left:-5.25pt;margin-top:1.45pt;height:38.45pt;width:68.8pt;z-index:251928576;mso-width-relative:page;mso-height-relative:page;" filled="f" stroked="f" coordsize="21600,21600" o:gfxdata="UEsDBAoAAAAAAIdO4kAAAAAAAAAAAAAAAAAEAAAAZHJzL1BLAwQUAAAACACHTuJAhitNo9YAAAAI&#10;AQAADwAAAGRycy9kb3ducmV2LnhtbE2PzU7DMBCE70i8g7VI3Fo7EaVNyKaHVlxB9AeJmxtvk4h4&#10;HcVuE94e9wTH0YxmvinWk+3ElQbfOkZI5goEceVMyzXCYf86W4HwQbPRnWNC+CEP6/L+rtC5cSN/&#10;0HUXahFL2OcaoQmhz6X0VUNW+7nriaN3doPVIcqhlmbQYyy3nUyVepZWtxwXGt3TpqHqe3exCMe3&#10;89fnk3qvt3bRj25Skm0mER8fEvUCItAU/sJww4/oUEamk7uw8aJDmCVqEaMIaQbi5qfLBMQJYZmt&#10;QJaF/H+g/AVQSwMEFAAAAAgAh07iQDFGfoQZAgAAGAQAAA4AAABkcnMvZTJvRG9jLnhtbK1TS27b&#10;MBDdF+gdCO5r+ZfYFiwHaYwUBdIPkPYANEVZRCUOO6QtuQdob9BVN933XD5Hh5Tiuukmi24EkjN8&#10;897j0/KqrSu2V+g0mIyPBkPOlJGQa7PN+McPty/mnDkvTC4qMCrjB+X41er5s2VjUzWGEqpcISMQ&#10;49LGZrz03qZJ4mSpauEGYJWhYgFYC09b3CY5iobQ6yoZD4eXSQOYWwSpnKPTdVfkPSI+BRCKQku1&#10;BrmrlfEdKqpKeJLkSm0dX0W2RaGkf1cUTnlWZZyU+vilIbTehG+yWop0i8KWWvYUxFMoPNJUC21o&#10;6AlqLbxgO9T/QNVaIjgo/EBCnXRCoiOkYjR85M19KayKWshqZ0+mu/8HK9/u3yPTOSVhMePMiJqe&#10;/Pj92/HHr+PPr2wxnASLGutS6ry31Ovbl9BSe5Tr7B3IT44ZuCmF2aprRGhKJXKiOAo3k7OrHY4L&#10;IJvmDeQ0Sew8RKC2wDr4R44wQqfnOZyeR7WeSTqczyazS6pIKk3n88noIk4Q6cNli86/UlCzsMg4&#10;0utHcLG/cz6QEelDS5hl4FZXVUxAZf46oMZwEskHvh1z327a3owN5AeSgdAFin4nWpSAXzhrKEwZ&#10;d593AhVn1WtDVixG02lIX9xML2Zj2uB5ZXNeEUYSVMY9Z93yxneJ3VnU25ImdeYbuCb7Ch2lBZ87&#10;Vj1vCkxU3Ic7JPJ8H7v+/NC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YrTaPWAAAACAEAAA8A&#10;AAAAAAAAAQAgAAAAIgAAAGRycy9kb3ducmV2LnhtbFBLAQIUABQAAAAIAIdO4kAxRn6EGQIAABgE&#10;AAAOAAAAAAAAAAEAIAAAACUBAABkcnMvZTJvRG9jLnhtbFBLBQYAAAAABgAGAFkBAACwBQAAAAA=&#10;">
                <v:fill on="f" focussize="0,0"/>
                <v:stroke on="f"/>
                <v:imagedata o:title=""/>
                <o:lock v:ext="edit" aspectratio="f"/>
                <v:textbo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pPr>
        <w:spacing w:line="360" w:lineRule="auto"/>
        <w:rPr>
          <w:rFonts w:ascii="仿宋" w:hAnsi="仿宋" w:eastAsia="仿宋"/>
          <w:b/>
          <w:bCs/>
          <w:color w:val="auto"/>
          <w:highlight w:val="none"/>
          <w:lang w:eastAsia="zh-CN"/>
        </w:rPr>
      </w:pPr>
      <w:bookmarkStart w:id="404"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4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196" name="文本框 904"/>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026" o:spt="202" type="#_x0000_t202" style="position:absolute;left:0pt;margin-left:-5.8pt;margin-top:0.7pt;height:51.95pt;width:68.8pt;z-index:251823104;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JdfUkhoCAAAYBAAADgAAAGRycy9lMm9Eb2MueG1srVNLbtsw&#10;EN0X6B0I7mvJrj+xYDlIY6QokH6AtAegKcoiKnHYIW3JPUBzg6666b7n8jk6pBzXTTdZdCOQnOGb&#10;9x6fFpddU7OdQqfB5Hw4SDlTRkKhzSbnnz7evLjgzHlhClGDUTnfK8cvl8+fLVqbqRFUUBcKGYEY&#10;l7U255X3NksSJyvVCDcAqwwVS8BGeNriJilQtITe1MkoTadJC1hYBKmco9NVX+RHRHwKIJSllmoF&#10;ctso43tUVLXwJMlV2jq+jGzLUkn/viyd8qzOOSn18UtDaL0O32S5ENkGha20PFIQT6HwSFMjtKGh&#10;J6iV8IJtUf8D1WiJ4KD0AwlN0guJjpCKYfrIm7tKWBW1kNXOnkx3/w9Wvtt9QKYLSsJ8ypkRDT35&#10;4fv94cevw89vbJ6Og0WtdRl13lnq9d0r6Kg9ynX2FuRnxwxcV8Js1BUitJUSBVEchpvJ2dUexwWQ&#10;dfsWCpokth4iUFdiE/wjRxih0/PsT8+jOs8kHV7MXs6mVJFUmk7ms+kkThDZw2WLzr9W0LCwyDnS&#10;60dwsbt1PpAR2UNLmGXgRtd1TEBt/jqgxnASyQe+PXPfrbujGWso9iQDoQ8U/U60qAC/ctZSmHLu&#10;vmwFKs7qN4asmA/H45C+uBlPZiPa4HllfV4RRhJUzj1n/fLa94ndWtSbiib15hu4IvtKHaUFn3tW&#10;R94UmKj4GO6QyPN97Prz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phSAHVAAAACQEAAA8A&#10;AAAAAAAAAQAgAAAAIgAAAGRycy9kb3ducmV2LnhtbFBLAQIUABQAAAAIAIdO4kAl19SSGgIAABgE&#10;AAAOAAAAAAAAAAEAIAAAACQBAABkcnMvZTJvRG9jLnhtbFBLBQYAAAAABgAGAFkBAACw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pPr>
        <w:spacing w:line="360" w:lineRule="auto"/>
        <w:rPr>
          <w:rFonts w:ascii="仿宋" w:hAnsi="仿宋" w:eastAsia="仿宋"/>
          <w:b/>
          <w:bCs/>
          <w:color w:val="auto"/>
          <w:highlight w:val="none"/>
          <w:lang w:eastAsia="zh-CN"/>
        </w:rPr>
      </w:pPr>
      <w:bookmarkStart w:id="405"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4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lang w:eastAsia="zh-CN" w:bidi="ar-SA"/>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195" name="文本框 905"/>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026" o:spt="202" type="#_x0000_t202" style="position:absolute;left:0pt;margin-left:-9pt;margin-top:3.65pt;height:51.9pt;width:72pt;z-index:251824128;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0SAQJxgCAAAYBAAADgAAAGRycy9lMm9Eb2MueG1srVPNbhMx&#10;EL4j8Q6W72Q3ISlklU1VGhUhlR+p8ACO15u1WHvM2MlueQD6Bpy4cOe58hyMvWkI5dIDF8v2jL/5&#10;vm/Gi/PetGyn0GuwJR+Pcs6UlVBpuyn5p49Xz15y5oOwlWjBqpLfKs/Pl0+fLDpXqAk00FYKGYFY&#10;X3Su5E0IrsgyLxtlhB+BU5aCNaARgY64ySoUHaGbNpvk+VnWAVYOQSrv6XY1BPkBER8DCHWtpVqB&#10;3Bplw4CKqhWBJPlGO8+XiW1dKxne17VXgbUlJ6UhrVSE9uu4ZsuFKDYoXKPlgYJ4DIUHmozQlooe&#10;oVYiCLZF/Q+U0RLBQx1GEkw2CEmOkIpx/sCbm0Y4lbSQ1d4dTff/D1a+231ApiuahPmMMysMtXz/&#10;/W7/49f+5zc2z2fRos75gjJvHOWG/hX0lJ7kencN8rNnFi4bYTfqAhG6RomKKI7jy+zk6YDjI8i6&#10;ewsVVRLbAAmor9FE/8gRRujUnttje1QfmKTL+Xg6zSkiKXQ2m4+fp/Zlorh/7NCH1woMi5uSI3U/&#10;gYvdtQ+RjCjuU2ItC1e6bdMEtPavC0qMN4l85DswD/26P5ixhuqWZCAMA0XfiTYN4FfOOhqmkvsv&#10;W4GKs/aNJSsSc5q+dJjOXkxIBZ5G1qcRYSVBlTxwNmwvwzCxW4d601ClwXwLF2RfrZO06PPA6sCb&#10;BiYpPgx3nMjTc8r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jqlI1QAAAAkBAAAPAAAA&#10;AAAAAAEAIAAAACIAAABkcnMvZG93bnJldi54bWxQSwECFAAUAAAACACHTuJA0SAQJxgCAAAYBAAA&#10;DgAAAAAAAAABACAAAAAkAQAAZHJzL2Uyb0RvYy54bWxQSwUGAAAAAAYABgBZAQAArg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pPr>
        <w:pStyle w:val="22"/>
        <w:tabs>
          <w:tab w:val="left" w:pos="54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06" w:name="_Toc47694334"/>
      <w:bookmarkStart w:id="407" w:name="_Toc16139"/>
      <w:bookmarkStart w:id="408" w:name="_Toc14476"/>
      <w:r>
        <w:rPr>
          <w:rFonts w:hint="eastAsia" w:ascii="仿宋" w:hAnsi="仿宋" w:eastAsia="仿宋" w:cs="仿宋"/>
          <w:bCs w:val="0"/>
          <w:color w:val="auto"/>
          <w:sz w:val="24"/>
          <w:szCs w:val="24"/>
          <w:highlight w:val="none"/>
        </w:rPr>
        <w:t>★59</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工程质量检查</w:t>
      </w:r>
      <w:bookmarkEnd w:id="406"/>
      <w:bookmarkEnd w:id="407"/>
      <w:bookmarkEnd w:id="408"/>
    </w:p>
    <w:p>
      <w:pPr>
        <w:spacing w:line="360" w:lineRule="auto"/>
        <w:rPr>
          <w:rFonts w:ascii="仿宋" w:hAnsi="仿宋" w:eastAsia="仿宋" w:cs="仿宋"/>
          <w:b/>
          <w:bCs/>
          <w:color w:val="auto"/>
          <w:highlight w:val="none"/>
          <w:lang w:eastAsia="zh-CN"/>
        </w:rPr>
      </w:pPr>
      <w:bookmarkStart w:id="409"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409"/>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194" name="文本框 906"/>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w:t>
                            </w:r>
                          </w:p>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w:pict>
              <v:shape id="文本框 906" o:spid="_x0000_s1026" o:spt="202" type="#_x0000_t202" style="position:absolute;left:0pt;margin-left:-5.8pt;margin-top:0.45pt;height:41.15pt;width:77.8pt;z-index:251825152;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IB1yaRkCAAAYBAAADgAAAGRycy9lMm9Eb2MueG1srVNBjtMw&#10;FN0jcQfLe5q0aksbNR0NUw1CGmCkgQO4jtNYJP7m221SDgA3mBUb9pyr55hvp1PKsJkFm8j2/37/&#10;veeXxUXX1Gyn0GkwOR8OUs6UkVBos8n550/Xr2acOS9MIWowKud75fjF8uWLRWszNYIK6kIhIxDj&#10;stbmvPLeZkniZKUa4QZglaFiCdgIT1vcJAWKltCbOhml6TRpAQuLIJVzdLrqi/yIiM8BhLLUUq1A&#10;bhtlfI+KqhaeJLlKW8eXkW1ZKuk/lqVTntU5J6U+fmkIrdfhmywXItugsJWWRwriORSeaGqENjT0&#10;BLUSXrAt6n+gGi0RHJR+IKFJeiHREVIxTJ94c1cJq6IWstrZk+nu/8HKD7tbZLqgJMzHnBnR0JMf&#10;7n8cfv4+/PrO5uk0WNRal1HnnaVe372BjtqjXGdvQH5xzMBVJcxGXSJCWylREMVhuJmcXe1xXABZ&#10;t++hoEli6yECdSU2wT9yhBE6Pc/+9Dyq80zS4Xw2S6dUkVSajEbTdBIniOzxskXn3ypoWFjkHOn1&#10;I7jY3TgfyIjssSXMMnCt6zomoDZ/HVBjOInkA9+eue/W3dGMNRR7koHQB4p+J1pUgN84aylMOXdf&#10;twIVZ/U7Q1bMh+NxSF/cjCevR7TB88r6vCKMJKice8765ZXvE7u1qDcVTerNN3BJ9pU6Sgs+96yO&#10;vCkwUfEx3CGR5/vY9eeHXj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bvpUdUAAAAHAQAADwAA&#10;AAAAAAABACAAAAAiAAAAZHJzL2Rvd25yZXYueG1sUEsBAhQAFAAAAAgAh07iQCAdcmkZAgAAGAQA&#10;AA4AAAAAAAAAAQAgAAAAJAEAAGRycy9lMm9Eb2MueG1sUEsFBgAAAAAGAAYAWQEAAK8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w:t>
                      </w:r>
                    </w:p>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质量检查的义</w:t>
                      </w:r>
                    </w:p>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pPr>
        <w:spacing w:line="360" w:lineRule="auto"/>
        <w:rPr>
          <w:rFonts w:ascii="仿宋" w:hAnsi="仿宋" w:eastAsia="仿宋"/>
          <w:b/>
          <w:bCs/>
          <w:color w:val="auto"/>
          <w:highlight w:val="none"/>
          <w:lang w:eastAsia="zh-CN"/>
        </w:rPr>
      </w:pPr>
      <w:bookmarkStart w:id="410"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4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26176" behindDoc="0" locked="0" layoutInCell="1" allowOverlap="1">
                <wp:simplePos x="0" y="0"/>
                <wp:positionH relativeFrom="column">
                  <wp:posOffset>-134620</wp:posOffset>
                </wp:positionH>
                <wp:positionV relativeFrom="paragraph">
                  <wp:posOffset>103505</wp:posOffset>
                </wp:positionV>
                <wp:extent cx="873760" cy="448310"/>
                <wp:effectExtent l="0" t="0" r="0" b="0"/>
                <wp:wrapNone/>
                <wp:docPr id="193" name="文本框 907"/>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026" o:spt="202" type="#_x0000_t202" style="position:absolute;left:0pt;margin-left:-10.6pt;margin-top:8.15pt;height:35.3pt;width:68.8pt;z-index:251826176;mso-width-relative:page;mso-height-relative:page;" filled="f" stroked="f" coordsize="21600,21600" o:gfxdata="UEsDBAoAAAAAAIdO4kAAAAAAAAAAAAAAAAAEAAAAZHJzL1BLAwQUAAAACACHTuJAXIILetcAAAAJ&#10;AQAADwAAAGRycy9kb3ducmV2LnhtbE2Py07DMBBF90j8gzVI7Fo7oURtyKSLVmxB9IHEzo2nSUQ8&#10;jmK3CX+Pu4Ll6B7de6ZYT7YTVxp86xghmSsQxJUzLdcIh/3rbAnCB81Gd44J4Yc8rMv7u0Lnxo38&#10;QdddqEUsYZ9rhCaEPpfSVw1Z7eeuJ47Z2Q1Wh3gOtTSDHmO57WSqVCatbjkuNLqnTUPV9+5iEY5v&#10;56/PhXqvt/a5H92kJNuVRHx8SNQLiEBT+IPhph/VoYxOJ3dh40WHMEuTNKIxyJ5A3IAkW4A4ISyz&#10;FciykP8/KH8BUEsDBBQAAAAIAIdO4kCfV6E8GgIAABgEAAAOAAAAZHJzL2Uyb0RvYy54bWytU0tu&#10;2zAQ3RfoHQjua/nX2BYsB2mMFAXSD5D2ADRFWUQlDjukLbkHaG7QVTfd91w+R4eU4rrpJotuCJIz&#10;fPPem+Hysq0rtlfoNJiMjwZDzpSRkGuzzfinjzcv5pw5L0wuKjAq4wfl+OXq+bNlY1M1hhKqXCEj&#10;EOPSxma89N6mSeJkqWrhBmCVoWABWAtPR9wmOYqG0OsqGQ+HF0kDmFsEqZyj23UX5D0iPgUQikJL&#10;tQa5q5XxHSqqSniS5EptHV9FtkWhpH9fFE55VmWclPq4UhHab8KarJYi3aKwpZY9BfEUCo801UIb&#10;KnqCWgsv2A71P1C1lggOCj+QUCedkOgIqRgNH3lzVwqrohay2tmT6e7/wcp3+w/IdE6TsJhwZkRN&#10;LT9+vz/++HX8+Y0thrNgUWNdSpl3lnJ9+wpaSo9ynb0F+dkxA9elMFt1hQhNqUROFEfhZXL2tMNx&#10;AWTTvIWcKomdhwjUFlgH/8gRRujUnsOpPar1TNLlfDaZXVBEUmg6nU9GsX2JSB8eW3T+tYKahU3G&#10;kbofwcX+1vlARqQPKaGWgRtdVXECKvPXBSWGm0g+8O2Y+3bT9mZsID+QDIRuoOg70aYE/MpZQ8OU&#10;cfdlJ1BxVr0xZMViNJ2G6YuH6cvZmA54HtmcR4SRBJVxz1m3vfbdxO4s6m1JlTrzDVyRfYWO0oLP&#10;HaueNw1MVNwPd5jI83PM+vOh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IILetcAAAAJAQAA&#10;DwAAAAAAAAABACAAAAAiAAAAZHJzL2Rvd25yZXYueG1sUEsBAhQAFAAAAAgAh07iQJ9XoTwaAgAA&#10;GAQAAA4AAAAAAAAAAQAgAAAAJgEAAGRycy9lMm9Eb2MueG1sUEsFBgAAAAAGAAYAWQEAALIFAAAA&#10;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pPr>
        <w:spacing w:line="360" w:lineRule="auto"/>
        <w:rPr>
          <w:rFonts w:ascii="仿宋" w:hAnsi="仿宋" w:eastAsia="仿宋"/>
          <w:b/>
          <w:bCs/>
          <w:color w:val="auto"/>
          <w:highlight w:val="none"/>
          <w:lang w:eastAsia="zh-CN"/>
        </w:rPr>
      </w:pPr>
      <w:bookmarkStart w:id="411"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4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27200" behindDoc="0" locked="0" layoutInCell="1" allowOverlap="1">
                <wp:simplePos x="0" y="0"/>
                <wp:positionH relativeFrom="margin">
                  <wp:align>left</wp:align>
                </wp:positionH>
                <wp:positionV relativeFrom="paragraph">
                  <wp:posOffset>126365</wp:posOffset>
                </wp:positionV>
                <wp:extent cx="873760" cy="659765"/>
                <wp:effectExtent l="0" t="0" r="0" b="6985"/>
                <wp:wrapNone/>
                <wp:docPr id="192" name="文本框 908"/>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026" o:spt="202" type="#_x0000_t202" style="position:absolute;left:0pt;margin-top:9.95pt;height:51.95pt;width:68.8pt;mso-position-horizontal:left;mso-position-horizontal-relative:margin;z-index:251827200;mso-width-relative:page;mso-height-relative:page;" filled="f" stroked="f" coordsize="21600,21600" o:gfxdata="UEsDBAoAAAAAAIdO4kAAAAAAAAAAAAAAAAAEAAAAZHJzL1BLAwQUAAAACACHTuJA7zEDK9UAAAAH&#10;AQAADwAAAGRycy9kb3ducmV2LnhtbE2PT0/DMAzF70h8h8hI3FiyDcZamu4A4gpi/JG4eY3XVjRO&#10;1WRr+fZ4J3bz87Pe+7nYTL5TRxpiG9jCfGZAEVfBtVxb+Hh/vlmDignZYReYLPxShE15eVFg7sLI&#10;b3TcplpJCMccLTQp9bnWsWrIY5yFnli8fRg8JpFDrd2Ao4T7Ti+MWWmPLUtDgz09NlT9bA/ewufL&#10;/vvr1rzWT/6uH8NkNPtMW3t9NTcPoBJN6f8YTviCDqUw7cKBXVSdBXkkyTbLQJ3c5f0K1E6GxXIN&#10;uiz0OX/5B1BLAwQUAAAACACHTuJA8tjhiBkCAAAYBAAADgAAAGRycy9lMm9Eb2MueG1srVNLbtsw&#10;EN0X6B0I7mvZrr+C5SCNkaJA2hRIewCaoiyiEocd0pbcAzQ36Kqb7nMun6NDynHddJNFNwLJGb55&#10;7/FpcdHWFdspdBpMxge9PmfKSMi12WT886frVzPOnBcmFxUYlfG9cvxi+fLForGpGkIJVa6QEYhx&#10;aWMzXnpv0yRxslS1cD2wylCxAKyFpy1ukhxFQ+h1lQz7/UnSAOYWQSrn6HTVFfkREZ8DCEWhpVqB&#10;3NbK+A4VVSU8SXKlto4vI9uiUNLfFoVTnlUZJ6U+fmkIrdfhmywXIt2gsKWWRwriORSeaKqFNjT0&#10;BLUSXrAt6n+gai0RHBS+J6FOOiHREVIx6D/x5q4UVkUtZLWzJ9Pd/4OVH3YfkemckjAfcmZETU9+&#10;+HF/+Plw+PWdzfuzYFFjXUqdd5Z6ffsGWmqPcp29AfnFMQNXpTAbdYkITalEThQH4WZydrXDcQFk&#10;3byHnCaJrYcI1BZYB//IEUbo9Dz70/Oo1jNJh7Pp6+mEKpJKk/F8OhnHCSJ9vGzR+bcKahYWGUd6&#10;/QgudjfOBzIifWwJswxc66qKCajMXwfUGE4i+cC3Y+7bdXs0Yw35nmQgdIGi34kWJeA3zhoKU8bd&#10;161AxVn1zpAV88FoFNIXN6PxdEgbPK+szyvCSILKuOesW175LrFbi3pT0qTOfAOXZF+ho7Tgc8fq&#10;yJsCExUfwx0Seb6PXX9+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zEDK9UAAAAHAQAADwAA&#10;AAAAAAABACAAAAAiAAAAZHJzL2Rvd25yZXYueG1sUEsBAhQAFAAAAAgAh07iQPLY4YgZAgAAG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spacing w:line="360" w:lineRule="auto"/>
        <w:rPr>
          <w:rFonts w:ascii="仿宋" w:hAnsi="仿宋" w:eastAsia="仿宋"/>
          <w:b/>
          <w:bCs/>
          <w:color w:val="auto"/>
          <w:highlight w:val="none"/>
          <w:lang w:eastAsia="zh-CN"/>
        </w:rPr>
      </w:pPr>
      <w:bookmarkStart w:id="412"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4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1" name="文本框 909"/>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026" o:spt="202" type="#_x0000_t202" style="position:absolute;left:0pt;margin-left:-9pt;margin-top:3.65pt;height:34.65pt;width:72pt;z-index:251828224;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twtCvFQIAABgEAAAOAAAAZHJzL2Uyb0RvYy54bWytU0uOEzEQ&#10;3SNxB8t70p0oAdJKZzRMNAhp+EgDB3Dc7rRF22XKTrrDAeAGs2LDnnPlHJTdmRCGzSzYWGVX+dV7&#10;z+XFRW9atlPoNdiSj0c5Z8pKqLTdlPzTx+tnLznzQdhKtGBVyffK84vl0yeLzhVqAg20lUJGINYX&#10;nSt5E4IrsszLRhnhR+CUpWQNaESgLW6yCkVH6KbNJnn+POsAK4cglfd0uhqS/IiIjwGEutZSrUBu&#10;jbJhQEXVikCSfKOd58vEtq6VDO/r2qvA2pKT0pBWakLxOq7ZciGKDQrXaHmkIB5D4YEmI7Slpieo&#10;lQiCbVH/A2W0RPBQh5EEkw1CkiOkYpw/8Oa2EU4lLWS1dyfT/f+Dle92H5DpiiZhPubMCkNPfrj7&#10;fvjx6/DzG5vn82hR53xBlbeOakP/CnoqT3K9uwH52TMLV42wG3WJCF2jREUUx/FmdnZ1wPERZN29&#10;hYo6iW2ABNTXaKJ/5AgjdHqe/el5VB+YpMP5eDrNKSMpFaPZLHUQxf1lhz68VmBYDEqO9PoJXOxu&#10;fIhkRHFfEntZuNZtmyagtX8dUGE8SeQj34F56Nf90Yw1VHuSgTAMFH0nChrAr5x1NEwl91+2AhVn&#10;7RtLViTmNH1pM529mJAKPM+szzPCSoIqeeBsCK/CMLFbh3rTUKfBfAuXZF+tk7To88DqyJsGJik+&#10;DnecyPN9qvrzo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8aGEHUAAAACAEAAA8AAAAAAAAA&#10;AQAgAAAAIgAAAGRycy9kb3ducmV2LnhtbFBLAQIUABQAAAAIAIdO4kDtwtCvFQIAABgEAAAOAAAA&#10;AAAAAAEAIAAAACMBAABkcnMvZTJvRG9jLnhtbFBLBQYAAAAABgAGAFkBAAC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pPr>
        <w:spacing w:line="360" w:lineRule="auto"/>
        <w:rPr>
          <w:rFonts w:ascii="仿宋" w:hAnsi="仿宋" w:eastAsia="仿宋"/>
          <w:b/>
          <w:bCs/>
          <w:color w:val="auto"/>
          <w:highlight w:val="none"/>
          <w:lang w:eastAsia="zh-CN"/>
        </w:rPr>
      </w:pPr>
      <w:bookmarkStart w:id="413"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4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190" name="文本框 910"/>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026" o:spt="202" type="#_x0000_t202" style="position:absolute;left:0pt;margin-left:-9pt;margin-top:3.65pt;height:34.65pt;width:72pt;z-index:251829248;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EdZVOFAIAABgEAAAOAAAAZHJzL2Uyb0RvYy54bWytU0uOEzEQ&#10;3SNxB8t70kmUAGmlMxomGoQ0fKSBAzhud7dF22XKTrrDAeAGrNiw51w5B2V3JhOGzSzYWGVX+dV7&#10;z+XlRW9atlPoNdiCT0ZjzpSVUGpbF/zTx+tnLznzQdhStGBVwffK84vV0yfLzuVqCg20pUJGINbn&#10;nSt4E4LLs8zLRhnhR+CUpWQFaESgLdZZiaIjdNNm0/H4edYBlg5BKu/pdD0k+RERHwMIVaWlWoPc&#10;GmXDgIqqFYEk+UY7z1eJbVUpGd5XlVeBtQUnpSGt1ITiTVyz1VLkNQrXaHmkIB5D4YEmI7Slpieo&#10;tQiCbVH/A2W0RPBQhZEEkw1CkiOkYjJ+4M1tI5xKWshq706m+/8HK9/tPiDTJU3CgjyxwtCTH358&#10;P/z8ffj1jS0myaLO+Zwqbx3Vhv4V9FSe5Hp3A/KzZxauGmFrdYkIXaNESRQn0dzs7Gp8FJ/7CLLp&#10;3kJJncQ2QALqKzTRP3KEETpR2Z+eR/WBSTpcTGazMWUkpWI0n6cOIr+77NCH1woMi0HBkV4/gYvd&#10;jQ+RjMjvSmIvC9e6bdMEtPavAyqMJ4l85DswD/2mp+ooYgPlnmQgDANF34mCBvArZx0NU8H9l61A&#10;xVn7xpIViTlNX9rM5i+mpALPM5vzjLCSoAoeOBvCqzBM7NahrhvqNJhv4ZLsq3SSds/qyJsGJik+&#10;DnecyPN9qrr/0K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xoYQdQAAAAIAQAADwAAAAAAAAAB&#10;ACAAAAAiAAAAZHJzL2Rvd25yZXYueG1sUEsBAhQAFAAAAAgAh07iQIR1lU4UAgAAGAQAAA4AAAAA&#10;AAAAAQAgAAAAIwEAAGRycy9lMm9Eb2MueG1sUEsFBgAAAAAGAAYAWQEAAK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14" w:name="_Toc32603"/>
      <w:bookmarkStart w:id="415" w:name="_Toc47694335"/>
      <w:bookmarkStart w:id="416" w:name="_Toc23584"/>
      <w:r>
        <w:rPr>
          <w:rFonts w:hint="eastAsia" w:ascii="仿宋" w:hAnsi="仿宋" w:eastAsia="仿宋" w:cs="仿宋"/>
          <w:bCs w:val="0"/>
          <w:color w:val="auto"/>
          <w:sz w:val="24"/>
          <w:szCs w:val="24"/>
          <w:highlight w:val="none"/>
        </w:rPr>
        <w:t>★60</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隐蔽工程和中间验收</w:t>
      </w:r>
      <w:bookmarkEnd w:id="414"/>
      <w:bookmarkEnd w:id="415"/>
      <w:bookmarkEnd w:id="416"/>
    </w:p>
    <w:p>
      <w:pPr>
        <w:pStyle w:val="13"/>
        <w:tabs>
          <w:tab w:val="left" w:pos="1320"/>
        </w:tabs>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0272" behindDoc="0" locked="0" layoutInCell="1" allowOverlap="1">
                <wp:simplePos x="0" y="0"/>
                <wp:positionH relativeFrom="column">
                  <wp:posOffset>-73660</wp:posOffset>
                </wp:positionH>
                <wp:positionV relativeFrom="paragraph">
                  <wp:posOffset>17780</wp:posOffset>
                </wp:positionV>
                <wp:extent cx="873760" cy="648335"/>
                <wp:effectExtent l="0" t="0" r="0" b="0"/>
                <wp:wrapNone/>
                <wp:docPr id="189" name="文本框 911"/>
                <wp:cNvGraphicFramePr/>
                <a:graphic xmlns:a="http://schemas.openxmlformats.org/drawingml/2006/main">
                  <a:graphicData uri="http://schemas.microsoft.com/office/word/2010/wordprocessingShape">
                    <wps:wsp>
                      <wps:cNvSpPr txBox="1">
                        <a:spLocks noChangeArrowheads="1"/>
                      </wps:cNvSpPr>
                      <wps:spPr bwMode="auto">
                        <a:xfrm>
                          <a:off x="0" y="0"/>
                          <a:ext cx="873760" cy="64833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026" o:spt="202" type="#_x0000_t202" style="position:absolute;left:0pt;margin-left:-5.8pt;margin-top:1.4pt;height:51.05pt;width:68.8pt;z-index:251830272;mso-width-relative:page;mso-height-relative:page;" filled="f" stroked="f" coordsize="21600,21600" o:gfxdata="UEsDBAoAAAAAAIdO4kAAAAAAAAAAAAAAAAAEAAAAZHJzL1BLAwQUAAAACACHTuJALron5tYAAAAJ&#10;AQAADwAAAGRycy9kb3ducmV2LnhtbE2PwW7CMBBE75X6D9ZW6g3sRDSCEIcDqNdWpVCpNxMvSUS8&#10;jmJD0r/vcmpvO5rR7LxiM7lO3HAIrScNyVyBQKq8banWcPh8nS1BhGjIms4TavjBAJvy8aEwufUj&#10;feBtH2vBJRRyo6GJsc+lDFWDzoS575HYO/vBmchyqKUdzMjlrpOpUpl0piX+0Jgetw1Wl/3VaTi+&#10;nb+/Fuq93rmXfvSTkuRWUuvnp0StQUSc4l8Y7vN5OpS86eSvZIPoNMySJOOohpQJ7n6aMduJD7VY&#10;gSwL+Z+g/AVQSwMEFAAAAAgAh07iQITBpagYAgAAGAQAAA4AAABkcnMvZTJvRG9jLnhtbK1TS27b&#10;MBDdF+gdCO5r+Rd/BMtBGiNFgbQNkPYANEVZRCUOO6QtuQdob9BVN93nXD5Hh5Tjuukmi24EkjN8&#10;897j0+KyrSu2U+g0mIwPen3OlJGQa7PJ+KePN69mnDkvTC4qMCrje+X45fLli0VjUzWEEqpcISMQ&#10;49LGZrz03qZJ4mSpauF6YJWhYgFYC09b3CQ5iobQ6yoZ9vuTpAHMLYJUztHpqivyIyI+BxCKQku1&#10;ArmtlfEdKqpKeJLkSm0dX0a2RaGk/1AUTnlWZZyU+vilIbReh2+yXIh0g8KWWh4piOdQeKKpFtrQ&#10;0BPUSnjBtqj/gaq1RHBQ+J6EOumEREdIxaD/xJv7UlgVtZDVzp5Md/8PVr7f3SHTOSVhNufMiJqe&#10;/PDj++Hnw+HXNzYfDIJFjXUpdd5b6vXta2ipPcp19hbkZ8cMXJfCbNQVIjSlEjlRjDeTs6sdjgsg&#10;6+Yd5DRJbD1EoLbAOvhHjjBCp+fZn55HtZ5JOpxNR9MJVSSVJuPZaHQRuCUifbxs0fk3CmoWFhlH&#10;ev0ILna3znetjy1hloEbXVUxAZX564Aww0kkH/h2zH27bo9mrCHfkwyELlD0O9GiBPzKWUNhyrj7&#10;shWoOKveGrJiPhiPQ/riZnwxHdIGzyvr84owkqAy7jnrlte+S+zWot6UNKkz38AV2VfoKC343LE6&#10;8qbARHOO4Q6JPN/Hrj8/9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on5tYAAAAJAQAADwAA&#10;AAAAAAABACAAAAAiAAAAZHJzL2Rvd25yZXYueG1sUEsBAhQAFAAAAAgAh07iQITBpag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小时向监理人提出隐蔽工程或中间验收申请，通知监理人验收。通知的内容包括工程隐蔽或中间验收的内容、时间、地点，以及自检记录和必要的验收资料。承包人应准备验收记录，并提供必要的资料和协助。</w:t>
      </w:r>
    </w:p>
    <w:p>
      <w:pPr>
        <w:spacing w:line="360" w:lineRule="auto"/>
        <w:rPr>
          <w:rFonts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281940</wp:posOffset>
                </wp:positionV>
                <wp:extent cx="914400" cy="466725"/>
                <wp:effectExtent l="0" t="0" r="0" b="0"/>
                <wp:wrapNone/>
                <wp:docPr id="188"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026" o:spt="202" type="#_x0000_t202" style="position:absolute;left:0pt;margin-left:-9pt;margin-top:22.2pt;height:36.75pt;width:72pt;z-index:251929600;mso-width-relative:page;mso-height-relative:page;" filled="f" stroked="f" coordsize="21600,21600" o:gfxdata="UEsDBAoAAAAAAIdO4kAAAAAAAAAAAAAAAAAEAAAAZHJzL1BLAwQUAAAACACHTuJAeJCGc9gAAAAK&#10;AQAADwAAAGRycy9kb3ducmV2LnhtbE2PzW7CMBCE75X6DtZW4gZ2UMpPiMOhVa9UBVqJm4mXJGq8&#10;jmJD0rfvcmpvuzuj2W/y7ehaccM+NJ40JDMFAqn0tqFKw/HwNl2BCNGQNa0n1PCDAbbF40NuMusH&#10;+sDbPlaCQyhkRkMdY5dJGcoanQkz3yGxdvG9M5HXvpK2NwOHu1bOlVpIZxriD7Xp8KXG8nt/dRo+&#10;d5fTV6req1f33A1+VJLcWmo9eUrUBkTEMf6Z4Y7P6FAw09lfyQbRapgmK+4SNaRpCuJumC/4cOYh&#10;Wa5BFrn8X6H4BVBLAwQUAAAACACHTuJArmeYihcCAAAYBAAADgAAAGRycy9lMm9Eb2MueG1srVPN&#10;bhMxEL4j8Q6W72STKE3bVTZVaVSEVH6kwgM4Xm/WYu0xYye74QHgDThx4c5z5TkYe7chlEsPXCzb&#10;M/7m+74ZL64607CdQq/BFnwyGnOmrIRS203BP364fXHBmQ/ClqIBqwq+V55fLZ8/W7QuV1OooSkV&#10;MgKxPm9dwesQXJ5lXtbKCD8CpywFK0AjAh1xk5UoWkI3TTYdj+dZC1g6BKm8p9tVH+QDIj4FEKpK&#10;S7UCuTXKhh4VVSMCSfK1dp4vE9uqUjK8qyqvAmsKTkpDWqkI7ddxzZYLkW9QuFrLgYJ4CoVHmozQ&#10;looeoVYiCLZF/Q+U0RLBQxVGEkzWC0mOkIrJ+JE397VwKmkhq707mu7/H6x8u3uPTJc0CRfUeCsM&#10;tfzw/dvhx6/Dz6/scjKNFrXO55R57yg3dC+ho/Qk17s7kJ88s3BTC7tR14jQ1kqURHESX2YnT3sc&#10;H0HW7RsoqZLYBkhAXYUm+keOMEKn9uyP7VFdYJIuLyez2ZgikkKz+fx8epYqiPzhsUMfXikwLG4K&#10;jtT9BC52dz5EMiJ/SIm1LNzqpkkT0Ni/Ligx3iTykW/PPHTrbjBjDeWeZCD0A0XfiTY14BfOWhqm&#10;gvvPW4GKs+a1JSsSc5q+dJidnU9JBZ5G1qcRYSVBFTxw1m9vQj+xW4d6U1Ol3nwL12RfpZO06HPP&#10;auBNA5MUD8MdJ/L0nLL+fOj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iQhnPYAAAACgEAAA8A&#10;AAAAAAAAAQAgAAAAIgAAAGRycy9kb3ducmV2LnhtbFBLAQIUABQAAAAIAIdO4kCuZ5iKFwIAABgE&#10;AAAOAAAAAAAAAAEAIAAAACc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如果监理人不能按时参加验收，应至少提前 24 小时发出延期验收指令并书面说明理由，延期不得超过 48 小时。如果监理人或其委派的代表未发出延期验收指令也未到场验收，承包人必须停止验收并通知发包人代表；由此增加的费用和（或）延误的工期由发包人承担，并向承包人支付合理利润。</w:t>
      </w:r>
    </w:p>
    <w:p>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1296" behindDoc="0" locked="0" layoutInCell="1" allowOverlap="1">
                <wp:simplePos x="0" y="0"/>
                <wp:positionH relativeFrom="column">
                  <wp:posOffset>-68580</wp:posOffset>
                </wp:positionH>
                <wp:positionV relativeFrom="paragraph">
                  <wp:posOffset>117475</wp:posOffset>
                </wp:positionV>
                <wp:extent cx="914400" cy="476250"/>
                <wp:effectExtent l="0" t="0" r="0" b="0"/>
                <wp:wrapNone/>
                <wp:docPr id="187"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026" o:spt="202" type="#_x0000_t202" style="position:absolute;left:0pt;margin-left:-5.4pt;margin-top:9.25pt;height:37.5pt;width:72pt;z-index:251831296;mso-width-relative:page;mso-height-relative:page;" filled="f" stroked="f" coordsize="21600,21600" o:gfxdata="UEsDBAoAAAAAAIdO4kAAAAAAAAAAAAAAAAAEAAAAZHJzL1BLAwQUAAAACACHTuJAcjKuD9YAAAAJ&#10;AQAADwAAAGRycy9kb3ducmV2LnhtbE2PwU7DMBBE70j9B2uRuLV2GlK1IU4PRVxBtAWJ2zbeJhHx&#10;OordJvw97gmOoxnNvCm2k+3ElQbfOtaQLBQI4sqZlmsNx8PLfA3CB2SDnWPS8EMetuXsrsDcuJHf&#10;6boPtYgl7HPU0ITQ51L6qiGLfuF64uid3WAxRDnU0gw4xnLbyaVSK2mx5bjQYE+7hqrv/cVq+Hg9&#10;f30+qrf62Wb96CYl2W6k1g/3iXoCEWgKf2G44Ud0KCPTyV3YeNFpmCcqoodorDMQt0CaLkGcNGzS&#10;DGRZyP8Pyl9QSwMEFAAAAAgAh07iQEA+y6kYAgAAGAQAAA4AAABkcnMvZTJvRG9jLnhtbK1TwW4T&#10;MRC9I/EPlu9kk5A27SqbqjQqQioUqfABjtebtVh7zNjJbvgA+gecuHDvd+U7GHvTEMqlBy6W7Rm/&#10;ee/NeHbRmYZtFHoNtuCjwZAzZSWU2q4K/vnT9aszznwQthQNWFXwrfL8Yv7yxax1uRpDDU2pkBGI&#10;9XnrCl6H4PIs87JWRvgBOGUpWAEaEeiIq6xE0RK6abLxcHiatYClQ5DKe7pd9EG+R8TnAEJVaakW&#10;INdG2dCjompEIEm+1s7zeWJbVUqG26ryKrCm4KQ0pJWK0H4Z12w+E/kKhau13FMQz6HwRJMR2lLR&#10;A9RCBMHWqP+BMloieKjCQILJeiHJEVIxGj7x5q4WTiUtZLV3B9P9/4OVHzYfkemSJuFsypkVhlq+&#10;+3G/+/mw+/WdnY9eR4ta53PKvHOUG7o30FF6kuvdDcgvnlm4qoVdqUtEaGslSqI4ii+zo6c9jo8g&#10;y/Y9lFRJrAMkoK5CE/0jRxihU3u2h/aoLjBJl+ejyWRIEUmhyfR0fJLal4n88bFDH94qMCxuCo7U&#10;/QQuNjc+RDIif0yJtSxc66ZJE9DYvy4oMd4k8pFvzzx0y25vxhLKLclA6AeKvhNtasBvnLU0TAX3&#10;X9cCFWfNO0tWJOY0fekwOZmOSQUeR5bHEWElQRU8cNZvr0I/sWuHelVTpd58C5dkX6WTtOhzz2rP&#10;mwYmKd4Pd5zI43PK+vOh5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jKuD9YAAAAJAQAADwAA&#10;AAAAAAABACAAAAAiAAAAZHJzL2Rvd25yZXYueG1sUEsBAhQAFAAAAAgAh07iQEA+y6k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color w:val="auto"/>
          <w:highlight w:val="none"/>
          <w:lang w:eastAsia="zh-CN"/>
        </w:rPr>
        <w:t xml:space="preserve">验收合格的，监理工程师应在验收记录上签字，并形成验收文件，承包人可进行隐蔽或继续施工。验收合格 24 小时后，监理工程师仍不在验收记录上签字，视为监理工程师已认可验收记录。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pPr>
        <w:spacing w:line="360" w:lineRule="auto"/>
        <w:rPr>
          <w:rFonts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86" name="文本框 91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026" o:spt="202" type="#_x0000_t202" style="position:absolute;left:0pt;margin-left:-9pt;margin-top:19.3pt;height:31.2pt;width:72pt;z-index:251930624;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AFLC4WFwIAABgEAAAOAAAAZHJzL2Uyb0RvYy54bWytU81u&#10;EzEQviPxDpbvZJMQQrvKpiqNipDKj1R4AMfrzVqsPWbsZDc8AH0DTly481x5DsbebQjl0gMXy/aM&#10;v/m+b8aLi840bKfQa7AFn4zGnCkrodR2U/BPH6+fnXHmg7ClaMCqgu+V5xfLp08WrcvVFGpoSoWM&#10;QKzPW1fwOgSXZ5mXtTLCj8ApS8EK0IhAR9xkJYqW0E2TTcfjedYClg5BKu/pdtUH+YCIjwGEqtJS&#10;rUBujbKhR0XViECSfK2d58vEtqqUDO+ryqvAmoKT0pBWKkL7dVyz5ULkGxSu1nKgIB5D4YEmI7Sl&#10;okeolQiCbVH/A2W0RPBQhZEEk/VCkiOkYjJ+4M1tLZxKWshq746m+/8HK9/tPiDTJU3C2ZwzKwy1&#10;/PD97vDj1+HnN3Y+mUWLWudzyrx1lBu6V9BRepLr3Q3Iz55ZuKqF3ahLRGhrJUqiOIkvs5OnPY6P&#10;IOv2LZRUSWwDJKCuQhP9I0cYoVN79sf2qC4wSZdEZjamiKTQ8/P5dJbal4n8/rFDH14rMCxuCo7U&#10;/QQudjc+RDIiv0+JtSxc66ZJE9DYvy4oMd4k8pFvzzx0624wYw3lnmQg9ANF34k2NeBXzloapoL7&#10;L1uBirPmjSUrEnOavnSYvXg5JRV4GlmfRoSVBFXwwFm/vQr9xG4d6k1NlXrzLVySfZVO0qLPPauB&#10;Nw1MUjwMd5zI03PK+vOh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giystcAAAAKAQAADwAA&#10;AAAAAAABACAAAAAiAAAAZHJzL2Rvd25yZXYueG1sUEsBAhQAFAAAAAgAh07iQAUsLhYXAgAAGA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185" name="文本框 91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026" o:spt="202" type="#_x0000_t202" style="position:absolute;left:0pt;margin-left:-9pt;margin-top:19.3pt;height:31.2pt;width:72pt;z-index:251931648;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ffjA6FwIAABgEAAAOAAAAZHJzL2Uyb0RvYy54bWytU8Fu&#10;EzEQvSPxD5bvZJOQlGaVTVUaFSEVqFT4AMfrzVqsPWbsZDd8APwBJy7c+135DsbeNIRy6YGLZXvG&#10;b957M55fdKZhW4Vegy34aDDkTFkJpbbrgn/6eP3inDMfhC1FA1YVfKc8v1g8fzZvXa7GUENTKmQE&#10;Yn3euoLXIbg8y7yslRF+AE5ZClaARgQ64jorUbSEbppsPByeZS1g6RCk8p5ul32QHxDxKYBQVVqq&#10;JciNUTb0qKgaEUiSr7XzfJHYVpWS4UNVeRVYU3BSGtJKRWi/imu2mIt8jcLVWh4oiKdQeKTJCG2p&#10;6BFqKYJgG9T/QBktETxUYSDBZL2Q5AipGA0feXNXC6eSFrLau6Pp/v/ByvfbW2S6pEk4n3JmhaGW&#10;73983/+83//6xmajabSodT6nzDtHuaF7DR2lJ7ne3YD87JmFq1rYtbpEhLZWoiSKo/gyO3na4/gI&#10;smrfQUmVxCZAAuoqNNE/coQROrVnd2yP6gKTdDkbTSZDikgKvZydjSepfZnIHx479OGNAsPipuBI&#10;3U/gYnvjQyQj8oeUWMvCtW6aNAGN/euCEuNNIh/59sxDt+oOZqyg3JEMhH6g6DvRpgb8yllLw1Rw&#10;/2UjUHHWvLVkRWJO05cOk+mrManA08jqNCKsJKiCB8767VXoJ3bjUK9rqtSbb+GS7Kt0khZ97lkd&#10;eNPAJMWH4Y4TeXpOWX8+9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giystcAAAAKAQAADwAA&#10;AAAAAAABACAAAAAiAAAAZHJzL2Rvd25yZXYueG1sUEsBAhQAFAAAAAgAh07iQN9+MDoXAgAAGAQA&#10;AA4AAAAAAAAAAQAgAAAAJgEAAGRycy9lMm9Eb2MueG1sUEsFBgAAAAAGAAYAWQEAAK8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17" w:name="_Toc27720"/>
      <w:bookmarkStart w:id="418" w:name="_Toc22671"/>
      <w:bookmarkStart w:id="419" w:name="_Toc47694336"/>
      <w:r>
        <w:rPr>
          <w:rFonts w:hint="eastAsia" w:ascii="仿宋" w:hAnsi="仿宋" w:eastAsia="仿宋" w:cs="仿宋"/>
          <w:bCs w:val="0"/>
          <w:color w:val="auto"/>
          <w:sz w:val="24"/>
          <w:szCs w:val="24"/>
          <w:highlight w:val="none"/>
        </w:rPr>
        <w:t>★61</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重新验收和额外检查检验</w:t>
      </w:r>
      <w:bookmarkEnd w:id="417"/>
      <w:bookmarkEnd w:id="418"/>
      <w:bookmarkEnd w:id="419"/>
    </w:p>
    <w:p>
      <w:pPr>
        <w:pStyle w:val="13"/>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32672" behindDoc="0" locked="0" layoutInCell="1" allowOverlap="1">
                <wp:simplePos x="0" y="0"/>
                <wp:positionH relativeFrom="column">
                  <wp:posOffset>-15240</wp:posOffset>
                </wp:positionH>
                <wp:positionV relativeFrom="paragraph">
                  <wp:posOffset>106045</wp:posOffset>
                </wp:positionV>
                <wp:extent cx="800100" cy="285750"/>
                <wp:effectExtent l="0" t="0" r="0" b="0"/>
                <wp:wrapNone/>
                <wp:docPr id="184"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026" o:spt="202" type="#_x0000_t202" style="position:absolute;left:0pt;margin-left:-1.2pt;margin-top:8.35pt;height:22.5pt;width:63pt;z-index:251932672;mso-width-relative:page;mso-height-relative:page;" filled="f" stroked="f" coordsize="21600,21600" o:gfxdata="UEsDBAoAAAAAAIdO4kAAAAAAAAAAAAAAAAAEAAAAZHJzL1BLAwQUAAAACACHTuJAmdnQ59YAAAAI&#10;AQAADwAAAGRycy9kb3ducmV2LnhtbE2PzU7DMBCE70h9B2uRuLV2QklpGqeHIq4gyo/EbRtvk4h4&#10;HcVuE94e90SPszOa+bbYTrYTZxp861hDslAgiCtnWq41fLw/zx9B+IBssHNMGn7Jw7ac3RSYGzfy&#10;G533oRaxhH2OGpoQ+lxKXzVk0S9cTxy9oxsshiiHWpoBx1huO5kqlUmLLceFBnvaNVT97E9Ww+fL&#10;8ftrqV7rJ/vQj25Sku1aan13m6gNiEBT+A/DBT+iQxmZDu7ExotOwzxdxmS8ZysQFz+9z0AcNGTJ&#10;CmRZyOsHyj9QSwMEFAAAAAgAh07iQIkT0+MZAgAAGAQAAA4AAABkcnMvZTJvRG9jLnhtbK1TS27b&#10;MBDdF+gdCO5r2YadOILlII2RokD6AZIegKYoi6jIYYe0JfcA7Q266qb7nsvnyJByXDfdZNENQXKG&#10;b957M5xfdqZhW4Vegy34aDDkTFkJpbbrgn+6v3k148wHYUvRgFUF3ynPLxcvX8xbl6sx1NCUChmB&#10;WJ+3ruB1CC7PMi9rZYQfgFOWghWgEYGOuM5KFC2hmyYbD4dnWQtYOgSpvKfbZR/kB0R8DiBUlZZq&#10;CXJjlA09KqpGBJLka+08XyS2VaVk+FBVXgXWFJyUhrRSEdqv4pot5iJfo3C1lgcK4jkUnmgyQlsq&#10;eoRaiiDYBvU/UEZLBA9VGEgwWS8kOUIqRsMn3tzVwqmkhaz27mi6/3+w8v32IzJd0iTMJpxZYajl&#10;+x/f9z9/7399Yxejs2hR63xOmXeOckP3GjpKT3K9uwX52TML17Wwa3WFCG2tREkUR/FldvK0x/ER&#10;ZNW+g5IqiU2ABNRVaKJ/5AgjdGrP7tge1QUm6XI2JIsoIik0nk3Pp6l9mcgfHzv04Y0Cw+Km4Ejd&#10;T+Bie+tDJCPyx5RYy8KNbpo0AY3964IS400iH/n2zEO36g5mrKDckQyEfqDoO9GmBvzKWUvDVHD/&#10;ZSNQcda8tWTFxWgyidOXDpPp+ZgOeBpZnUaElQRV8MBZv70O/cRuHOp1TZV68y1ckX2VTtKizz2r&#10;A28amKT4MNxxIk/PKevPh14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nZ0OfWAAAACAEAAA8A&#10;AAAAAAAAAQAgAAAAIgAAAGRycy9kb3ducmV2LnhtbFBLAQIUABQAAAAIAIdO4kCJE9PjGQIAABgE&#10;AAAOAAAAAAAAAAEAIAAAACU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13"/>
        <w:tabs>
          <w:tab w:val="left" w:pos="540"/>
          <w:tab w:val="left" w:pos="720"/>
        </w:tabs>
        <w:adjustRightInd w:val="0"/>
        <w:snapToGrid w:val="0"/>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183"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026" o:spt="202" type="#_x0000_t202" style="position:absolute;left:0pt;margin-left:-9pt;margin-top:0.6pt;height:49.4pt;width:76.4pt;z-index:251832320;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bhHiBhgCAAAYBAAADgAAAGRycy9lMm9Eb2MueG1srVNLbtsw&#10;EN0X6B0I7mvZjhvbguUgjZGiQPoB0h6ApiiLqMhhh7Sl9ADtDbrqpvuey+fokHIcN91k0Y0wnBm+&#10;ee9xtLjoTMN2Cr0GW/DRYMiZshJKbTcF//Tx+sWMMx+ELUUDVhX8Tnl+sXz+bNG6XI2hhqZUyAjE&#10;+rx1Ba9DcHmWeVkrI/wAnLJUrACNCHTETVaiaAndNNl4ODzPWsDSIUjlPWVXfZEfEPEpgFBVWqoV&#10;yK1RNvSoqBoRSJKvtfN8mdhWlZLhfVV5FVhTcFIa0peGULyO32y5EPkGhau1PFAQT6HwSJMR2tLQ&#10;I9RKBMG2qP+BMloieKjCQILJeiHJEVIxGj7y5rYWTiUtZLV3R9P9/4OV73YfkOmSNmF2xpkVhp58&#10;/+P7/ufv/a9vbD6aRota53PqvHXUG7pX0FF7kuvdDcjPnlm4qoXdqEtEaGslSqI4ijezk6s9jo8g&#10;6/YtlDRJbAMkoK5CE/0jRxih0/PcHZ9HdYFJSs6nw/GMKpJK5+PpGcVxgsjvLzv04bUCw2JQcKTX&#10;T+Bid+ND33rfEmdZuNZNQ3mRN/avBGHGTCIf+fbMQ7fuqDsqWkN5RzIQ+oWi34mCGvArZy0tU8H9&#10;l61AxVnzxpIV89FkErcvHSYvp2M64GllfVoRVhJUwQNnfXgV+o3dOtSbmib15lu4JPsqnaQ9sDrw&#10;poVJ5hyWO27k6Tl1PfzQ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GBaJ1QAAAAkBAAAPAAAA&#10;AAAAAAEAIAAAACIAAABkcnMvZG93bnJldi54bWxQSwECFAAUAAAACACHTuJAbhHiBh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款规定处理；没有缺陷的，检查检验的费用和（或）延误的工期由发包人承担，并向承包人支付合理利润。</w:t>
      </w:r>
    </w:p>
    <w:p>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20" w:name="_Toc29814"/>
      <w:bookmarkStart w:id="421" w:name="_Toc47694337"/>
      <w:bookmarkStart w:id="422" w:name="_Toc10642"/>
      <w:r>
        <w:rPr>
          <w:rFonts w:hint="eastAsia" w:ascii="仿宋" w:hAnsi="仿宋" w:eastAsia="仿宋" w:cs="仿宋"/>
          <w:bCs w:val="0"/>
          <w:color w:val="auto"/>
          <w:sz w:val="24"/>
          <w:szCs w:val="24"/>
          <w:highlight w:val="none"/>
        </w:rPr>
        <w:t>62</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工程试车</w:t>
      </w:r>
      <w:bookmarkEnd w:id="420"/>
      <w:bookmarkEnd w:id="421"/>
      <w:bookmarkEnd w:id="422"/>
    </w:p>
    <w:p>
      <w:pPr>
        <w:rPr>
          <w:rFonts w:ascii="仿宋" w:hAnsi="仿宋" w:eastAsia="仿宋"/>
          <w:b/>
          <w:bCs/>
          <w:color w:val="auto"/>
          <w:highlight w:val="none"/>
          <w:lang w:eastAsia="zh-CN"/>
        </w:rPr>
      </w:pPr>
      <w:bookmarkStart w:id="423"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423"/>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182"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026" o:spt="202" type="#_x0000_t202" style="position:absolute;left:0pt;margin-left:-9pt;margin-top:1.3pt;height:23.4pt;width:63pt;z-index:251833344;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p4hcTGAIAABgEAAAOAAAAZHJzL2Uyb0RvYy54bWytU0uOEzEQ&#10;3SNxB8t70ukoMEkrndEw0SCk4SMNHMBxu9MWbZcpO+kOB4AbsGLDnnPlHJTdmRCGzSzYWLar/Oq9&#10;V+XFZW9atlPoNdiS56MxZ8pKqLTdlPzjh5tnM858ELYSLVhV8r3y/HL59Mmic4WaQANtpZARiPVF&#10;50rehOCKLPOyUUb4EThlKVgDGhHoiJusQtERummzyXj8IusAK4cglfd0uxqC/IiIjwGEutZSrUBu&#10;jbJhQEXVikCSfKOd58vEtq6VDO/q2qvA2pKT0pBWKkL7dVyz5UIUGxSu0fJIQTyGwgNNRmhLRU9Q&#10;KxEE26L+B8poieChDiMJJhuEJEdIRT5+4M1dI5xKWshq706m+/8HK9/u3iPTFU3CbMKZFYZafvj+&#10;7fDj1+HnVzbPZ9GizvmCMu8c5Yb+JfSUnuR6dwvyk2cWrhthN+oKEbpGiYoo5vFldvZ0wPERZN29&#10;gYoqiW2ABNTXaKJ/5AgjdGrP/tQe1Qcm6XI2JosoIik0mV/ks9S+TBT3jx368EqBYXFTcqTuJ3Cx&#10;u/UhkhHFfUqsZeFGt22agNb+dUGJ8SaRj3wH5qFf90cz1lDtSQbCMFD0nWjTAH7hrKNhKrn/vBWo&#10;OGtfW7Jink+ncfrSYfr8YkIHPI+szyPCSoIqeeBs2F6HYWK3DvWmoUqD+RauyL5aJ2nR54HVkTcN&#10;TFJ8HO44kefnlPXn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B3sr/UAAAACAEAAA8AAAAA&#10;AAAAAQAgAAAAIgAAAGRycy9kb3ducmV2LnhtbFBLAQIUABQAAAAIAIdO4kBp4hcTGAIAABgEAAAO&#10;AAAAAAAAAAEAIAAAACMBAABkcnMvZTJvRG9jLnhtbFBLBQYAAAAABgAGAFkBAACt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pPr>
        <w:spacing w:line="360" w:lineRule="auto"/>
        <w:rPr>
          <w:rFonts w:ascii="仿宋" w:hAnsi="仿宋" w:eastAsia="仿宋" w:cs="仿宋"/>
          <w:b/>
          <w:bCs/>
          <w:color w:val="auto"/>
          <w:highlight w:val="none"/>
          <w:u w:val="dotted"/>
          <w:lang w:eastAsia="zh-CN"/>
        </w:rPr>
      </w:pPr>
      <w:bookmarkStart w:id="424"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4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4368" behindDoc="0" locked="0" layoutInCell="1" allowOverlap="1">
                <wp:simplePos x="0" y="0"/>
                <wp:positionH relativeFrom="column">
                  <wp:posOffset>-30480</wp:posOffset>
                </wp:positionH>
                <wp:positionV relativeFrom="paragraph">
                  <wp:posOffset>55245</wp:posOffset>
                </wp:positionV>
                <wp:extent cx="914400" cy="469265"/>
                <wp:effectExtent l="0" t="0" r="0" b="0"/>
                <wp:wrapNone/>
                <wp:docPr id="181"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026" o:spt="202" type="#_x0000_t202" style="position:absolute;left:0pt;margin-left:-2.4pt;margin-top:4.35pt;height:36.95pt;width:72pt;z-index:251834368;mso-width-relative:page;mso-height-relative:page;" filled="f" stroked="f" coordsize="21600,21600" o:gfxdata="UEsDBAoAAAAAAIdO4kAAAAAAAAAAAAAAAAAEAAAAZHJzL1BLAwQUAAAACACHTuJAt16viNQAAAAH&#10;AQAADwAAAGRycy9kb3ducmV2LnhtbE3OzU7DMBAE4DsS72AtErfWbiilDdn0AOIKovxI3Nx4m0TE&#10;6yh2m/D2bE9wHM1q9iu2k+/UiYbYBkZYzA0o4iq4lmuE97en2RpUTJad7QITwg9F2JaXF4XNXRj5&#10;lU67VCsZ4ZhbhCalPtc6Vg15G+ehJ5buEAZvk8Sh1m6wo4z7TmfGrLS3LcuHxvb00FD1vTt6hI/n&#10;w9fn0rzUj/62H8NkNPuNRry+Wph7UImm9HcMZ77QoRTTPhzZRdUhzJYiTwjrO1Dn+maTgdpLzlag&#10;y0L/95e/UEsDBBQAAAAIAIdO4kDTgYAvFwIAABgEAAAOAAAAZHJzL2Uyb0RvYy54bWytU0tu2zAQ&#10;3RfoHQjua1mG48aC5SCNkaJA+gHSHoCmKIuoyGGHtKX0AO0Nsuqm+57L5+iQclw33WTRjUByhm/e&#10;e3xaXPSmZTuFXoMteT4ac6ashErbTck/fbx+cc6ZD8JWogWrSn6nPL9YPn+26FyhJtBAWylkBGJ9&#10;0bmSNyG4Isu8bJQRfgROWSrWgEYE2uImq1B0hG7abDIez7IOsHIIUnlPp6uhyA+I+BRAqGst1Qrk&#10;1igbBlRUrQgkyTfaeb5MbOtayfC+rr0KrC05KQ3pS0NovY7fbLkQxQaFa7Q8UBBPofBIkxHa0tAj&#10;1EoEwbao/4EyWiJ4qMNIgskGIckRUpGPH3lz2winkhay2ruj6f7/wcp3uw/IdEVJOM85s8LQk+/v&#10;v+9//Nr//Mbm+Txa1DlfUOeto97Qv4Ke2pNc725AfvbMwlUj7EZdIkLXKFERxTzezE6uDjg+gqy7&#10;t1DRJLENkID6Gk30jxxhhE7Pc3d8HtUHJulwnk+nY6pIKk1n88nsLE0QxcNlhz68VmBYXJQc6fUT&#10;uNjd+BDJiOKhJc6ycK3bNiWgtX8dUGM8SeQj34F56Nf9wYw1VHckA2EIFP1OtGgAv3LWUZhK7r9s&#10;BSrO2jeWrEjMKX1pMz17OSEVeFpZn1aElQRV8sDZsLwKQ2K3DvWmoUmD+RYuyb5aJ2nR54HVgTcF&#10;Jik+hDsm8nSfuv780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16viNQAAAAHAQAADwAAAAAA&#10;AAABACAAAAAiAAAAZHJzL2Rvd25yZXYueG1sUEsBAhQAFAAAAAgAh07iQNOBgC8XAgAAGAQAAA4A&#10;AAAAAAAAAQAgAAAAIwEAAGRycy9lMm9Eb2MueG1sUEsFBgAAAAAGAAYAWQEAAKw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发包人应为承包人试车提供便利和协助，设备安装工程具备单机无负荷试车条件时，承包人应组织试车，并在试车前 48 小时以书面形式通知监理人。通知包括试车内容、时间和地点。承包人应自行准备试车记录。</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 24 小时发出延期试车指令并书面说明理由，延期不能超过 48 小时。监理人未发出延期试车指令也未能按时参加试车的，承包人可自行试车，并认为试车是经监理人同意下完成的。试车完成后，承包人应立即向监理人提交试车记录，监理人应予认可。</w:t>
      </w:r>
    </w:p>
    <w:p>
      <w:pPr>
        <w:spacing w:line="360" w:lineRule="auto"/>
        <w:rPr>
          <w:rFonts w:ascii="仿宋" w:hAnsi="仿宋" w:eastAsia="仿宋" w:cs="仿宋"/>
          <w:color w:val="auto"/>
          <w:highlight w:val="none"/>
          <w:u w:val="dotted"/>
          <w:lang w:eastAsia="zh-CN"/>
        </w:rPr>
      </w:pPr>
      <w:bookmarkStart w:id="425"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425"/>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5392"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180"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026" o:spt="202" type="#_x0000_t202" style="position:absolute;left:0pt;margin-left:-5.8pt;margin-top:0.05pt;height:37.15pt;width:68.8pt;z-index:251835392;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CB5lhCGQIAABgEAAAOAAAAZHJzL2Uyb0RvYy54bWytU81uEzEQ&#10;viPxDpbvZJOQNukqm6o0KkIqP1LhARyvN2ux9pixk93wAPAGnLhw57nyHIy9aRrKpQculj0z/ub7&#10;Po/nl51p2Fah12ALPhoMOVNWQqntuuCfPt68mHHmg7ClaMCqgu+U55eL58/mrcvVGGpoSoWMQKzP&#10;W1fwOgSXZ5mXtTLCD8ApS8kK0IhAR1xnJYqW0E2TjYfD86wFLB2CVN5TdNkn+QERnwIIVaWlWoLc&#10;GGVDj4qqEYEk+Vo7zxeJbVUpGd5XlVeBNQUnpSGt1IT2q7hmi7nI1yhcreWBgngKhUeajNCWmh6h&#10;liIItkH9D5TREsFDFQYSTNYLSY6QitHwkTd3tXAqaSGrvTua7v8frHy3/YBMlzQJM/LECkNPvv/x&#10;ff/z9/7XN3YxTha1zudUeeeoNnSvoKPyJNe7W5CfPbNwXQu7VleI0NZKlERxFM3NTq7GR/G5jyCr&#10;9i2U1ElsAiSgrkIT/SNHGKETld3xeVQXmKTgbPpyek4ZSanJlPiepQ4iv7/s0IfXCgyLm4IjvX4C&#10;F9tbHyIZkd+XxF4WbnTTpAlo7F8BKoyRRD7y7ZmHbtVRdRSxgnJHMhD6gaLvRJsa8CtnLQ1Twf2X&#10;jUDFWfPGkhUXo8mEiId0mJxNyVWGp5nVaUZYSVAFD5z12+vQT+zGoV7X1Kk338IV2VfpJO2B1YE3&#10;DUxSfBjuOJGn51T18KE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As6D1AAAAAcBAAAPAAAA&#10;AAAAAAEAIAAAACIAAABkcnMvZG93bnJldi54bWxQSwECFAAUAAAACACHTuJAgeZYQhkCAAAYBAAA&#10;DgAAAAAAAAABACAAAAAjAQAAZHJzL2Uyb0RvYy54bWxQSwUGAAAAAAYABgBZAQAArg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pPr>
        <w:spacing w:line="360" w:lineRule="auto"/>
        <w:rPr>
          <w:rFonts w:ascii="仿宋" w:hAnsi="仿宋" w:eastAsia="仿宋" w:cs="仿宋"/>
          <w:b/>
          <w:bCs/>
          <w:color w:val="auto"/>
          <w:highlight w:val="none"/>
          <w:u w:val="dotted"/>
          <w:lang w:eastAsia="zh-CN"/>
        </w:rPr>
      </w:pPr>
      <w:bookmarkStart w:id="426"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4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6416"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179"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026" o:spt="202" type="#_x0000_t202" style="position:absolute;left:0pt;margin-left:-5.8pt;margin-top:0.9pt;height:38.8pt;width:68.8pt;z-index:251836416;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HbmG+RYCAAAYBAAADgAAAGRycy9lMm9Eb2MueG1srVPBbhMx&#10;EL0j8Q+W72STEJpmlU1VGhUhFahU+ADH681arD1m7GQ3fAD8AScu3Ptd+Q7G3jSEcumBizX2jN+8&#10;eX6eX3SmYVuFXoMt+Ggw5ExZCaW264J/+nj94pwzH4QtRQNWFXynPL9YPH82b12uxlBDUypkBGJ9&#10;3rqC1yG4PMu8rJURfgBOWUpWgEYE2uI6K1G0hG6abDwcnmUtYOkQpPKeTpd9kh8Q8SmAUFVaqiXI&#10;jVE29KioGhFoJF9r5/kisa0qJcOHqvIqsKbgNGlIKzWheBXXbDEX+RqFq7U8UBBPofBoJiO0paZH&#10;qKUIgm1Q/wNltETwUIWBBJP1gyRFaIrR8JE2d7VwKs1CUnt3FN3/P1j5fnuLTJfkhOmMMysMPfn+&#10;x/f9z/v9r29sNh5FiVrnc6q8c1QbutfQUXka17sbkJ89s3BVC7tWl4jQ1kqURDHdzE6u9jg+gqza&#10;d1BSJ7EJkIC6Ck3UjxRhhE7Pszs+j+oCk3R4Pn05PaOMpNRkNo4xcctE/nDZoQ9vFBgWg4IjvX4C&#10;F9sbH/rSh5LYy8K1bprkgMb+dUCY8SSRj3x75qFbdQcxVlDuaAyE3lD0nSioAb9y1pKZCu6/bAQq&#10;zpq3lqSYjSaT6L60mbyajmmDp5nVaUZYSVAFD5z14VXoHbtxqNc1derFt3BJ8lU6jRZ17lkdeJNh&#10;kjgHc0dHnu5T1Z8Pv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xWwANUAAAAIAQAADwAAAAAA&#10;AAABACAAAAAiAAAAZHJzL2Rvd25yZXYueG1sUEsBAhQAFAAAAAgAh07iQB25hvkWAgAAGAQAAA4A&#10;AAAAAAAAAQAgAAAAJAEAAGRycy9lMm9Eb2MueG1sUEsFBgAAAAAGAAYAWQEAAKwFA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pPr>
        <w:pStyle w:val="40"/>
        <w:rPr>
          <w:color w:val="auto"/>
          <w:highlight w:val="none"/>
        </w:rPr>
      </w:pPr>
    </w:p>
    <w:p>
      <w:pPr>
        <w:spacing w:line="360" w:lineRule="auto"/>
        <w:rPr>
          <w:rFonts w:ascii="仿宋" w:hAnsi="仿宋" w:eastAsia="仿宋" w:cs="仿宋"/>
          <w:b/>
          <w:bCs/>
          <w:color w:val="auto"/>
          <w:highlight w:val="none"/>
          <w:u w:val="dotted"/>
          <w:lang w:eastAsia="zh-CN"/>
        </w:rPr>
      </w:pPr>
      <w:bookmarkStart w:id="427"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4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7440" behindDoc="0" locked="0" layoutInCell="1" allowOverlap="1">
                <wp:simplePos x="0" y="0"/>
                <wp:positionH relativeFrom="margin">
                  <wp:align>left</wp:align>
                </wp:positionH>
                <wp:positionV relativeFrom="paragraph">
                  <wp:posOffset>53975</wp:posOffset>
                </wp:positionV>
                <wp:extent cx="883920" cy="427990"/>
                <wp:effectExtent l="0" t="0" r="0" b="0"/>
                <wp:wrapNone/>
                <wp:docPr id="178"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wps:spPr>
                      <wps:txb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026" o:spt="202" type="#_x0000_t202" style="position:absolute;left:0pt;margin-top:4.25pt;height:33.7pt;width:69.6pt;mso-position-horizontal:left;mso-position-horizontal-relative:margin;z-index:251837440;mso-width-relative:page;mso-height-relative:page;" filled="f" stroked="f" coordsize="21600,21600" o:gfxdata="UEsDBAoAAAAAAIdO4kAAAAAAAAAAAAAAAAAEAAAAZHJzL1BLAwQUAAAACACHTuJAqSMbr9MAAAAF&#10;AQAADwAAAGRycy9kb3ducmV2LnhtbE2PzU7DMBCE70i8g7VI3KjdQqAJ2fQA4gqi/EjctvE2iYjX&#10;Uew24e1xT3AczWjmm3Izu14deQydF4TlwoBiqb3tpEF4f3u6WoMKkcRS74URfjjApjo/K6mwfpJX&#10;Pm5jo1KJhIIQ2hiHQutQt+woLPzAkry9Hx3FJMdG25GmVO56vTLmVjvqJC20NPBDy/X39uAQPp73&#10;X5835qV5dNkw+dlocblGvLxYmntQkef4F4YTfkKHKjHt/EFsUD1COhIR1hmok3mdr0DtEO6yHHRV&#10;6v/01S9QSwMEFAAAAAgAh07iQOnv38EYAgAAGAQAAA4AAABkcnMvZTJvRG9jLnhtbK1TzY7TMBC+&#10;I/EOlu80bSi0iZqulq0WIS0/0sIDuI7TWCQeM3ablAdg34ATF+48V5+DsdMtZbnsgYtle8bffN83&#10;48VF3zZsp9BpMAWfjMacKSOh1GZT8E8fr5/NOXNemFI0YFTB98rxi+XTJ4vO5iqFGppSISMQ4/LO&#10;Frz23uZJ4mStWuFGYJWhYAXYCk9H3CQlio7Q2yZJx+OXSQdYWgSpnKPb1RDkR0R8DCBUlZZqBXLb&#10;KuMHVFSN8CTJ1do6voxsq0pJ/76qnPKsKTgp9XGlIrRfhzVZLkS+QWFrLY8UxGMoPNDUCm2o6Alq&#10;JbxgW9T/QLVaIjio/EhCmwxCoiOkYjJ+4M1tLayKWshqZ0+mu/8HK9/tPiDTJU3CjBpvREstP3y/&#10;O/z4dfj5jWVpGizqrMsp89ZSru9fQU/pUa6zNyA/O2bgqhZmoy4RoauVKIniJLxMzp4OOC6ArLu3&#10;UFIlsfUQgfoK2+AfOcIIndqzP7VH9Z5JupzPn2cpRSSFpuksy2L7EpHfP7bo/GsFLQubgiN1P4KL&#10;3Y3zgYzI71NCLQPXumniBDTmrwtKDDeRfOA7MPf9uj+asYZyTzIQhoGi70SbGvArZx0NU8Hdl61A&#10;xVnzxpAV2WQ6DdMXD9MXs6ACzyPr84gwkqAK7jkbtld+mNitRb2pqdJgvoFLsq/SUVrweWB15E0D&#10;ExUfhztM5Pk5Zv350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SMbr9MAAAAFAQAADwAAAAAA&#10;AAABACAAAAAiAAAAZHJzL2Rvd25yZXYueG1sUEsBAhQAFAAAAAgAh07iQOnv38EYAgAAGAQAAA4A&#10;AAAAAAAAAQAgAAAAIgEAAGRycy9lMm9Eb2MueG1sUEsFBgAAAAAGAAYAWQEAAKwFA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 xml:space="preserve">试车费用，除已含在合同价格外，由发包人承担。试车达不到验收要求的，按照下列约定处理：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（1）由于设计原因试车达不到验收要求，发包人应要求设计人修改设计，承包人按照修改后的设计重新安装。发包人承担修改设计、拆除及重新安装的全部费用和延误的工期。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（3）由于承包人施工原因试车达不到验收要求，承包人应按照监理人要求重新安装和试车，并承担拆除、重新安装和重新试车的费用和延误的工期。</w:t>
      </w:r>
    </w:p>
    <w:p>
      <w:pPr>
        <w:spacing w:line="360" w:lineRule="auto"/>
        <w:rPr>
          <w:rFonts w:ascii="仿宋" w:hAnsi="仿宋" w:eastAsia="仿宋" w:cs="仿宋"/>
          <w:b/>
          <w:bCs/>
          <w:color w:val="auto"/>
          <w:highlight w:val="none"/>
          <w:u w:val="dotted"/>
          <w:lang w:eastAsia="zh-CN"/>
        </w:rPr>
      </w:pPr>
      <w:bookmarkStart w:id="428"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4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33"/>
        <w:widowControl w:val="0"/>
        <w:adjustRightInd w:val="0"/>
        <w:snapToGrid w:val="0"/>
        <w:ind w:left="1850" w:leftChars="771"/>
        <w:jc w:val="both"/>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177" name="文本框 923"/>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026" o:spt="202" type="#_x0000_t202" style="position:absolute;left:0pt;margin-left:-9pt;margin-top:0.8pt;height:23.4pt;width:63pt;z-index:251838464;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AxLhG6GAIAABgEAAAOAAAAZHJzL2Uyb0RvYy54bWytU0uOEzEQ&#10;3SNxB8t70kkIJGmlMxomGoQ0fKSBAzhud9qi7TJlJ93hAMwNWLFhz7lyDsruTAjDZhZsLNtVfvXe&#10;q/LiojMN2yn0GmzBR4MhZ8pKKLXdFPzTx+tnM858ELYUDVhV8L3y/GL59MmidbkaQw1NqZARiPV5&#10;6wpeh+DyLPOyVkb4AThlKVgBGhHoiJusRNESummy8XD4MmsBS4cglfd0u+qD/IiIjwGEqtJSrUBu&#10;jbKhR0XViECSfK2d58vEtqqUDO+ryqvAmoKT0pBWKkL7dVyz5ULkGxSu1vJIQTyGwgNNRmhLRU9Q&#10;KxEE26L+B8poieChCgMJJuuFJEdIxWj4wJvbWjiVtJDV3p1M9/8PVr7bfUCmS5qE6ZQzKwy1/PD9&#10;7vDj1+HnNzYfP48Wtc7nlHnrKDd0r6Cj9CTXuxuQnz2zcFULu1GXiNDWSpREcRRfZmdPexwfQdbt&#10;WyipktgGSEBdhSb6R44wQqf27E/tUV1gki5nQ7KIIpJC4/l0NEvty0R+/9ihD68VGBY3BUfqfgIX&#10;uxsfIhmR36fEWhauddOkCWjsXxeUGG8S+ci3Zx66dXc0Yw3lnmQg9ANF34k2NeBXzloapoL7L1uB&#10;irPmjSUr5qPJJE5fOkxeTMd0wPPI+jwirCSoggfO+u1V6Cd261BvaqrUm2/hkuyrdJIWfe5ZHXnT&#10;wCTFx+GOE3l+Tll/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ZztIDUAAAACAEAAA8AAAAA&#10;AAAAAQAgAAAAIgAAAGRycy9kb3ducmV2LnhtbFBLAQIUABQAAAAIAIdO4kAxLhG6GAIAABg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rPr>
        <w:t>投料试车应在永久工程竣工验收后，由发包人负责。如果发包人要求在永久工程竣工验收前进行试车或需要承包人配合时，应事先取得承包人同意，并另行签订补充协议。</w:t>
      </w:r>
    </w:p>
    <w:p>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29" w:name="_Toc47694338"/>
      <w:bookmarkStart w:id="430" w:name="_Toc19744"/>
      <w:bookmarkStart w:id="431" w:name="_Toc2155"/>
      <w:r>
        <w:rPr>
          <w:rFonts w:hint="eastAsia" w:ascii="仿宋" w:hAnsi="仿宋" w:eastAsia="仿宋" w:cs="仿宋"/>
          <w:bCs w:val="0"/>
          <w:color w:val="auto"/>
          <w:sz w:val="24"/>
          <w:szCs w:val="24"/>
          <w:highlight w:val="none"/>
        </w:rPr>
        <w:t>★63</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工程变更</w:t>
      </w:r>
      <w:bookmarkEnd w:id="429"/>
      <w:bookmarkEnd w:id="430"/>
      <w:bookmarkEnd w:id="431"/>
    </w:p>
    <w:p>
      <w:pPr>
        <w:pStyle w:val="22"/>
        <w:adjustRightInd w:val="0"/>
        <w:snapToGrid w:val="0"/>
        <w:spacing w:line="360" w:lineRule="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63</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176" name="文本框 924"/>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026" o:spt="202" type="#_x0000_t202" style="position:absolute;left:0pt;margin-left:-9pt;margin-top:0.1pt;height:23.4pt;width:81pt;z-index:251839488;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PcTytgZAgAAGQQAAA4AAABkcnMvZTJvRG9jLnhtbK1TzY7TMBC+&#10;I/EOlu80aVS2bdR0tWy1CGn5kRYewHWcxiLxmLHbpDwAvMGeuHDnufocjJ1uKctlD1ws2zP+5vu+&#10;GS8u+7ZhO4VOgyn4eJRypoyEUptNwT99vHkx48x5YUrRgFEF3yvHL5fPny06m6sMamhKhYxAjMs7&#10;W/Dae5sniZO1aoUbgVWGghVgKzwdcZOUKDpCb5skS9OLpAMsLYJUztHtagjyIyI+BRCqSku1Arlt&#10;lfEDKqpGeJLkam0dX0a2VaWkf19VTnnWFJyU+rhSEdqvw5osFyLfoLC1lkcK4ikUHmlqhTZU9AS1&#10;El6wLep/oFotERxUfiShTQYh0RFSMU4feXNXC6uiFrLa2ZPp7v/Byne7D8h0SZMwveDMiJZafrj/&#10;fvjx6/DzG5tnk2BRZ11OmXeWcn3/CnpKj3KdvQX52TED17UwG3WFCF2tREkUx+FlcvZ0wHEBZN29&#10;hZIqia2HCNRX2Ab/yBFG6NSe/ak9qvdMhpJpNpumFJIUy+bT8Sz2LxH5w2uLzr9W0LKwKThS+yO6&#10;2N06H9iI/CElFDNwo5smjkBj/rqgxHAT2QfCA3Xfr/ujG2so96QDYZgo+k+0qQG/ctbRNBXcfdkK&#10;VJw1bwx5MR9PJmH84mHycprRAc8j6/OIMJKgCu45G7bXfhjZrUW9qanS4L6BK/Kv0lFaMHpgdeRN&#10;ExMVH6c7jOT5OWb9+dH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rMkyrTAAAABwEAAA8AAAAA&#10;AAAAAQAgAAAAIgAAAGRycy9kb3ducmV2LnhtbFBLAQIUABQAAAAIAIdO4kD3E8rYGQIAABkEAAAO&#10;AAAAAAAAAAEAIAAAACI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rPr>
        <w:t>合同履行期间，经发包人批准，监理人可按照第63</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款约定的变更程序向承包人发出变更指令，承包人应按照合同约定实施变更工作。</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没有经发包人批准也没有监理人的工程变更指令，承包人应按照合同约定施工，无权对合同工程作出任何变更。</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工程量偏差不属于工程变更，该项工程量增减不需要任何指令。</w:t>
      </w:r>
    </w:p>
    <w:p>
      <w:pPr>
        <w:pStyle w:val="22"/>
        <w:adjustRightInd w:val="0"/>
        <w:snapToGrid w:val="0"/>
        <w:spacing w:line="360" w:lineRule="auto"/>
        <w:rPr>
          <w:rFonts w:ascii="仿宋" w:hAnsi="仿宋" w:eastAsia="仿宋" w:cs="仿宋"/>
          <w:color w:val="auto"/>
          <w:sz w:val="24"/>
          <w:szCs w:val="24"/>
          <w:highlight w:val="none"/>
          <w:u w:val="dotted"/>
        </w:rPr>
      </w:pPr>
      <w:r>
        <w:rPr>
          <w:color w:val="auto"/>
          <w:highlight w:val="none"/>
          <w:lang w:val="en-US"/>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283845</wp:posOffset>
                </wp:positionV>
                <wp:extent cx="914400" cy="396240"/>
                <wp:effectExtent l="0" t="0" r="0" b="0"/>
                <wp:wrapNone/>
                <wp:docPr id="175" name="文本框 92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026" o:spt="202" type="#_x0000_t202" style="position:absolute;left:0pt;margin-left:-9pt;margin-top:22.35pt;height:31.2pt;width:72pt;z-index:251840512;mso-width-relative:page;mso-height-relative:page;" filled="f" stroked="f" coordsize="21600,21600" o:gfxdata="UEsDBAoAAAAAAIdO4kAAAAAAAAAAAAAAAAAEAAAAZHJzL1BLAwQUAAAACACHTuJAAzGcv9gAAAAK&#10;AQAADwAAAGRycy9kb3ducmV2LnhtbE2PzW7CMBCE75V4B2uRegM7KOUnxOFA1WurQlupNxMvSUS8&#10;jmJD0rfvcmpvuzuj2W/y3ehaccM+NJ40JHMFAqn0tqFKw8fxZbYGEaIha1pPqOEHA+yKyUNuMusH&#10;esfbIVaCQyhkRkMdY5dJGcoanQlz3yGxdva9M5HXvpK2NwOHu1YulFpKZxriD7XpcF9jeTlcnYbP&#10;1/P3V6reqmf31A1+VJLcRmr9OE3UFkTEMf6Z4Y7P6FAw08lfyQbRapgla+4SNaTpCsTdsFjy4cSD&#10;WiUgi1z+r1D8AlBLAwQUAAAACACHTuJAQeu/RRgCAAAYBAAADgAAAGRycy9lMm9Eb2MueG1srVPN&#10;bhMxEL4j8Q6W72STkLTNKpuqNCpCKj9S4QEcrzdrsfaYsZPd8ADwBpy4cO9z5TkYe9MQyqUHLpbt&#10;GX/zfd+M55edadhWoddgCz4aDDlTVkKp7brgnz7evLjgzAdhS9GAVQXfKc8vF8+fzVuXqzHU0JQK&#10;GYFYn7eu4HUILs8yL2tlhB+AU5aCFaARgY64zkoULaGbJhsPh2dZC1g6BKm8p9tlH+QHRHwKIFSV&#10;lmoJcmOUDT0qqkYEkuRr7TxfJLZVpWR4X1VeBdYUnJSGtFIR2q/imi3mIl+jcLWWBwriKRQeaTJC&#10;Wyp6hFqKINgG9T9QRksED1UYSDBZLyQ5QipGw0fe3NXCqaSFrPbuaLr/f7Dy3fYDMl3SJJxPObPC&#10;UMv3P77vf97vf31js/E0WtQ6n1PmnaPc0L2CjtKTXO9uQX72zMJ1LexaXSFCWytREsVRfJmdPO1x&#10;fARZtW+hpEpiEyABdRWa6B85wgid2rM7tkd1gUm6nI0mkyFFJIVezs7Gk9S+TOQPjx368FqBYXFT&#10;cKTuJ3CxvfUhkhH5Q0qsZeFGN02agMb+dUGJ8SaRj3x75qFbdQczVlDuSAZCP1D0nWhTA37lrKVh&#10;Krj/shGoOGveWLIiMafpS4fJ9HxMKvA0sjqNCCsJquCBs357HfqJ3TjU65oq9eZbuCL7Kp2kRZ97&#10;VgfeNDBJ8WG440SenlPWn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MZy/2AAAAAoBAAAP&#10;AAAAAAAAAAEAIAAAACIAAABkcnMvZG93bnJldi54bWxQSwECFAAUAAAACACHTuJAQeu/RRgCAAAY&#10;BAAADgAAAAAAAAABACAAAAAn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rPr>
        <w:t>63</w:t>
      </w:r>
      <w:r>
        <w:rPr>
          <w:rFonts w:ascii="仿宋" w:hAnsi="仿宋" w:eastAsia="仿宋" w:cs="仿宋"/>
          <w:b/>
          <w:bCs/>
          <w:color w:val="auto"/>
          <w:sz w:val="24"/>
          <w:szCs w:val="24"/>
          <w:highlight w:val="none"/>
        </w:rPr>
        <w:t xml:space="preserve">.2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合同履行期间，对比经发包人批准的施工图设计文件，发包人可对合同工程或其任何部分的形式、质量或数量作出变更。发生下列情形之一，应按照本条约定进行变更。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（1）改变合同工程中任何工程数量（不含工程量的偏差）；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（2）删减任何工作，但删减的工作不能转由发包人或其他人实施；</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（3）改变任何工作内容的性质、质量或其他特征；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（4）改变工程任何部分的标高、基线、位置和(或)尺寸；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（5）为完成永久工程所必须的任何额外工作；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但对合同工程工期、质量标准等进行实质性变更的，应在作出变更前，与承包人签订补充协议书，作为本合同的补充文件。</w:t>
      </w:r>
    </w:p>
    <w:p>
      <w:pPr>
        <w:pStyle w:val="22"/>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1841536" behindDoc="0" locked="0" layoutInCell="1" allowOverlap="1">
                <wp:simplePos x="0" y="0"/>
                <wp:positionH relativeFrom="column">
                  <wp:posOffset>-99060</wp:posOffset>
                </wp:positionH>
                <wp:positionV relativeFrom="paragraph">
                  <wp:posOffset>301625</wp:posOffset>
                </wp:positionV>
                <wp:extent cx="914400" cy="556895"/>
                <wp:effectExtent l="0" t="0" r="0" b="0"/>
                <wp:wrapNone/>
                <wp:docPr id="174" name="文本框 926"/>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026" o:spt="202" type="#_x0000_t202" style="position:absolute;left:0pt;margin-left:-7.8pt;margin-top:23.75pt;height:43.85pt;width:72pt;z-index:251841536;mso-width-relative:page;mso-height-relative:page;" filled="f" stroked="f" coordsize="21600,21600" o:gfxdata="UEsDBAoAAAAAAIdO4kAAAAAAAAAAAAAAAAAEAAAAZHJzL1BLAwQUAAAACACHTuJAPFSvb9cAAAAK&#10;AQAADwAAAGRycy9kb3ducmV2LnhtbE2PwU7DMAyG70i8Q2QkblvS0m6jNN0BxBXEgEncssZrKxqn&#10;arK1vD3eCW62/On395fb2fXijGPoPGlIlgoEUu1tR42Gj/fnxQZEiIas6T2hhh8MsK2ur0pTWD/R&#10;G553sREcQqEwGtoYh0LKULfoTFj6AYlvRz86E3kdG2lHM3G462Wq1Eo60xF/aM2Ajy3W37uT0/D5&#10;cvzaZ+q1eXL5MPlZSXL3Uuvbm0Q9gIg4xz8YLvqsDhU7HfyJbBC9hkWSrxjVkK1zEBcg3WQgDjzc&#10;5SnIqpT/K1S/UEsDBBQAAAAIAIdO4kArB4K3GAIAABgEAAAOAAAAZHJzL2Uyb0RvYy54bWytU0tu&#10;2zAQ3RfoHQjua9mG7cSC5SCNkaJA+gHSHoCmKIuoyGGHtCX3AO0Nuuqm+57L5+iQclw33WTRjUBy&#10;hm/ee3xaXHWmYTuFXoMt+Ggw5ExZCaW2m4J//HD74pIzH4QtRQNWFXyvPL9aPn+2aF2uxlBDUypk&#10;BGJ93rqC1yG4PMu8rJURfgBOWSpWgEYE2uImK1G0hG6abDwczrIWsHQIUnlPp6u+yI+I+BRAqCot&#10;1Qrk1igbelRUjQgkydfaeb5MbKtKyfCuqrwKrCk4KQ3pS0NovY7fbLkQ+QaFq7U8UhBPofBIkxHa&#10;0tAT1EoEwbao/4EyWiJ4qMJAgsl6IckRUjEaPvLmvhZOJS1ktXcn0/3/g5Vvd++R6ZKScDHhzApD&#10;T374/u3w49fh51c2H8+iRa3zOXXeO+oN3UvoqD3J9e4O5CfPLNzUwm7UNSK0tRIlURzFm9nZ1R7H&#10;R5B1+wZKmiS2ARJQV6GJ/pEjjNDpefan51FdYJIO56PJZEgVSaXpdHY5n6YJIn+47NCHVwoMi4uC&#10;I71+Ahe7Ox8iGZE/tMRZFm5106QENPavA2qMJ4l85NszD926O5qxhnJPMhD6QNHvRIsa8AtnLYWp&#10;4P7zVqDirHltyYrEnNKXNpPpxZhU4HllfV4RVhJUwQNn/fIm9IndOtSbmib15lu4JvsqnaRFn3tW&#10;R94UmKT4GO6YyPN96vrz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xUr2/XAAAACgEAAA8A&#10;AAAAAAAAAQAgAAAAIgAAAGRycy9kb3ducmV2LnhtbFBLAQIUABQAAAAIAIdO4kArB4K3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b/>
          <w:bCs/>
          <w:color w:val="auto"/>
          <w:sz w:val="24"/>
          <w:szCs w:val="24"/>
          <w:highlight w:val="none"/>
        </w:rPr>
        <w:t>63</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rPr>
        <w:t xml:space="preserve">                                                                      </w:t>
      </w:r>
    </w:p>
    <w:p>
      <w:pPr>
        <w:pStyle w:val="22"/>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合同工程发生变更，合同双方当事人以及设计顾问人、监理人、造价咨询人应遵循下列程序实施工程变更的相关工作。</w:t>
      </w:r>
    </w:p>
    <w:p>
      <w:pPr>
        <w:pStyle w:val="22"/>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rPr>
        <w:tab/>
      </w:r>
      <w:r>
        <w:rPr>
          <w:rFonts w:hint="eastAsia" w:ascii="仿宋" w:hAnsi="仿宋" w:eastAsia="仿宋" w:cs="仿宋"/>
          <w:color w:val="auto"/>
          <w:sz w:val="24"/>
          <w:szCs w:val="24"/>
          <w:highlight w:val="none"/>
        </w:rPr>
        <w:t xml:space="preserve">（1）合同工程可能发生或发生工程变更时，监理人或承包人可依据下列情况及时提出。 </w:t>
      </w:r>
    </w:p>
    <w:p>
      <w:pPr>
        <w:pStyle w:val="22"/>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① 合同工程可能发生第 63.2款所列情形的，监理人可向承包人发出变更意向书，明确发包人要求和采用的标准规范等资料。承包人应在收到变更意向书后的 7 天内，向监理人书面提交包括拟实施变更工作的计划、措施、竣工时间、修改内容、变更图纸和所需金额等在内的实施方案。发包人应在收到实施方案后的 7 天内予以答复 。 </w:t>
      </w:r>
    </w:p>
    <w:p>
      <w:pPr>
        <w:pStyle w:val="22"/>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②同意承包人提交的实施方案的，，监理人应至少提前 14 天以书面形式向承包人发出变更指令，明确发包人要求和采用的标准规范等资料，及批准的实施方案。</w:t>
      </w:r>
    </w:p>
    <w:p>
      <w:pPr>
        <w:pStyle w:val="22"/>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③ 若承包人收到监理人的变更意向书后认为难以实施此项变更的，应立即通知监理人，说明原因并附详细依据。监理人与合同双方当事人协商后确定撤销、改变或不改变原变更意向书。 </w:t>
      </w:r>
    </w:p>
    <w:p>
      <w:pPr>
        <w:pStyle w:val="22"/>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（2）承包人应在收到监理人发出变更指令或变更意向书后的 14 天内，向发包人提交工程变更报告，并抄送监理人、造价咨询人。报告内容应包括变更原因、根据第 79 条约定详细开列变更工作的价格组成和依据，并附变更的施工设计图纸及其相关说明。 </w:t>
      </w:r>
    </w:p>
    <w:p>
      <w:pPr>
        <w:pStyle w:val="22"/>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变更工作影响工期的，承包人应提出调整工期的要求。发包人认为有必要时，可要求承包人提交提前或者延长工期的施工进度计划或相应施工措施等资料。 </w:t>
      </w:r>
    </w:p>
    <w:p>
      <w:pPr>
        <w:pStyle w:val="22"/>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（3）发包人在收到承包人工程变更报告后，应通知监理人、造价咨询人及时对报告内容予以核实，并在收到报告后的 14 天内予以确定或提出修改意见。发包人在收到承包人工程变更报告后的 14 天内未确定也未提出修改意见的，视为承包人提交的工程变更报告已被认可。 </w:t>
      </w:r>
    </w:p>
    <w:p>
      <w:pPr>
        <w:pStyle w:val="22"/>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（4）承包人应在发包人确定工程变更报告后的 7 天内，按照监理人发出的变更指令及时组织实施变更工作。否则，由此引起的损失和（或）延误的工期由承包人承担。 </w:t>
      </w:r>
    </w:p>
    <w:p>
      <w:pPr>
        <w:pStyle w:val="22"/>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（5）工程变更技术审核：合同工程发生第 63.2 款所列情形，监理人在批准或指示工程变更前，其变更图纸（若有）应先通过设计顾问人的技术审核。</w:t>
      </w:r>
    </w:p>
    <w:p>
      <w:pPr>
        <w:pStyle w:val="22"/>
        <w:adjustRightInd w:val="0"/>
        <w:snapToGrid w:val="0"/>
        <w:spacing w:line="360" w:lineRule="auto"/>
        <w:rPr>
          <w:rFonts w:ascii="仿宋" w:hAnsi="仿宋" w:eastAsia="仿宋" w:cs="仿宋"/>
          <w:b/>
          <w:bCs/>
          <w:color w:val="auto"/>
          <w:sz w:val="24"/>
          <w:szCs w:val="24"/>
          <w:highlight w:val="none"/>
          <w:u w:val="dotted"/>
        </w:rPr>
      </w:pPr>
      <w:r>
        <w:rPr>
          <w:rFonts w:hint="eastAsia" w:ascii="仿宋" w:hAnsi="仿宋" w:eastAsia="仿宋" w:cs="仿宋"/>
          <w:b/>
          <w:bCs/>
          <w:color w:val="auto"/>
          <w:sz w:val="24"/>
          <w:szCs w:val="24"/>
          <w:highlight w:val="none"/>
        </w:rPr>
        <w:t>63</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842560" behindDoc="0" locked="0" layoutInCell="1" allowOverlap="1">
                <wp:simplePos x="0" y="0"/>
                <wp:positionH relativeFrom="margin">
                  <wp:align>left</wp:align>
                </wp:positionH>
                <wp:positionV relativeFrom="paragraph">
                  <wp:posOffset>29845</wp:posOffset>
                </wp:positionV>
                <wp:extent cx="914400" cy="557530"/>
                <wp:effectExtent l="0" t="0" r="0" b="0"/>
                <wp:wrapNone/>
                <wp:docPr id="173" name="文本框 927"/>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026" o:spt="202" type="#_x0000_t202" style="position:absolute;left:0pt;margin-top:2.35pt;height:43.9pt;width:72pt;mso-position-horizontal:left;mso-position-horizontal-relative:margin;z-index:251842560;mso-width-relative:page;mso-height-relative:page;" filled="f" stroked="f" coordsize="21600,21600" o:gfxdata="UEsDBAoAAAAAAIdO4kAAAAAAAAAAAAAAAAAEAAAAZHJzL1BLAwQUAAAACACHTuJA+ROPG9IAAAAF&#10;AQAADwAAAGRycy9kb3ducmV2LnhtbE2PwU7DMBBE70j8g7VI3KjdKoU2ZNMDiCuIFpB628bbJCJe&#10;R7HbhL/HPcFxNKOZN8Vmcp068xBaLwjzmQHFUnnbSo3wsXu5W4EKkcRS54URfjjApry+Kii3fpR3&#10;Pm9jrVKJhJwQmhj7XOtQNewozHzPkryjHxzFJIda24HGVO46vTDmXjtqJS001PNTw9X39uQQPl+P&#10;+6/MvNXPbtmPfjJa3Foj3t7MzSOoyFP8C8MFP6FDmZgO/iQ2qA4hHYkI2QOoi5llSR8Q1osl6LLQ&#10;/+nLX1BLAwQUAAAACACHTuJAwePq5hgCAAAYBAAADgAAAGRycy9lMm9Eb2MueG1srVPNbhMxEL4j&#10;8Q6W72STNCHtKpuqNCpCKj9S4QEcrzdrsfaYsZPd8ADwBpy4cO9z5TkYe9MQyqUHLpbtGX/zfd+M&#10;55edadhWoddgCz4aDDlTVkKp7brgnz7evDjnzAdhS9GAVQXfKc8vF8+fzVuXqzHU0JQKGYFYn7eu&#10;4HUILs8yL2tlhB+AU5aCFaARgY64zkoULaGbJhsPhy+zFrB0CFJ5T7fLPsgPiPgUQKgqLdUS5MYo&#10;G3pUVI0IJMnX2nm+SGyrSsnwvqq8CqwpOCkNaaUitF/FNVvMRb5G4WotDxTEUyg80mSEtlT0CLUU&#10;QbAN6n+gjJYIHqowkGCyXkhyhFSMho+8uauFU0kLWe3d0XT//2Dlu+0HZLqkSZidcWaFoZbvf3zf&#10;/7zf//rGLsazaFHrfE6Zd45yQ/cKOkpPcr27BfnZMwvXtbBrdYUIba1ESRRH8WV28rTH8RFk1b6F&#10;kiqJTYAE1FVoon/kCCN0as/u2B7VBSbp8mI0mQwpIik0nc6mZ6l9mcgfHjv04bUCw+Km4EjdT+Bi&#10;e+tDJCPyh5RYy8KNbpo0AY3964IS400iH/n2zEO36g5mrKDckQyEfqDoO9GmBvzKWUvDVHD/ZSNQ&#10;cda8sWRFYk7Tlw6T6WxMKvA0sjqNCCsJquCBs357HfqJ3TjU65oq9eZbuCL7Kp2kRZ97VgfeNDBJ&#10;8WG440SenlPWnw+9+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5E48b0gAAAAUBAAAPAAAAAAAA&#10;AAEAIAAAACIAAABkcnMvZG93bnJldi54bWxQSwECFAAUAAAACACHTuJAwePq5hgCAAAYBAAADgAA&#10;AAAAAAABACAAAAAhAQAAZHJzL2Uyb0RvYy54bWxQSwUGAAAAAAYABgBZAQAAqw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rPr>
        <w:t xml:space="preserve">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 63.3 款约定向承包人发出变更指令。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发包人采纳承包人的建议，给发包人带来降低合同价格、缩短工期或产生显著工程经济效益等利益的，发包人应按照国家有关规定并在专用条款中约定的计算方法予以奖励。</w:t>
      </w:r>
    </w:p>
    <w:p>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15240</wp:posOffset>
                </wp:positionV>
                <wp:extent cx="914400" cy="675005"/>
                <wp:effectExtent l="0" t="0" r="0" b="0"/>
                <wp:wrapNone/>
                <wp:docPr id="172" name="文本框 928"/>
                <wp:cNvGraphicFramePr/>
                <a:graphic xmlns:a="http://schemas.openxmlformats.org/drawingml/2006/main">
                  <a:graphicData uri="http://schemas.microsoft.com/office/word/2010/wordprocessingShape">
                    <wps:wsp>
                      <wps:cNvSpPr txBox="1">
                        <a:spLocks noChangeArrowheads="1"/>
                      </wps:cNvSpPr>
                      <wps:spPr bwMode="auto">
                        <a:xfrm>
                          <a:off x="0" y="0"/>
                          <a:ext cx="914400" cy="67500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026" o:spt="202" type="#_x0000_t202" style="position:absolute;left:0pt;margin-left:-9pt;margin-top:1.2pt;height:53.15pt;width:72pt;z-index:251843584;mso-width-relative:page;mso-height-relative:page;" filled="f" stroked="f" coordsize="21600,21600" o:gfxdata="UEsDBAoAAAAAAIdO4kAAAAAAAAAAAAAAAAAEAAAAZHJzL1BLAwQUAAAACACHTuJANYIZUNYAAAAJ&#10;AQAADwAAAGRycy9kb3ducmV2LnhtbE2PzW7CMBCE75V4B2srcQM7EaUhxOFA1StV6Y/Um4mXJGq8&#10;jmJD0rfvcmpvO5rR7DfFbnKduOIQWk8akqUCgVR521Kt4f3teZGBCNGQNZ0n1PCDAXbl7K4wufUj&#10;veL1GGvBJRRyo6GJsc+lDFWDzoSl75HYO/vBmchyqKUdzMjlrpOpUmvpTEv8oTE97husvo8Xp+Hj&#10;cP76XKmX+sk99KOflCS3kVrP7xO1BRFxin9huOEzOpTMdPIXskF0GhZJxluihnQF4uana9YnPlT2&#10;CLIs5P8F5S9QSwMEFAAAAAgAh07iQKnA8nwXAgAAGAQAAA4AAABkcnMvZTJvRG9jLnhtbK1TS27b&#10;MBDdF+gdCO5ryYYdJ4LlII2RokD6AdIegKYoi6jIYYe0pfQA7Q266qb7nsvn6JByXDfdZNGNQHKG&#10;b957fFpc9qZlO4Vegy35eJRzpqyESttNyT9+uHlxzpkPwlaiBatKfq88v1w+f7boXKEm0EBbKWQE&#10;Yn3RuZI3Ibgiy7xslBF+BE5ZKtaARgTa4iarUHSEbtpskudnWQdYOQSpvKfT1VDkB0R8CiDUtZZq&#10;BXJrlA0DKqpWBJLkG+08Xya2da1keFfXXgXWlpyUhvSlIbRex2+2XIhig8I1Wh4oiKdQeKTJCG1p&#10;6BFqJYJgW9T/QBktETzUYSTBZIOQ5AipGOePvLlrhFNJC1nt3dF0//9g5dvde2S6oiTMJ5xZYejJ&#10;99+/7X/82v/8yi4m59GizvmCOu8c9Yb+JfTUnuR6dwvyk2cWrhthN+oKEbpGiYoojuPN7OTqgOMj&#10;yLp7AxVNEtsACaiv0UT/yBFG6PQ898fnUX1gkg4vxtNpThVJpbP5LM9naYIoHi479OGVAsPiouRI&#10;r5/Axe7Wh0hGFA8tcZaFG922KQGt/euAGuNJIh/5DsxDv+4PZqyhuicZCEOg6HeiRQP4hbOOwlRy&#10;/3krUHHWvrZkRWJO6Uub6Ww+IRV4WlmfVoSVBFXywNmwvA5DYrcO9aahSYP5Fq7IvlonadHngdWB&#10;NwUmKT6EOybydJ+6/vz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ghlQ1gAAAAkBAAAPAAAA&#10;AAAAAAEAIAAAACIAAABkcnMvZG93bnJldi54bWxQSwECFAAUAAAACACHTuJAqcDyfBcCAAAYBAAA&#10;DgAAAAAAAAABACAAAAAl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规定条件的变更，此类变更应参照第79条规定或本项目的预算编制规则确定变更预算，作为投资控制的依据，但不作为合同价格调整的依据；其他可调价变更应按照第79条规定确定变更的工程款，作为合同价格调整的依据。影响工期的，工期应相应调整。但由于下列原因引起的变更，承包人无权要求任何额外或附加的费用，工期也不予顺延：</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32" w:name="_Toc15101"/>
      <w:bookmarkStart w:id="433" w:name="_Toc47694339"/>
      <w:bookmarkStart w:id="434" w:name="_Toc8740"/>
      <w:r>
        <w:rPr>
          <w:rFonts w:hint="eastAsia" w:ascii="仿宋" w:hAnsi="仿宋" w:eastAsia="仿宋" w:cs="仿宋"/>
          <w:bCs w:val="0"/>
          <w:color w:val="auto"/>
          <w:sz w:val="24"/>
          <w:szCs w:val="24"/>
          <w:highlight w:val="none"/>
        </w:rPr>
        <w:t>64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竣工验收条件</w:t>
      </w:r>
      <w:bookmarkEnd w:id="432"/>
      <w:bookmarkEnd w:id="433"/>
      <w:bookmarkEnd w:id="434"/>
    </w:p>
    <w:p>
      <w:pPr>
        <w:pStyle w:val="13"/>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44608" behindDoc="0" locked="0" layoutInCell="1" allowOverlap="1">
                <wp:simplePos x="0" y="0"/>
                <wp:positionH relativeFrom="margin">
                  <wp:align>left</wp:align>
                </wp:positionH>
                <wp:positionV relativeFrom="paragraph">
                  <wp:posOffset>99060</wp:posOffset>
                </wp:positionV>
                <wp:extent cx="914400" cy="422910"/>
                <wp:effectExtent l="0" t="0" r="0" b="0"/>
                <wp:wrapNone/>
                <wp:docPr id="171" name="文本框 929"/>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026" o:spt="202" type="#_x0000_t202" style="position:absolute;left:0pt;margin-top:7.8pt;height:33.3pt;width:72pt;mso-position-horizontal:left;mso-position-horizontal-relative:margin;z-index:251844608;mso-width-relative:page;mso-height-relative:page;" filled="f" stroked="f" coordsize="21600,21600" o:gfxdata="UEsDBAoAAAAAAIdO4kAAAAAAAAAAAAAAAAAEAAAAZHJzL1BLAwQUAAAACACHTuJAChZB99MAAAAG&#10;AQAADwAAAGRycy9kb3ducmV2LnhtbE2PwU7DMBBE70j8g7VI3Oi6UVqVEKcHEFcQpSBxc+NtEhGv&#10;o9htwt+zPcFxZlYzb8vt7Ht1pjF2gQ0sFxoUcR1cx42B/fvz3QZUTJad7QOTgR+KsK2ur0pbuDDx&#10;G513qVFSwrGwBtqUhgIx1i15GxdhIJbsGEZvk8ixQTfaScp9j5nWa/S2Y1lo7UCPLdXfu5M38PFy&#10;/PrM9Wvz5FfDFGaN7O/RmNubpX4AlWhOf8dwwRd0qITpEE7souoNyCNJ3NUa1CXNczEOBjZZBliV&#10;+B+/+gVQSwMEFAAAAAgAh07iQPBChFkXAgAAGAQAAA4AAABkcnMvZTJvRG9jLnhtbK1TzY7TMBC+&#10;I/EOlu80TVRYGjVdLVstQlp+pIUHcB2nsYg9Zuw2WR4A3mBPXLjzXH0Oxk63lOWyBy6W7Rl/833f&#10;jBfng+nYTqHXYCueT6acKSuh1nZT8U8fr5695MwHYWvRgVUVv1Weny+fPln0rlQFtNDVChmBWF/2&#10;ruJtCK7MMi9bZYSfgFOWgg2gEYGOuMlqFD2hmy4rptMXWQ9YOwSpvKfb1RjkB0R8DCA0jZZqBXJr&#10;lA0jKqpOBJLkW+08Xya2TaNkeN80XgXWVZyUhrRSEdqv45otF6LcoHCtlgcK4jEUHmgyQlsqeoRa&#10;iSDYFvU/UEZLBA9NmEgw2SgkOUIq8ukDb25a4VTSQlZ7dzTd/z9Y+W73AZmuaRLOcs6sMNTy/d33&#10;/Y9f+5/f2LyYR4t650vKvHGUG4ZXMFB6kuvdNcjPnlm4bIXdqAtE6FslaqKYx5fZydMRx0eQdf8W&#10;aqoktgES0NCgif6RI4zQqT23x/aoITBJl/N8NptSRFJoVhTzPLUvE+X9Y4c+vFZgWNxUHKn7CVzs&#10;rn2IZER5nxJrWbjSXZcmoLN/XVBivEnkI9+ReRjWw8GMNdS3JANhHCj6TrRpAb9y1tMwVdx/2QpU&#10;nHVvLFmRmNP0pcPs+VlBKvA0sj6NCCsJquKBs3F7GcaJ3TrUm5YqjeZbuCD7Gp2kRZ9HVgfeNDBJ&#10;8WG440SenlPWnw+9/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FkH30wAAAAYBAAAPAAAAAAAA&#10;AAEAIAAAACIAAABkcnMvZG93bnJldi54bWxQSwECFAAUAAAACACHTuJA8EKEWRcCAAAYBAAADgAA&#10;AAAAAAABACAAAAAiAQAAZHJzL2Uyb0RvYy54bWxQSwUGAAAAAAYABgBZAQAAqw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 xml:space="preserve">承包人实施、完成合同工程的全部工作内容，经自检评定并符合下列条件的，则认为合同工程已具备竣工验收条件。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（1）除监理人同意列入缺陷责任期内完成的尾工（甩项）工程和缺陷修补工作外，包括合同约定的试验、检验和验收等工作在内的合同范围内全部工作均已完成，并符合施工设计图纸和合同约定的要求；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（2）已按照合同约定的内容和份数备齐了符合国家或行业、省要求的竣工资料（质量控制资料等）；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（3）已按照监理人的指令编制了在缺陷责任期内完成的尾工（甩项）工程和缺陷修补工作清单，以及相应的实施计划；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（4）监理人要求在竣工验收前应完成的其他工作：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（5）监理人要求提交的竣工验收资料清单；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（6）竣工资料应当符合国家或行业、省关于基本建设项目档案资料管理的有关规定；发包人对基本建设项目档案资料管理有具体要求的，由合同双方在专用条款中约定。</w:t>
      </w:r>
    </w:p>
    <w:p>
      <w:pPr>
        <w:spacing w:line="360" w:lineRule="auto"/>
        <w:rPr>
          <w:rFonts w:ascii="仿宋" w:hAnsi="仿宋" w:eastAsia="仿宋"/>
          <w:color w:val="auto"/>
          <w:highlight w:val="none"/>
          <w:lang w:eastAsia="zh-CN"/>
        </w:rPr>
      </w:pPr>
      <w:bookmarkStart w:id="435"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435"/>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13"/>
        <w:widowControl w:val="0"/>
        <w:adjustRightInd w:val="0"/>
        <w:snapToGrid w:val="0"/>
        <w:spacing w:line="360" w:lineRule="auto"/>
        <w:ind w:left="1850" w:leftChars="771" w:firstLine="0"/>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45632" behindDoc="0" locked="0" layoutInCell="1" allowOverlap="1">
                <wp:simplePos x="0" y="0"/>
                <wp:positionH relativeFrom="margin">
                  <wp:align>left</wp:align>
                </wp:positionH>
                <wp:positionV relativeFrom="paragraph">
                  <wp:posOffset>9525</wp:posOffset>
                </wp:positionV>
                <wp:extent cx="914400" cy="422910"/>
                <wp:effectExtent l="0" t="0" r="0" b="0"/>
                <wp:wrapNone/>
                <wp:docPr id="170" name="文本框 930"/>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026" o:spt="202" type="#_x0000_t202" style="position:absolute;left:0pt;margin-top:0.75pt;height:33.3pt;width:72pt;mso-position-horizontal:left;mso-position-horizontal-relative:margin;z-index:251845632;mso-width-relative:page;mso-height-relative:page;" filled="f" stroked="f" coordsize="21600,21600" o:gfxdata="UEsDBAoAAAAAAIdO4kAAAAAAAAAAAAAAAAAEAAAAZHJzL1BLAwQUAAAACACHTuJAwN/U9tIAAAAF&#10;AQAADwAAAGRycy9kb3ducmV2LnhtbE2PzU7DMBCE70i8g7VI3KgdlFZtmk0PIK4gyo/EzY23SUS8&#10;jmK3CW/P9gTH2VnNfFPuZt+rM42xC4yQLQwo4jq4jhuE97enuzWomCw72wcmhB+KsKuur0pbuDDx&#10;K533qVESwrGwCG1KQ6F1rFvyNi7CQCzeMYzeJpFjo91oJwn3vb43ZqW97VgaWjvQQ0v19/7kET6e&#10;j1+fuXlpHv1ymMJsNPuNRry9ycwWVKI5/T3DBV/QoRKmQzixi6pHkCFJrktQFzPPRR8QVusMdFXq&#10;//TVL1BLAwQUAAAACACHTuJAmfXBuBcCAAAYBAAADgAAAGRycy9lMm9Eb2MueG1srVPLjtMwFN0j&#10;8Q+W9zRNKQyNmo6GqQYhDQ9p4ANcx2ksYl9z7TYpH8D8ASs27PmufgfXTqdThs0s2ES278255xwf&#10;z89707KtQq/BljwfjTlTVkKl7brknz9dPXvFmQ/CVqIFq0q+U56fL54+mXeuUBNooK0UMgKxvuhc&#10;yZsQXJFlXjbKCD8CpywVa0AjAm1xnVUoOkI3bTYZj19mHWDlEKTynk6XQ5EfEPExgFDXWqolyI1R&#10;NgyoqFoRSJJvtPN8kdjWtZLhQ117FVhbclIa0peG0HoVv9liLoo1CtdoeaAgHkPhgSYjtKWhR6il&#10;CIJtUP8DZbRE8FCHkQSTDUKSI6QiHz/w5qYRTiUtZLV3R9P9/4OV77cfkemKknBGnlhh6Mr3P273&#10;P3/vf31ns+fJos75gjpvHPWG/jX01J7kencN8otnFi4bYdfqAhG6RomKKObR3Ozk13gpvvARZNW9&#10;g4omiU2ABNTXaKJ/5AgjdKKyO16P6gOTdDjLp9MxVSSVppPJLE/cMlHc/ezQhzcKDIuLkiPdfgIX&#10;22sfIhlR3LXEWRaudNumBLT2rwNqjCeJfOQ7MA/9qqfuKGIF1Y5kIAyBoudEiwbwG2cdhank/utG&#10;oOKsfWvJisSc0pc20xdnE1KBp5XVaUVYSVAlD5wNy8swJHbjUK8bmjSYb+GC7Kt1knbP6sCbApMU&#10;H8IdE3m6T133D3r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Df1PbSAAAABQEAAA8AAAAAAAAA&#10;AQAgAAAAIgAAAGRycy9kb3ducmV2LnhtbFBLAQIUABQAAAAIAIdO4kCZ9cG4FwIAABgEAAAOAAAA&#10;AAAAAAEAIAAAACEBAABkcnMvZTJvRG9jLnhtbFBLBQYAAAAABgAGAFkBAACq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承包人认为合同工程具备竣工验收条件的，应按照国家或行业、省规定的工程竣工验收技术资料格式和要求，及时向发包人提交竣工验收申请报告和符合要求的完整竣工资料，合同双方当事人应按照第 65 条约定进行验收。</w:t>
      </w:r>
    </w:p>
    <w:p>
      <w:pPr>
        <w:spacing w:line="360" w:lineRule="auto"/>
        <w:rPr>
          <w:rFonts w:ascii="仿宋" w:hAnsi="仿宋" w:eastAsia="仿宋"/>
          <w:b/>
          <w:bCs/>
          <w:color w:val="auto"/>
          <w:highlight w:val="none"/>
          <w:lang w:eastAsia="zh-CN"/>
        </w:rPr>
      </w:pPr>
      <w:bookmarkStart w:id="436"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4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firstLine="0"/>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169" name="文本框 931"/>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026" o:spt="202" type="#_x0000_t202" style="position:absolute;left:0pt;margin-left:-9pt;margin-top:3.05pt;height:32.05pt;width:68.8pt;z-index:251846656;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oWafMRgCAAAYBAAADgAAAGRycy9lMm9Eb2MueG1srVNLbtsw&#10;EN0X6B0I7mvJn9ixYDlIY6QokH6AtAegKcoiKnHYIW3JPUB7g6666b7n8jk6pBzXTTdZdCOQnOGb&#10;9x6fFlddU7OdQqfB5Hw4SDlTRkKhzSbnHz/cvrjkzHlhClGDUTnfK8evls+fLVqbqRFUUBcKGYEY&#10;l7U255X3NksSJyvVCDcAqwwVS8BGeNriJilQtITe1MkoTadJC1hYBKmco9NVX+RHRHwKIJSllmoF&#10;ctso43tUVLXwJMlV2jq+jGzLUkn/riyd8qzOOSn18UtDaL0O32S5ENkGha20PFIQT6HwSFMjtKGh&#10;J6iV8IJtUf8D1WiJ4KD0AwlN0guJjpCKYfrIm/tKWBW1kNXOnkx3/w9Wvt29R6YLSsJ0zpkRDT35&#10;4fu3w49fh59f2Xw8DBa11mXUeW+p13cvoaP2KNfZO5CfHDNwUwmzUdeI0FZKFEQx3kzOrvY4LoCs&#10;2zdQ0CSx9RCBuhKb4B85wgidnmd/eh7VeSbp8HI2nk2pIqk0SWfp+CJwS0T2cNmi868UNCwsco70&#10;+hFc7O6c71sfWsIsA7e6rmMCavPXAWGGk0g+8O2Z+27dHc1YQ7EnGQh9oOh3okUF+IWzlsKUc/d5&#10;K1BxVr82ZMV8OJmE9MXN5GI2og2eV9bnFWEkQeXcc9Yvb3yf2K1FvaloUm++gWuyr9RRWvC5Z3Xk&#10;TYGJ5hzDHRJ5vo9df37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H8RN1QAAAAgBAAAPAAAA&#10;AAAAAAEAIAAAACIAAABkcnMvZG93bnJldi54bWxQSwECFAAUAAAACACHTuJAoWafMR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37" w:name="_Toc10150"/>
      <w:bookmarkStart w:id="438" w:name="_Toc11841"/>
      <w:bookmarkStart w:id="439" w:name="_Toc47694340"/>
      <w:r>
        <w:rPr>
          <w:rFonts w:hint="eastAsia" w:ascii="仿宋" w:hAnsi="仿宋" w:eastAsia="仿宋" w:cs="仿宋"/>
          <w:bCs w:val="0"/>
          <w:color w:val="auto"/>
          <w:sz w:val="24"/>
          <w:szCs w:val="24"/>
          <w:highlight w:val="none"/>
        </w:rPr>
        <w:t>65</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竣工验收</w:t>
      </w:r>
      <w:bookmarkEnd w:id="437"/>
      <w:bookmarkEnd w:id="438"/>
      <w:bookmarkEnd w:id="439"/>
    </w:p>
    <w:p>
      <w:pPr>
        <w:tabs>
          <w:tab w:val="left" w:pos="1620"/>
        </w:tabs>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lang w:eastAsia="zh-CN" w:bidi="ar-SA"/>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168" name="文本框 932"/>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026" o:spt="202" type="#_x0000_t202" style="position:absolute;left:0pt;margin-left:-9pt;margin-top:20.3pt;height:32.1pt;width:68.8pt;z-index:25193369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HOE2zMZAgAAGAQAAA4AAABkcnMvZTJvRG9jLnhtbK1TzW4T&#10;MRC+I/EOlu9kkzQk7SqbqjQqQio/UuEBHK83a7H2mLGT3fAA9A04ceHOc+U5GHvTEMqlBy6W7Rl/&#10;833fjOeXnWnYVqHXYAs+Ggw5U1ZCqe264J8+3rw458wHYUvRgFUF3ynPLxfPn81bl6sx1NCUChmB&#10;WJ+3ruB1CC7PMi9rZYQfgFOWghWgEYGOuM5KFC2hmyYbD4fTrAUsHYJU3tPtsg/yAyI+BRCqSku1&#10;BLkxyoYeFVUjAknytXaeLxLbqlIyvK8qrwJrCk5KQ1qpCO1Xcc0Wc5GvUbhaywMF8RQKjzQZoS0V&#10;PUItRRBsg/ofKKMlgocqDCSYrBeSHCEVo+Ejb+5q4VTSQlZ7dzTd/z9Y+W77AZkuaRKm1HgrDLV8&#10;//1+/+PX/uc3dnE2jha1zueUeecoN3SvoKP0JNe7W5CfPbNwXQu7VleI0NZKlERxFF9mJ097HB9B&#10;Vu1bKKmS2ARIQF2FJvpHjjBCp/bsju1RXWCSLs9nZ7MpRSSFJsPZdJbal4n84bFDH14rMCxuCo7U&#10;/QQutrc+RDIif0iJtSzc6KZJE9DYvy4oMd4k8pFvzzx0q+5gxgrKHclA6AeKvhNtasCvnLU0TAX3&#10;XzYCFWfNG0tWXIwmkzh96TB5ORvTAU8jq9OIsJKgCh4467fXoZ/YjUO9rqlSb76FK7Kv0kla9Lln&#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nskQjWAAAACgEAAA8A&#10;AAAAAAAAAQAgAAAAIgAAAGRycy9kb3ducmV2LnhtbFBLAQIUABQAAAAIAIdO4kBzhNszGQIAABgE&#10;AAAOAAAAAAAAAAEAIAAAACU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合同双方当事人应在专用条款中约定合同工程竣工验收标准，但约定的竣工验收标准应符合国家或行业、省的有关规定。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pPr>
        <w:tabs>
          <w:tab w:val="left" w:pos="1620"/>
        </w:tabs>
        <w:adjustRightInd w:val="0"/>
        <w:snapToGrid w:val="0"/>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372110</wp:posOffset>
                </wp:positionV>
                <wp:extent cx="873760" cy="407670"/>
                <wp:effectExtent l="0" t="0" r="0" b="0"/>
                <wp:wrapNone/>
                <wp:docPr id="167"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026" o:spt="202" type="#_x0000_t202" style="position:absolute;left:0pt;margin-left:-9pt;margin-top:29.3pt;height:32.1pt;width:68.8pt;z-index:251934720;mso-width-relative:page;mso-height-relative:page;" filled="f" stroked="f" coordsize="21600,21600" o:gfxdata="UEsDBAoAAAAAAIdO4kAAAAAAAAAAAAAAAAAEAAAAZHJzL1BLAwQUAAAACACHTuJAnoGekdcAAAAK&#10;AQAADwAAAGRycy9kb3ducmV2LnhtbE2PzW7CMBCE75X6DtZW4gZ2IkAhxOEA6rVV6Y/Um4mXJCJe&#10;R7Eh6dt3ObW3Ge1o9ptiN7lO3HAIrScNyUKBQKq8banW8PH+PM9AhGjIms4TavjBALvy8aEwufUj&#10;veHtGGvBJRRyo6GJsc+lDFWDzoSF75H4dvaDM5HtUEs7mJHLXSdTpdbSmZb4Q2N63DdYXY5Xp+Hz&#10;5fz9tVSv9cGt+tFPSpLbSK1nT4nagog4xb8w3PEZHUpmOvkr2SA6DfMk4y1Rwypbg7gHkg2LE4s0&#10;zUCWhfw/ofwFUEsDBBQAAAAIAIdO4kCVSun+GgIAABgEAAAOAAAAZHJzL2Uyb0RvYy54bWytU81u&#10;EzEQviPxDpbvZPNHtl1lU5VGRUiFIhUewPF6sxa7HjN2shsegL4BJy7c+1x5DsbeNIRy6YGLZXvG&#10;33zfN+P5RdfUbKvQaTA5Hw2GnCkjodBmnfPPn65fnXHmvDCFqMGonO+U4xeLly/mrc3UGCqoC4WM&#10;QIzLWpvzynubJYmTlWqEG4BVhoIlYCM8HXGdFChaQm/qZDwczpIWsLAIUjlHt8s+yA+I+BxAKEst&#10;1RLkplHG96ioauFJkqu0dXwR2Zalkv62LJ3yrM45KfVxpSK0X4U1WcxFtkZhKy0PFMRzKDzR1Aht&#10;qOgRaim8YBvU/0A1WiI4KP1AQpP0QqIjpGI0fOLNXSWsilrIamePprv/Bys/bD8i0wVNwizlzIiG&#10;Wr7/cb//+bD/9Z2dTybBota6jDLvLOX67g10lB7lOnsD8otjBq4qYdbqEhHaSomCKI7Cy+TkaY/j&#10;AsiqfQ8FVRIbDxGoK7EJ/pEjjNCpPbtje1TnmaTLs3SSzigiKTQdprM0ti8R2eNji86/VdCwsMk5&#10;UvcjuNjeOB/IiOwxJdQycK3rOk5Abf66oMRwE8kHvj1z3626gxkrKHYkA6EfKPpOtKkAv3HW0jDl&#10;3H3dCFSc1e8MWXE+mk7D9MXD9HU6pgOeRlanEWEkQeXcc9Zvr3w/sRuLel1Rpd58A5dkX6mjtOBz&#10;z+rAmwYmKj4Md5jI03PM+vOh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oGekdcAAAAKAQAA&#10;DwAAAAAAAAABACAAAAAiAAAAZHJzL2Rvd25yZXYueG1sUEsBAhQAFAAAAAgAh07iQJVK6f4aAgAA&#10;GAQAAA4AAAAAAAAAAQAgAAAAJg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发包人收到承包人按照第 64.2 款约定提交的竣工验收申请报告后，应及时通知监理人核查合同工程是否具备竣工验收条件。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（1）经核查未具备竣工验收条件的，监理人应在收到竣工验收申请报告后的 14天内通知承包人，指出在颁发接收证书前承包人应进一步完成的工作内容。承包人对监理人提出的有关工程质量和工程数量方面的问题，应在接到监理人通知后的 14 天内完成整改。承包人完成监理人通知的全部工作内容后，应再次提交竣工验收申请报告，直至监理人同意为止。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（2）经核查已具备竣工验收条件的，监理人应在收到竣工验收申请报告后的 14天内书面提请发包人组织合同工程验收。</w:t>
      </w:r>
    </w:p>
    <w:p>
      <w:pPr>
        <w:spacing w:line="360" w:lineRule="auto"/>
        <w:rPr>
          <w:rFonts w:ascii="仿宋" w:hAnsi="仿宋" w:eastAsia="仿宋"/>
          <w:b/>
          <w:bCs/>
          <w:color w:val="auto"/>
          <w:highlight w:val="none"/>
          <w:lang w:eastAsia="zh-CN"/>
        </w:rPr>
      </w:pPr>
      <w:bookmarkStart w:id="440" w:name="_Toc5023"/>
      <w:r>
        <w:rPr>
          <w:color w:val="auto"/>
          <w:highlight w:val="none"/>
          <w:lang w:eastAsia="zh-CN" w:bidi="ar-SA"/>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340360</wp:posOffset>
                </wp:positionV>
                <wp:extent cx="873760" cy="407670"/>
                <wp:effectExtent l="0" t="0" r="0" b="0"/>
                <wp:wrapNone/>
                <wp:docPr id="166"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026" o:spt="202" type="#_x0000_t202" style="position:absolute;left:0pt;margin-left:-9pt;margin-top:26.8pt;height:32.1pt;width:68.8pt;z-index:251935744;mso-width-relative:page;mso-height-relative:page;" filled="f" stroked="f" coordsize="21600,21600" o:gfxdata="UEsDBAoAAAAAAIdO4kAAAAAAAAAAAAAAAAAEAAAAZHJzL1BLAwQUAAAACACHTuJAkymDO9cAAAAK&#10;AQAADwAAAGRycy9kb3ducmV2LnhtbE2PzU7DMBCE70h9B2srcWvtFFrSEKeHIq4gyo/EzY23SUS8&#10;jmK3CW/P5kRvM9rR7Df5bnStuGAfGk8akqUCgVR621Cl4eP9eZGCCNGQNa0n1PCLAXbF7CY3mfUD&#10;veHlECvBJRQyo6GOscukDGWNzoSl75D4dvK9M5FtX0nbm4HLXStXSm2kMw3xh9p0uK+x/DmcnYbP&#10;l9P31716rZ7cuhv8qCS5rdT6dp6oRxARx/gfhgmf0aFgpqM/kw2i1bBIUt4SNazvNiCmQLJlcZzE&#10;QwqyyOX1hOIPUEsDBBQAAAAIAIdO4kCEHFUyGgIAABgEAAAOAAAAZHJzL2Uyb0RvYy54bWytU81u&#10;EzEQviPxDpbvZJM0JO0qm6o0KkIqP1LhARyvN2ux9pixk93wAPQNOHHhznPlORh70xDKpQculu0Z&#10;f/N934znl51p2Fah12ALPhoMOVNWQqntuuCfPt68OOfMB2FL0YBVBd8pzy8Xz5/NW5erMdTQlAoZ&#10;gVift67gdQguzzIva2WEH4BTloIVoBGBjrjOShQtoZsmGw+H06wFLB2CVN7T7bIP8gMiPgUQqkpL&#10;tQS5McqGHhVVIwJJ8rV2ni8S26pSMryvKq8CawpOSkNaqQjtV3HNFnORr1G4WssDBfEUCo80GaEt&#10;FT1CLUUQbIP6HyijJYKHKgwkmKwXkhwhFaPhI2/uauFU0kJWe3c03f8/WPlu+wGZLmkSplPOrDDU&#10;8v33+/2PX/uf39jF2SRa1DqfU+ado9zQvYKO0pNc725BfvbMwnUt7FpdIUJbK1ESxVF8mZ087XF8&#10;BFm1b6GkSmITIAF1FZroHznCCJ3aszu2R3WBSbo8n53NphSRFJoMZ9NZal8m8ofHDn14rcCwuCk4&#10;UvcTuNje+hDJiPwhJdaycKObJk1AY/+6oMR4k8hHvj3z0K26gxkrKHckA6EfKPpOtKkBv3LW0jAV&#10;3H/ZCFScNW8sWXExmkzi9KXD5OVsTAc8jaxOI8JKgip44KzfXod+YjcO9bqmSr35Fq7IvkonadHn&#10;ntWBNw1MUnwY7jiRp+eU9edD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ymDO9cAAAAKAQAA&#10;DwAAAAAAAAABACAAAAAiAAAAZHJzL2Rvd25yZXYueG1sUEsBAhQAFAAAAAgAh07iQIQcVTIaAgAA&#10;GAQAAA4AAAAAAAAAAQAgAAAAJg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4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款规定核查合同工程已具备竣工验收条件的，发包人应在收到监理人书面提请后的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款规定组织参加验收各方完成合同工程验收，并在竣工验收后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pPr>
        <w:spacing w:line="360" w:lineRule="auto"/>
        <w:rPr>
          <w:rFonts w:ascii="仿宋" w:hAnsi="仿宋" w:eastAsia="仿宋"/>
          <w:color w:val="auto"/>
          <w:highlight w:val="none"/>
          <w:lang w:eastAsia="zh-CN"/>
        </w:rPr>
      </w:pPr>
      <w:bookmarkStart w:id="441"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441"/>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adjustRightInd w:val="0"/>
        <w:snapToGri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165" name="文本框 935"/>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026" o:spt="202" type="#_x0000_t202" style="position:absolute;left:0pt;margin-left:-9pt;margin-top:1.55pt;height:35.55pt;width:68.8pt;z-index:25184768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JJ/CcAZAgAAGAQAAA4AAABkcnMvZTJvRG9jLnhtbK1TS27b&#10;MBDdF+gdCO5r2Y5/ESwHaYwUBdIPkPYANEVZRCUOO6QtuQdob9BVN933XD5Hh5Tiuukmi24EkjN8&#10;897j0/KqrSu2V+g0mIyPBkPOlJGQa7PN+McPty8WnDkvTC4qMCrjB+X41er5s2VjUzWGEqpcISMQ&#10;49LGZrz03qZJ4mSpauEGYJWhYgFYC09b3CY5iobQ6yoZD4ezpAHMLYJUztHpuivyHhGfAghFoaVa&#10;g9zVyvgOFVUlPElypbaOryLbolDSvysKpzyrMk5KffzSEFpvwjdZLUW6RWFLLXsK4ikUHmmqhTY0&#10;9AS1Fl6wHep/oGotERwUfiChTjoh0RFSMRo+8ua+FFZFLWS1syfT3f+DlW/375HpnJIwm3JmRE1P&#10;fvz+7fjj1/HnV3Z5MQ0WNdal1Hlvqde3L6Gl9ijX2TuQnxwzcFMKs1XXiNCUSuREcRRuJmdXOxwX&#10;QDbNG8hpkth5iEBtgXXwjxxhhE7Pczg9j2o9k3S4mF/MZ1SRVJpMR5NF5JaI9OGyRedfKahZWGQc&#10;6fUjuNjfOR/IiPShJcwycKurKiagMn8dUGM4ieQD3465bzdtb8YG8gPJQOgCRb8TLUrAL5w1FKaM&#10;u887gYqz6rUhKy5Hk0lIX9xMpvMxbfC8sjmvCCMJKuOes25547vE7izqbUmTOvMNXJN9hY7Sgs8d&#10;q543BSYq7sMdEnm+j11/fu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W1iu3WAAAACAEAAA8A&#10;AAAAAAAAAQAgAAAAIgAAAGRycy9kb3ducmV2LnhtbFBLAQIUABQAAAAIAIdO4kCSfwnAGQIAABgE&#10;AAAOAAAAAAAAAAEAIAAAACU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款规定完成合同工程验收，或验收后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pPr>
        <w:spacing w:line="360" w:lineRule="auto"/>
        <w:rPr>
          <w:rFonts w:ascii="仿宋" w:hAnsi="仿宋" w:eastAsia="仿宋"/>
          <w:b/>
          <w:bCs/>
          <w:color w:val="auto"/>
          <w:highlight w:val="none"/>
          <w:lang w:eastAsia="zh-CN"/>
        </w:rPr>
      </w:pPr>
      <w:bookmarkStart w:id="442"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4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164" name="文本框 93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026" o:spt="202" type="#_x0000_t202" style="position:absolute;left:0pt;margin-left:-9pt;margin-top:1.55pt;height:31.2pt;width:72pt;z-index:25184870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h9ZW6BcCAAAYBAAADgAAAGRycy9lMm9Eb2MueG1srVPBbhMx&#10;EL0j8Q+W72STNIRmlU1VGhUhFYpU+ADH681arD1m7GQ3fAD9A05cuPNd+Q7G3jSEcumBi2V7xm/e&#10;ezOeX3SmYVuFXoMt+Ggw5ExZCaW264J/+nj94pwzH4QtRQNWFXynPL9YPH82b12uxlBDUypkBGJ9&#10;3rqC1yG4PMu8rJURfgBOWQpWgEYEOuI6K1G0hG6abDwcTrMWsHQIUnlPt8s+yA+I+BRAqCot1RLk&#10;xigbelRUjQgkydfaeb5IbKtKyXBbVV4F1hSclIa0UhHar+KaLeYiX6NwtZYHCuIpFB5pMkJbKnqE&#10;Woog2Ab1P1BGSwQPVRhIMFkvJDlCKkbDR97c1cKppIWs9u5ouv9/sPL99gMyXdIkTCecWWGo5fvv&#10;9/sfv/Y/v7HZ2TRa1DqfU+ado9zQvYaO0pNc725AfvbMwlUt7FpdIkJbK1ESxVF8mZ087XF8BFm1&#10;76CkSmITIAF1FZroHznCCJ3aszu2R3WBSbqcjSaTIUUkhc5m0/EktS8T+cNjhz68UWBY3BQcqfsJ&#10;XGxvfIhkRP6QEmtZuNZNkyagsX9dUGK8SeQj35556FbdwYwVlDuSgdAPFH0n2tSAXzlraZgK7r9s&#10;BCrOmreWrEjMafrSYfLy1ZhU4GlkdRoRVhJUwQNn/fYq9BO7cajXNVXqzbdwSfZVOkmLPvesDrxp&#10;YJLiw3DHiTw9p6w/H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ar/k3VAAAACAEAAA8AAAAA&#10;AAAAAQAgAAAAIgAAAGRycy9kb3ducmV2LnhtbFBLAQIUABQAAAAIAIdO4kCH1lbo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款规定完成合同工程验收，从收到监理人书面提请后的第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pPr>
        <w:spacing w:line="360" w:lineRule="auto"/>
        <w:rPr>
          <w:rFonts w:ascii="仿宋" w:hAnsi="仿宋" w:eastAsia="仿宋"/>
          <w:color w:val="auto"/>
          <w:highlight w:val="none"/>
          <w:lang w:eastAsia="zh-CN"/>
        </w:rPr>
      </w:pPr>
      <w:bookmarkStart w:id="443"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44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1" w:leftChars="771" w:hanging="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49728" behindDoc="0" locked="0" layoutInCell="1" allowOverlap="1">
                <wp:simplePos x="0" y="0"/>
                <wp:positionH relativeFrom="margin">
                  <wp:align>left</wp:align>
                </wp:positionH>
                <wp:positionV relativeFrom="paragraph">
                  <wp:posOffset>74930</wp:posOffset>
                </wp:positionV>
                <wp:extent cx="914400" cy="395605"/>
                <wp:effectExtent l="0" t="0" r="0" b="4445"/>
                <wp:wrapNone/>
                <wp:docPr id="163"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026" o:spt="202" type="#_x0000_t202" style="position:absolute;left:0pt;margin-top:5.9pt;height:31.15pt;width:72pt;mso-position-horizontal:left;mso-position-horizontal-relative:margin;z-index:251849728;mso-width-relative:page;mso-height-relative:page;" filled="f" stroked="f" coordsize="21600,21600" o:gfxdata="UEsDBAoAAAAAAIdO4kAAAAAAAAAAAAAAAAAEAAAAZHJzL1BLAwQUAAAACACHTuJANZISS9IAAAAG&#10;AQAADwAAAGRycy9kb3ducmV2LnhtbE2PS0/DMBCE70j9D9ZW4kbXqcIrxOmhiCuI8pC4ufE2iYjX&#10;Uew24d+zPcFxZlYz35ab2ffqRGPsAhvIVhoUcR1cx42B97enqztQMVl2tg9MBn4owqZaXJS2cGHi&#10;VzrtUqOkhGNhDbQpDQVirFvyNq7CQCzZIYzeJpFjg260k5T7Htda36C3HctCawfatlR/747ewMfz&#10;4esz1y/No78epjBrZH+PxlwuM/0AKtGc/o7hjC/oUAnTPhzZRdUbkEeSuJnwn9M8F2Nv4DbPAKsS&#10;/+NXv1BLAwQUAAAACACHTuJA3lSBQhcCAAAYBAAADgAAAGRycy9lMm9Eb2MueG1srVNLbtswEN0X&#10;6B0I7mvJ39SC5SCNkaJA+gHSHoCmKIuoxGGHtCX3AM0Nuuqm+57L5+iQclw33WTRjUByhm/ee3xa&#10;XHZNzXYKnQaT8+Eg5UwZCYU2m5x/+njz4iVnzgtTiBqMyvleOX65fP5s0dpMjaCCulDICMS4rLU5&#10;r7y3WZI4WalGuAFYZahYAjbC0xY3SYGiJfSmTkZpOktawMIiSOUcna76Ij8i4lMAoSy1VCuQ20YZ&#10;36OiqoUnSa7S1vFlZFuWSvr3ZemUZ3XOSamPXxpC63X4JsuFyDYobKXlkYJ4CoVHmhqhDQ09Qa2E&#10;F2yL+h+oRksEB6UfSGiSXkh0hFQM00fe3FXCqqiFrHb2ZLr7f7Dy3e4DMl1QEmZjzoxo6MkP3+8P&#10;P34dfn5j8/FFsKi1LqPOO0u9vnsFHbVHuc7egvzsmIHrSpiNukKEtlKiIIrDcDM5u9rjuACybt9C&#10;QZPE1kME6kpsgn/kCCN0ep796XlU55mkw/lwMkmpIqk0nk9n6TROENnDZYvOv1bQsLDIOdLrR3Cx&#10;u3U+kBHZQ0uYZeBG13VMQG3+OqDGcBLJB749c9+tu6MZayj2JAOhDxT9TrSoAL9y1lKYcu6+bAUq&#10;zuo3hqyIzCl9cTOZXoxIBZ5X1ucVYSRB5dxz1i+vfZ/YrUW9qWhSb76BK7Kv1FFa8LlndeRNgYmK&#10;j+EOiTzfx64/P/T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WSEkvSAAAABgEAAA8AAAAAAAAA&#10;AQAgAAAAIgAAAGRycy9kb3ducmV2LnhtbFBLAQIUABQAAAAIAIdO4kDeVIFCFwIAABgEAAAOAAAA&#10;AAAAAAEAIAAAACEBAABkcnMvZTJvRG9jLnhtbFBLBQYAAAAABgAGAFkBAAC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 xml:space="preserve">竣工验收合格的，发包人应接收工程，并在收到承包人提交的竣工验收申请报告后的 56 天内向承包人颁发工程接收证书。 </w:t>
      </w:r>
    </w:p>
    <w:p>
      <w:pPr>
        <w:widowControl w:val="0"/>
        <w:spacing w:line="360" w:lineRule="auto"/>
        <w:ind w:left="1851" w:leftChars="771" w:hanging="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竣工验收后，发包人同意接收工程但提出限期整修和完善要求的，发包人应缓发工程接收证书。承包人整修和完善工作完成后，监理人核查达到要求的，发包人应向承包人颁发工程接收证书。 </w:t>
      </w:r>
    </w:p>
    <w:p>
      <w:pPr>
        <w:widowControl w:val="0"/>
        <w:spacing w:line="360" w:lineRule="auto"/>
        <w:ind w:left="1851" w:leftChars="771" w:hanging="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spacing w:line="360" w:lineRule="auto"/>
        <w:rPr>
          <w:rFonts w:ascii="仿宋" w:hAnsi="仿宋" w:eastAsia="仿宋"/>
          <w:b/>
          <w:bCs/>
          <w:color w:val="auto"/>
          <w:highlight w:val="none"/>
          <w:lang w:eastAsia="zh-CN"/>
        </w:rPr>
      </w:pPr>
      <w:bookmarkStart w:id="444"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4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162" name="文本框 938"/>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026" o:spt="202" type="#_x0000_t202" style="position:absolute;left:0pt;margin-left:-9pt;margin-top:0.35pt;height:31.15pt;width:72pt;z-index:25185075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nrJYsGAIAABgEAAAOAAAAZHJzL2Uyb0RvYy54bWytU0Fu2zAQ&#10;vBfoHwjea8mO7caC5SCNkaJA2hRI+wCaoiyiEpdd0pbcBzQ/6KmX3vMuv6NLynHd9JJDLwLJXc7O&#10;DEfzi66p2Vah02ByPhyknCkjodBmnfPPn65fnXPmvDCFqMGonO+U4xeLly/mrc3UCCqoC4WMQIzL&#10;WpvzynubJYmTlWqEG4BVhoolYCM8bXGdFChaQm/qZJSm06QFLCyCVM7R6bIv8gMiPgcQylJLtQS5&#10;aZTxPSqqWniS5CptHV9EtmWppL8tS6c8q3NOSn380hBar8I3WcxFtkZhKy0PFMRzKDzR1AhtaOgR&#10;aim8YBvU/0A1WiI4KP1AQpP0QqIjpGKYPvHmrhJWRS1ktbNH093/g5Ufth+R6YKSMB1xZkRDT77/&#10;cb//+bD/9Z3Nzs6DRa11GXXeWer13RvoqD3KdfYG5BfHDFxVwqzVJSK0lRIFURyGm8nJ1R7HBZBV&#10;+x4KmiQ2HiJQV2IT/CNHGKHT8+yOz6M6zyQdzobjcUoVSaWz2WSaTuIEkT1etuj8WwUNC4ucI71+&#10;BBfbG+cDGZE9toRZBq51XccE1OavA2oMJ5F84Nsz992qO5ixgmJHMhD6QNHvRIsK8BtnLYUp5+7r&#10;RqDirH5nyIrInNIXN+PJ6xGpwNPK6rQijCSonHvO+uWV7xO7sajXFU3qzTdwSfaVOkoLPvesDrwp&#10;MFHxIdwhkaf72PXnh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AkL/UAAAABwEAAA8AAAAA&#10;AAAAAQAgAAAAIgAAAGRycy9kb3ducmV2LnhtbFBLAQIUABQAAAAIAIdO4kBnrJYsGAIAABgEAAAO&#10;AAAAAAAAAAEAIAAAACMBAABkcnMvZTJvRG9jLnhtbFBLBQYAAAAABgAGAFkBAACt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款规定在工程接收证书上写明合同工程的实际竣工日期。</w:t>
      </w:r>
    </w:p>
    <w:p>
      <w:pPr>
        <w:spacing w:line="360" w:lineRule="auto"/>
        <w:rPr>
          <w:rFonts w:ascii="仿宋" w:hAnsi="仿宋" w:eastAsia="仿宋"/>
          <w:b/>
          <w:bCs/>
          <w:color w:val="auto"/>
          <w:highlight w:val="none"/>
          <w:lang w:eastAsia="zh-CN"/>
        </w:rPr>
      </w:pPr>
      <w:bookmarkStart w:id="445"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4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adjustRightInd w:val="0"/>
        <w:snapToGrid w:val="0"/>
        <w:spacing w:line="360" w:lineRule="auto"/>
        <w:ind w:left="1850" w:leftChars="771"/>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51776" behindDoc="0" locked="0" layoutInCell="1" allowOverlap="1">
                <wp:simplePos x="0" y="0"/>
                <wp:positionH relativeFrom="margin">
                  <wp:align>left</wp:align>
                </wp:positionH>
                <wp:positionV relativeFrom="paragraph">
                  <wp:posOffset>75565</wp:posOffset>
                </wp:positionV>
                <wp:extent cx="914400" cy="1252855"/>
                <wp:effectExtent l="0" t="0" r="0" b="4445"/>
                <wp:wrapNone/>
                <wp:docPr id="161"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026" o:spt="202" type="#_x0000_t202" style="position:absolute;left:0pt;margin-top:5.95pt;height:98.65pt;width:72pt;mso-position-horizontal:left;mso-position-horizontal-relative:margin;z-index:251851776;mso-width-relative:page;mso-height-relative:page;" filled="f" stroked="f" coordsize="21600,21600" o:gfxdata="UEsDBAoAAAAAAIdO4kAAAAAAAAAAAAAAAAAEAAAAZHJzL1BLAwQUAAAACACHTuJAFBBIftQAAAAH&#10;AQAADwAAAGRycy9kb3ducmV2LnhtbE2PwU7DMBBE70j8g7VI3KidKKAmjdNDK64gSovEzY23SdR4&#10;HcVuE/6e7QmOM7OaeVuuZ9eLK46h86QhWSgQSLW3HTUa9p+vT0sQIRqypveEGn4wwLq6vytNYf1E&#10;H3jdxUZwCYXCaGhjHAopQ92iM2HhByTOTn50JrIcG2lHM3G562Wq1It0piNeaM2Amxbr8+7iNBze&#10;Tt9fmXpvtu55mPysJLlcav34kKgViIhz/DuGGz6jQ8VMR38hG0SvgR+J7CY5iFuaZWwcNaQqT0FW&#10;pfzPX/0CUEsDBBQAAAAIAIdO4kB+qKm6GQIAABkEAAAOAAAAZHJzL2Uyb0RvYy54bWytU8uO0zAU&#10;3SPxD5b3NE1ph2nUdDRMNQhpeEgDH+A6TmMR+5prt8nwAfAHrNiw57v6HVw7nVKGzSzYRLbv9bnn&#10;HJ8sLnrTsp1Cr8GWPB+NOVNWQqXtpuQfP1w/O+fMB2Er0YJVJb9Tnl8snz5ZdK5QE2igrRQyArG+&#10;6FzJmxBckWVeNsoIPwKnLBVrQCMCbXGTVSg6QjdtNhmPz7IOsHIIUnlPp6uhyA+I+BhAqGst1Qrk&#10;1igbBlRUrQgkyTfaeb5MbOtayfCurr0KrC05KQ3pS0NovY7fbLkQxQaFa7Q8UBCPofBAkxHa0tAj&#10;1EoEwbao/4EyWiJ4qMNIgskGIckRUpGPH3hz2winkhay2ruj6f7/wcq3u/fIdEVJOMs5s8LQk++/&#10;f9v/+LX/+ZXNn8+jRZ3zBXXeOuoN/UvoqT3J9e4G5CfPLFw1wm7UJSJ0jRIVUczjzezk6oDjI8i6&#10;ewMVTRLbAAmor9FE/8gRRuj0PHfH51F9YJIO5/l0OqaKpFI+mU3OZ7M0QhT3tx368EqBYXFRcqTn&#10;T+hid+NDZCOK+5Y4zMK1btsUgdb+dUCN8SSxj4QH6qFf9wc31lDdkQ6EIVH0P9GiAfzCWUdpKrn/&#10;vBWoOGtfW/IiUaf4pc109mJCMvC0sj6tCCsJquSBs2F5FYbIbh3qTUOTBvctXJJ/tU7SotEDqwNv&#10;SkxSfEh3jOTpPnX9+aO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EEh+1AAAAAcBAAAPAAAA&#10;AAAAAAEAIAAAACIAAABkcnMvZG93bnJldi54bWxQSwECFAAUAAAACACHTuJAfqipuhkCAAAZ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 xml:space="preserve">发包人要求某一单项工程或任一工程部位提前办理竣工验收的，应与承包人签订单项工程或工程部位竣工验收协议，作为本合同的附件。 </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（1）发包人根据合同工程进度计划安排，在全部工程竣工前需要使用已经竣工的单项工程或工程部位时，或承包人提出经发包人同意时，可进行单项工程或工程部位验收。验收的程序可参照第 64 条和本条上述相关条款约定进行。验收合格后，发包人应向承包人颁发单项工程或工程部位接收证书，并负责照管。单项工程或工程部位的验收成果和结论，作为全部工程竣工验收申请报告的附件。 </w:t>
      </w:r>
    </w:p>
    <w:p>
      <w:pPr>
        <w:adjustRightInd w:val="0"/>
        <w:snapToGrid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（2）发包人在全部工程竣工前，使用已接收的单项工程或工程部位导致承包人费用增加的，发包人应承担由此增加的费用和（或）延误的工期，并向承包人支付合理利润。</w:t>
      </w:r>
    </w:p>
    <w:p>
      <w:pPr>
        <w:spacing w:line="360" w:lineRule="auto"/>
        <w:rPr>
          <w:rFonts w:ascii="仿宋" w:hAnsi="仿宋" w:eastAsia="仿宋"/>
          <w:b/>
          <w:bCs/>
          <w:color w:val="auto"/>
          <w:highlight w:val="none"/>
          <w:lang w:eastAsia="zh-CN"/>
        </w:rPr>
      </w:pPr>
      <w:bookmarkStart w:id="446"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4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60" name="文本框 940"/>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w:pict>
              <v:shape id="文本框 940" o:spid="_x0000_s1026" o:spt="202" type="#_x0000_t202" style="position:absolute;left:0pt;margin-left:-9pt;margin-top:0.3pt;height:46.5pt;width:72pt;z-index:25185280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Z5ELCFwIAABgEAAAOAAAAZHJzL2Uyb0RvYy54bWytU0tu2zAQ&#10;3RfoHQjua8mGndaC5SCNkaJA+gHSHoCmKIuoyGGHtKX0AO0Nsuqm+57L5+iQchw33WTRjUByRm/e&#10;e3xcnPemZTuFXoMt+XiUc6ashErbTck/f7p68YozH4StRAtWlfxWeX6+fP5s0blCTaCBtlLICMT6&#10;onMlb0JwRZZ52Sgj/AicslSsAY0ItMVNVqHoCN202STPz7IOsHIIUnlPp6uhyA+I+BRAqGst1Qrk&#10;1igbBlRUrQgkyTfaeb5MbOtayfChrr0KrC05KQ3pS0NovY7fbLkQxQaFa7Q8UBBPofBIkxHa0tAj&#10;1EoEwbao/4EyWiJ4qMNIgskGIckRUjHOH3lz0winkhay2ruj6f7/wcr3u4/IdEVJOCNPrDB05fu7&#10;H/ufv/e/vrP5NFnUOV9Q542j3tC/hp7ak1zvrkF+8czCZSPsRl0gQtcoURHFcTQ3O/k1XoovfARZ&#10;d++gokliGyAB9TWa6B85wgidqNwer0f1gUk6nI+n05wqkkqzeT6bJW6ZKO5/dujDGwWGxUXJkW4/&#10;gYvdtQ+RjCjuW+IsC1e6bVMCWvvXATXGk0Q+8h2Yh37dU3cUsYbqlmQgDIGi50SLBvAbZx2FqeT+&#10;61ag4qx9a8mKxJzSlzbT2csJqcDTyvq0IqwkqJIHzoblZRgSu3WoNw1NGsy3cEH21TpJe2B14E2B&#10;SYoP4Y6JPN2nrocHv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9Ap+9QAAAAHAQAADwAAAAAA&#10;AAABACAAAAAiAAAAZHJzL2Rvd25yZXYueG1sUEsBAhQAFAAAAAgAh07iQJnkQsIXAgAAGAQAAA4A&#10;AAAAAAAAAQAgAAAAIwEAAGRycy9lMm9Eb2MueG1sUEsFBgAAAAAGAAYAWQEAAKwF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款规定验收合格，并确保安全后，才能投入施工期运行。</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款规定进行修复。</w:t>
      </w:r>
    </w:p>
    <w:p>
      <w:pPr>
        <w:spacing w:line="360" w:lineRule="auto"/>
        <w:rPr>
          <w:rFonts w:ascii="仿宋" w:hAnsi="仿宋" w:eastAsia="仿宋"/>
          <w:b/>
          <w:bCs/>
          <w:color w:val="auto"/>
          <w:highlight w:val="none"/>
          <w:lang w:eastAsia="zh-CN"/>
        </w:rPr>
      </w:pPr>
      <w:bookmarkStart w:id="447"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4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53824" behindDoc="0" locked="0" layoutInCell="1" allowOverlap="1">
                <wp:simplePos x="0" y="0"/>
                <wp:positionH relativeFrom="margin">
                  <wp:align>left</wp:align>
                </wp:positionH>
                <wp:positionV relativeFrom="paragraph">
                  <wp:posOffset>73025</wp:posOffset>
                </wp:positionV>
                <wp:extent cx="914400" cy="590550"/>
                <wp:effectExtent l="0" t="0" r="0" b="0"/>
                <wp:wrapNone/>
                <wp:docPr id="159" name="文本框 941"/>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026" o:spt="202" type="#_x0000_t202" style="position:absolute;left:0pt;margin-top:5.75pt;height:46.5pt;width:72pt;mso-position-horizontal:left;mso-position-horizontal-relative:margin;z-index:251853824;mso-width-relative:page;mso-height-relative:page;" filled="f" stroked="f" coordsize="21600,21600" o:gfxdata="UEsDBAoAAAAAAIdO4kAAAAAAAAAAAAAAAAAEAAAAZHJzL1BLAwQUAAAACACHTuJAc8uqCdMAAAAH&#10;AQAADwAAAGRycy9kb3ducmV2LnhtbE2PT0/DMAzF70h8h8hI3JhT1CLomu4A4gpi/JG4ZY3XVmuc&#10;qsnW8u3xTnCz37Oef6/aLH5QJ5piH9hAttKgiJvgem4NfLw/39yDismys0NgMvBDETb15UVlSxdm&#10;fqPTNrVKQjiW1kCX0lgixqYjb+MqjMTi7cPkbZJ1atFNdpZwP+Ct1nfobc/yobMjPXbUHLZHb+Dz&#10;Zf/9levX9skX4xwWjewf0Jjrq0yvQSVa0t8xnPEFHWph2oUju6gGA1IkiZoVoM5unouwk0HnBWBd&#10;4X/++hdQSwMEFAAAAAgAh07iQNcyYe8WAgAAGAQAAA4AAABkcnMvZTJvRG9jLnhtbK1TzY7TMBC+&#10;I/EOlu80adUAjZqulq0WIS0/0sIDOI7TWMQeM3ablAeAN9gTF+48V5+DidMtZbnsgYtle8bffN83&#10;4+VFb1q2U+g12IJPJylnykqotN0U/NPH62cvOfNB2Eq0YFXB98rzi9XTJ8vO5WoGDbSVQkYg1ued&#10;K3gTgsuTxMtGGeEn4JSlYA1oRKAjbpIKRUfopk1mafo86QArhyCV93S7HoP8iIiPAYS61lKtQW6N&#10;smFERdWKQJJ8o53nq8i2rpUM7+vaq8DagpPSEFcqQvtyWJPVUuQbFK7R8khBPIbCA01GaEtFT1Br&#10;EQTbov4HymiJ4KEOEwkmGYVER0jFNH3gzW0jnIpayGrvTqb7/wcr3+0+INMVTUK24MwKQy0/3H0/&#10;/Ph1+PmNLebTwaLO+Zwybx3lhv4V9JQe5Xp3A/KzZxauGmE36hIRukaJiijGl8nZ0xHHDyBl9xYq&#10;qiS2ASJQX6MZ/CNHGKFTe/an9qg+MEmXi+l8nlJEUihbpFkW25eI/P6xQx9eKzBs2BQcqfsRXOxu&#10;fCAZlHqfMtSycK3bNk5Aa/+6oMThJpIf+I7MQ1/2RzNKqPYkA2EcKPpOtGkAv3LW0TAV3H/ZClSc&#10;tW8sWRGZ0/TFwzx7MSMVeB4pzyPCSoIqeOBs3F6FcWK3DvWmoUqj+RYuyb5aR2mDzyOrI28amKj4&#10;ONzDRJ6fY9afD73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PLqgnTAAAABwEAAA8AAAAAAAAA&#10;AQAgAAAAIgAAAGRycy9kb3ducmV2LnhtbFBLAQIUABQAAAAIAIdO4kDXMmHvFgIAABgEAAAOAAAA&#10;AAAAAAEAIAAAACIBAABkcnMvZTJvRG9jLnhtbFBLBQYAAAAABgAGAFkBAACq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 xml:space="preserve">专用条款没有约定的，工程接收证书颁发后，承包人应按照下列要求对施工场地进行清理，直至监理人检验合格为止。竣工清场费用由承包人承担。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（1）施工场地内残留的垃圾已全部清除出场；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（2）临时设施已拆除，场地已按照合同约定进行清理、平整或复原；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（3）按照合同约定应撤离的承包人施工设备和剩余的工程材料，包括废弃的施工设备和工程材料，已按照计划撤离施工场地；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（4）建筑物周边及其附近道路、河道的施工堆积物，已按照监理人指令全部清理；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（5）监理人指令的其他场地清理工作已全部完成。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pPr>
        <w:spacing w:line="360" w:lineRule="auto"/>
        <w:rPr>
          <w:rFonts w:ascii="仿宋" w:hAnsi="仿宋" w:eastAsia="仿宋"/>
          <w:b/>
          <w:bCs/>
          <w:color w:val="auto"/>
          <w:highlight w:val="none"/>
          <w:lang w:eastAsia="zh-CN"/>
        </w:rPr>
      </w:pPr>
      <w:bookmarkStart w:id="448"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4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158"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026" o:spt="202" type="#_x0000_t202" style="position:absolute;left:0pt;margin-left:-9pt;margin-top:0.3pt;height:46.5pt;width:72pt;z-index:25185484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Ss4hyFwIAABgEAAAOAAAAZHJzL2Uyb0RvYy54bWytU0uOEzEQ&#10;3SNxB8t70p0oAdJKZzRMNAhp+EgDB3Dc7rRF22XKTrrDAeAGs2LDnnPlHJTdmRCGzSzYWLar/Oq9&#10;V+XFRW9atlPoNdiSj0c5Z8pKqLTdlPzTx+tnLznzQdhKtGBVyffK84vl0yeLzhVqAg20lUJGINYX&#10;nSt5E4IrsszLRhnhR+CUpWANaESgI26yCkVH6KbNJnn+POsAK4cglfd0uxqC/IiIjwGEutZSrUBu&#10;jbJhQEXVikCSfKOd58vEtq6VDO/r2qvA2pKT0pBWKkL7dVyz5UIUGxSu0fJIQTyGwgNNRmhLRU9Q&#10;KxEE26L+B8poieChDiMJJhuEJEdIxTh/4M1tI5xKWshq706m+/8HK9/tPiDTFU3CjBpvhaGWH+6+&#10;H378Ovz8xubTSbSoc76gzFtHuaF/BT2lJ7ne3YD87JmFq0bYjbpEhK5RoiKK4/gyO3s64PgIsu7e&#10;QkWVxDZAAuprNNE/coQROrVnf2qP6gOTdDkfT6c5RSSFZvN8Nkvty0Rx/9ihD68VGBY3JUfqfgIX&#10;uxsfIhlR3KfEWhauddumCWjtXxeUGG8S+ch3YB76dX80Yw3VnmQgDANF34k2DeBXzjoappL7L1uB&#10;irP2jSUrEnOavnSYzl5MSAWeR9bnEWElQZU8cDZsr8IwsVuHetNQpcF8C5dkX62TtOjzwOrImwYm&#10;KT4Od5zI83PK+vOhl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9Ap+9QAAAAHAQAADwAAAAAA&#10;AAABACAAAAAiAAAAZHJzL2Rvd25yZXYueG1sUEsBAhQAFAAAAAgAh07iQJKziHIXAgAAGAQAAA4A&#10;AAAAAAAAAQAgAAAAIwEAAGRycy9lMm9Eb2MueG1sUEsFBgAAAAAGAAYAWQEAAKw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spacing w:line="360" w:lineRule="auto"/>
        <w:rPr>
          <w:rFonts w:ascii="仿宋" w:hAnsi="仿宋" w:eastAsia="仿宋" w:cs="仿宋"/>
          <w:color w:val="auto"/>
          <w:highlight w:val="none"/>
          <w:lang w:eastAsia="zh-CN"/>
        </w:rPr>
      </w:pPr>
      <w:bookmarkStart w:id="449" w:name="_Toc17486"/>
      <w:r>
        <w:rPr>
          <w:color w:val="auto"/>
          <w:highlight w:val="none"/>
          <w:lang w:eastAsia="zh-CN" w:bidi="ar-SA"/>
        </w:rPr>
        <mc:AlternateContent>
          <mc:Choice Requires="wps">
            <w:drawing>
              <wp:anchor distT="0" distB="0" distL="114300" distR="114300" simplePos="0" relativeHeight="251936768"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157"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026" o:spt="202" type="#_x0000_t202" style="position:absolute;left:0pt;margin-left:-5.25pt;margin-top:23.55pt;height:46.55pt;width:72pt;z-index:251936768;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ACgURmGAIAABgEAAAOAAAAZHJzL2Uyb0RvYy54bWytU8uO&#10;0zAU3SPxD5b3NE1pmWnUdDRMNQhpeEgDH+A6TmMR+5prt8nwAfAHrNiw57v6HVw7nVKGzSzYRLbv&#10;9bnnHJ8sLnrTsp1Cr8GWPB+NOVNWQqXtpuQfP1w/O+fMB2Er0YJVJb9Tnl8snz5ZdK5QE2igrRQy&#10;ArG+6FzJmxBckWVeNsoIPwKnLBVrQCMCbXGTVSg6QjdtNhmPX2QdYOUQpPKeTldDkR8Q8TGAUNda&#10;qhXIrVE2DKioWhFIkm+083yZ2Na1kuFdXXsVWFtyUhrSl4bQeh2/2XIhig0K12h5oCAeQ+GBJiO0&#10;paFHqJUIgm1R/wNltETwUIeRBJMNQpIjpCIfP/DmthFOJS1ktXdH0/3/g5Vvd++R6YqSMDvjzApD&#10;T77//m3/49f+51c2nz6PFnXOF9R566g39C+hp/Yk17sbkJ88s3DVCLtRl4jQNUpURDGPN7OTqwOO&#10;jyDr7g1UNElsAySgvkYT/SNHGKHT89wdn0f1gUk6nOfT6ZgqkkqzeZ6fz9IEUdxfdujDKwWGxUXJ&#10;kV4/gYvdjQ+RjCjuW+IsC9e6bVMCWvvXATXGk0Q+8h2Yh37dH8xYQ3VHMhCGQNHvRIsG8AtnHYWp&#10;5P7zVqDirH1tyYrEnNKXNtPZ2YRU4GllfVoRVhJUyQNnw/IqDIndOtSbhiYN5lu4JPtqnaRFnwdW&#10;B94UmKT4EO6YyNN96vrz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RpxRHXAAAACgEAAA8A&#10;AAAAAAAAAQAgAAAAIgAAAGRycy9kb3ducmV2LnhtbFBLAQIUABQAAAAIAIdO4kACgURm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449"/>
      <w:r>
        <w:rPr>
          <w:rFonts w:ascii="仿宋" w:hAnsi="仿宋" w:eastAsia="仿宋" w:cs="仿宋"/>
          <w:color w:val="auto"/>
          <w:highlight w:val="none"/>
          <w:u w:val="dotted"/>
          <w:lang w:eastAsia="zh-CN"/>
        </w:rPr>
        <w:t xml:space="preserve">                                                                       </w:t>
      </w:r>
    </w:p>
    <w:p>
      <w:pPr>
        <w:pStyle w:val="33"/>
        <w:widowControl w:val="0"/>
        <w:adjustRightInd w:val="0"/>
        <w:snapToGrid w:val="0"/>
        <w:ind w:left="1850" w:leftChars="771"/>
        <w:jc w:val="both"/>
        <w:rPr>
          <w:rFonts w:ascii="仿宋" w:hAnsi="仿宋" w:eastAsia="仿宋"/>
          <w:color w:val="auto"/>
          <w:highlight w:val="none"/>
        </w:rPr>
      </w:pPr>
      <w:r>
        <w:rPr>
          <w:rFonts w:hint="eastAsia" w:ascii="仿宋" w:hAnsi="仿宋" w:eastAsia="仿宋" w:cs="仿宋"/>
          <w:color w:val="auto"/>
          <w:highlight w:val="none"/>
        </w:rPr>
        <w:t>合同工程未经竣工验收或竣工验收不合格的，发包人不得使用。发包人强行使用的，由此发生的质量问题及其他问题，由发包人承担责任。</w:t>
      </w:r>
    </w:p>
    <w:p>
      <w:pPr>
        <w:spacing w:line="360" w:lineRule="auto"/>
        <w:rPr>
          <w:rFonts w:ascii="仿宋" w:hAnsi="仿宋" w:eastAsia="仿宋"/>
          <w:b/>
          <w:bCs/>
          <w:color w:val="auto"/>
          <w:highlight w:val="none"/>
          <w:lang w:eastAsia="zh-CN"/>
        </w:rPr>
      </w:pPr>
      <w:bookmarkStart w:id="450"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450"/>
      <w:r>
        <w:rPr>
          <w:rFonts w:ascii="仿宋" w:hAnsi="仿宋" w:eastAsia="仿宋" w:cs="仿宋"/>
          <w:b/>
          <w:bCs/>
          <w:color w:val="auto"/>
          <w:highlight w:val="none"/>
          <w:u w:val="dotted"/>
          <w:lang w:eastAsia="zh-CN"/>
        </w:rPr>
        <w:t xml:space="preserve">                                                                       </w:t>
      </w:r>
    </w:p>
    <w:p>
      <w:pPr>
        <w:pStyle w:val="33"/>
        <w:adjustRightInd w:val="0"/>
        <w:snapToGrid w:val="0"/>
        <w:ind w:left="1850" w:leftChars="771"/>
        <w:jc w:val="both"/>
        <w:rPr>
          <w:rFonts w:ascii="仿宋" w:hAnsi="仿宋" w:eastAsia="仿宋"/>
          <w:color w:val="auto"/>
          <w:highlight w:val="none"/>
        </w:rPr>
      </w:pPr>
      <w:r>
        <w:rPr>
          <w:color w:val="auto"/>
          <w:highlight w:val="none"/>
          <w:lang w:val="en-US"/>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156" name="文本框 944"/>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026" o:spt="202" type="#_x0000_t202" style="position:absolute;left:0pt;margin-left:-9pt;margin-top:1.05pt;height:32pt;width:72pt;z-index:251855872;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rihJsxUCAAAYBAAADgAAAGRycy9lMm9Eb2MueG1srVNLbtsw&#10;EN0X6B0I7mvJhuI2guUgjZGiQPoB0h6AoiiLqMRhh7Ql9wDtDbLqpvuey+fokHIcN91k0Y0wnBm+&#10;ee9xtLgYupZtFToNpuDTScqZMhIqbdYF//zp+sUrzpwXphItGFXwnXL8Yvn82aK3uZpBA22lkBGI&#10;cXlvC954b/MkcbJRnXATsMpQsQbshKcjrpMKRU/oXZvM0nSe9ICVRZDKOcquxiI/IOJTAKGutVQr&#10;kJtOGT+iomqFJ0mu0dbxZWRb10r6D3XtlGdtwUmpj18aQnEZvslyIfI1CttoeaAgnkLhkaZOaEND&#10;j1Ar4QXboP4HqtMSwUHtJxK6ZBQSHSEV0/SRN7eNsCpqIaudPZru/h+sfL/9iExXtAlnc86M6OjJ&#10;93c/9j9/7399Z+dZFizqrcup89ZSrx9ew0DtUa6zNyC/OGbgqhFmrS4RoW+UqIjiNNxMTq6OOC6A&#10;lP07qGiS2HiIQEONXfCPHGGETs+zOz6PGjyTlDyfZllKFUmlLJ2HOEwQ+f1li86/UdCxEBQc6fUj&#10;uNjeOD+23reEWQauddtSXuSt+StBmCETyQe+I3M/lAN1B0UlVDuSgTAuFP1OFDSA3zjraZkK7r5u&#10;BCrO2reGrIjMafviITt7OSMVeFopTyvCSIIquOdsDK/8uLEbi3rd0KTRfAOXZF+to7QHVgfetDDR&#10;nMNyh408Pceuhx96+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R/M+L1QAAAAgBAAAPAAAAAAAA&#10;AAEAIAAAACIAAABkcnMvZG93bnJldi54bWxQSwECFAAUAAAACACHTuJArihJsxUCAAAYBAAADgAA&#10;AAAAAAABACAAAAAkAQAAZHJzL2Uyb0RvYy54bWxQSwUGAAAAAAYABgBZAQAAqw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rPr>
        <w:t>合同工程竣工验收时发生工程质量争议，经第91</w:t>
      </w:r>
      <w:r>
        <w:rPr>
          <w:rFonts w:ascii="仿宋" w:hAnsi="仿宋" w:eastAsia="仿宋" w:cs="仿宋"/>
          <w:color w:val="auto"/>
          <w:highlight w:val="none"/>
        </w:rPr>
        <w:t>.4</w:t>
      </w:r>
      <w:r>
        <w:rPr>
          <w:rFonts w:hint="eastAsia" w:ascii="仿宋" w:hAnsi="仿宋" w:eastAsia="仿宋" w:cs="仿宋"/>
          <w:color w:val="auto"/>
          <w:highlight w:val="none"/>
        </w:rPr>
        <w:t>款规定调解或认定工程质量符合合同要求的，由发包人承担由此增加的费用和（或）延误的工期。</w:t>
      </w:r>
    </w:p>
    <w:p>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51" w:name="_Toc9597"/>
      <w:bookmarkStart w:id="452" w:name="_Toc21216"/>
      <w:bookmarkStart w:id="453" w:name="_Toc47694341"/>
      <w:r>
        <w:rPr>
          <w:rFonts w:hint="eastAsia" w:ascii="仿宋" w:hAnsi="仿宋" w:eastAsia="仿宋" w:cs="仿宋"/>
          <w:bCs w:val="0"/>
          <w:color w:val="auto"/>
          <w:sz w:val="24"/>
          <w:szCs w:val="24"/>
          <w:highlight w:val="none"/>
        </w:rPr>
        <w:t>66</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缺陷责任与质量保修</w:t>
      </w:r>
      <w:bookmarkEnd w:id="451"/>
      <w:bookmarkEnd w:id="452"/>
      <w:bookmarkEnd w:id="453"/>
    </w:p>
    <w:p>
      <w:pPr>
        <w:adjustRightInd w:val="0"/>
        <w:snapToGrid w:val="0"/>
        <w:spacing w:line="360" w:lineRule="auto"/>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5" name="文本框 945"/>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026" o:spt="202" type="#_x0000_t202" style="position:absolute;left:0pt;margin-left:-9pt;margin-top:22.6pt;height:33.85pt;width:76.2pt;z-index:25193779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mMQmghgCAAAYBAAADgAAAGRycy9lMm9Eb2MueG1srVNL&#10;jhMxEN0jcQfLe9JJlEwmrXRGw0SDkIaPNHAAx+1OW7RdpuykOxwAbsCKDXvOlXNQdmdCGDazYGPZ&#10;VeVX7z2XF1edadhOoddgCz4aDDlTVkKp7abgHz/cvrjkzAdhS9GAVQXfK8+vls+fLVqXqzHU0JQK&#10;GYFYn7eu4HUILs8yL2tlhB+AU5aSFaARgY64yUoULaGbJhsPhxdZC1g6BKm8p+iqT/IjIj4FEKpK&#10;S7UCuTXKhh4VVSMCSfK1dp4vE9uqUjK8qyqvAmsKTkpDWqkJ7ddxzZYLkW9QuFrLIwXxFAqPNBmh&#10;LTU9Qa1EEGyL+h8ooyWChyoMJJisF5IcIRWj4SNv7mvhVNJCVnt3Mt3/P1j5dvcemS5pEqZTzqww&#10;9OSH798OP34dfn5l88k0WtQ6n1PlvaPa0L2EjsqTXO/uQH7yzMJNLexGXSNCWytREsVRvJmdXe1x&#10;fARZt2+gpE5iGyABdRWa6B85wgidnmd/eh7VBSYpOL+YzSaUkZSajOeX88QtE/nDZYc+vFJgWNwU&#10;HOn1E7jY3fkQyYj8oST2snCrmyZNQGP/ClBhjCTykW/PPHTr7mjGGso9yUDoB4q+E21qwC+ctTRM&#10;BfeftwIVZ81rS1bMR5NIPKTDZDob0wHPM+vzjLCSoAoeOOu3N6Gf2K1DvampU2++hWuyr9JJWvS5&#10;Z3XkTQOTFB+HO07k+TlV/fnQ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Zv6d2AAAAAoBAAAP&#10;AAAAAAAAAAEAIAAAACIAAABkcnMvZG93bnJldi54bWxQSwECFAAUAAAACACHTuJAmMQmghgCAAAY&#10;BAAADgAAAAAAAAABACAAAAAn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pPr>
        <w:pStyle w:val="33"/>
        <w:adjustRightInd w:val="0"/>
        <w:snapToGrid w:val="0"/>
        <w:ind w:left="1850" w:leftChars="771"/>
        <w:jc w:val="both"/>
        <w:rPr>
          <w:rFonts w:ascii="仿宋" w:hAnsi="仿宋" w:eastAsia="仿宋"/>
          <w:color w:val="auto"/>
          <w:highlight w:val="none"/>
        </w:rPr>
      </w:pPr>
      <w:r>
        <w:rPr>
          <w:rFonts w:hint="eastAsia" w:ascii="仿宋" w:hAnsi="仿宋" w:eastAsia="仿宋" w:cs="仿宋"/>
          <w:color w:val="auto"/>
          <w:highlight w:val="none"/>
        </w:rPr>
        <w:t>合同双方当事人应在专用条款中约定缺陷责任期。</w:t>
      </w:r>
    </w:p>
    <w:p>
      <w:pPr>
        <w:pStyle w:val="33"/>
        <w:adjustRightInd w:val="0"/>
        <w:snapToGrid w:val="0"/>
        <w:ind w:left="1850" w:leftChars="771"/>
        <w:jc w:val="both"/>
        <w:rPr>
          <w:rFonts w:ascii="仿宋" w:hAnsi="仿宋" w:eastAsia="仿宋"/>
          <w:b/>
          <w:bCs/>
          <w:color w:val="auto"/>
          <w:highlight w:val="none"/>
        </w:rPr>
      </w:pPr>
      <w:r>
        <w:rPr>
          <w:rFonts w:hint="eastAsia" w:ascii="仿宋" w:hAnsi="仿宋" w:eastAsia="仿宋" w:cs="仿宋"/>
          <w:color w:val="auto"/>
          <w:highlight w:val="none"/>
        </w:rPr>
        <w:t>缺陷责任期自实际竣工之日起计算。在全部工程竣工验收前，已经发包人提前验收的单项工程，其缺陷责任期的起算日期相应提前。</w:t>
      </w:r>
    </w:p>
    <w:p>
      <w:pPr>
        <w:spacing w:line="360" w:lineRule="auto"/>
        <w:rPr>
          <w:rFonts w:ascii="仿宋" w:hAnsi="仿宋" w:eastAsia="仿宋"/>
          <w:b/>
          <w:bCs/>
          <w:color w:val="auto"/>
          <w:highlight w:val="none"/>
          <w:lang w:eastAsia="zh-CN"/>
        </w:rPr>
      </w:pPr>
      <w:bookmarkStart w:id="454" w:name="_Toc22228"/>
      <w:r>
        <w:rPr>
          <w:color w:val="auto"/>
          <w:highlight w:val="none"/>
          <w:lang w:eastAsia="zh-CN" w:bidi="ar-SA"/>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4" name="文本框 946"/>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026" o:spt="202" type="#_x0000_t202" style="position:absolute;left:0pt;margin-left:-9pt;margin-top:22.6pt;height:33.85pt;width:76.2pt;z-index:25193881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3UXPHxkCAAAYBAAADgAAAGRycy9lMm9Eb2MueG1srVNL&#10;btswEN0X6B0I7mvZhmzHguUgjZGiQPoBkh6ApiiLqMRhh7Ql9wDtDbrqpvuey+fIkHJcN91k0Q1B&#10;zgzfvPc4XFx2Tc12Cp0Gk/PRYMiZMhIKbTY5/3R/8+qCM+eFKUQNRuV8rxy/XL58sWhtpsZQQV0o&#10;ZARiXNbanFfe2yxJnKxUI9wArDKULAEb4emIm6RA0RJ6Uyfj4XCatICFRZDKOYqu+iQ/IuJzAKEs&#10;tVQrkNtGGd+joqqFJ0mu0tbxZWRblkr6D2XplGd1zkmpjys1of06rMlyIbINCltpeaQgnkPhiaZG&#10;aENNT1Ar4QXbov4HqtESwUHpBxKapBcSHSEVo+ETb+4qYVXUQlY7ezLd/T9Y+X73EZkuaBImKWdG&#10;NPTkhx/fDz9/H359Y/N0Gixqrcuo8s5Sre9eQ0flUa6ztyA/O2bguhJmo64Qoa2UKIjiKNxMzq72&#10;OC6ArNt3UFAnsfUQgboSm+AfOcIInZ5nf3oe1XkmKTifzmYpZSSl0vH8Yj6JHUT2eNmi828UNCxs&#10;co70+hFc7G6dD2RE9lgSehm40XUdJ6A2fwWoMEQi+cC3Z+67dXc0Yw3FnmQg9ANF34k2FeBXzloa&#10;ppy7L1uBirP6rSEr5qM0EPfxkE5mYzrgeWZ9nhFGElTOPWf99tr3E7u1qDcVderNN3BF9pU6Sgs+&#10;96yOvGlgouLjcIeJPD/Hqj8fevk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N1Fzx8ZAgAA&#10;GAQAAA4AAAAAAAAAAQAgAAAAJw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4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pPr>
        <w:spacing w:line="360" w:lineRule="auto"/>
        <w:rPr>
          <w:rFonts w:ascii="仿宋" w:hAnsi="仿宋" w:eastAsia="仿宋"/>
          <w:b/>
          <w:bCs/>
          <w:color w:val="auto"/>
          <w:highlight w:val="none"/>
          <w:lang w:eastAsia="zh-CN"/>
        </w:rPr>
      </w:pPr>
      <w:bookmarkStart w:id="455" w:name="_Toc28278"/>
      <w:r>
        <w:rPr>
          <w:color w:val="auto"/>
          <w:highlight w:val="none"/>
          <w:lang w:eastAsia="zh-CN" w:bidi="ar-SA"/>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3"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026" o:spt="202" type="#_x0000_t202" style="position:absolute;left:0pt;margin-left:-9pt;margin-top:22.6pt;height:33.85pt;width:76.2pt;z-index:2519398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LGEa2hkCAAAYBAAADgAAAGRycy9lMm9Eb2MueG1srVPN&#10;bhMxEL4j8Q6W72STkDTNKpuqNCpCKj9S4QEcrzdrsfaYsZPd8gD0DThx4c5z5TkYe9MQyqUHLpY9&#10;M/7m+z6PFxedadhOoddgCz4aDDlTVkKp7abgnz5evzjnzAdhS9GAVQW/U55fLJ8/W7QuV2OooSkV&#10;MgKxPm9dwesQXJ5lXtbKCD8ApywlK0AjAh1xk5UoWkI3TTYeDs+yFrB0CFJ5T9FVn+QHRHwKIFSV&#10;lmoFcmuUDT0qqkYEkuRr7TxfJrZVpWR4X1VeBdYUnJSGtFIT2q/jmi0XIt+gcLWWBwriKRQeaTJC&#10;W2p6hFqJINgW9T9QRksED1UYSDBZLyQ5QipGw0fe3NbCqaSFrPbuaLr/f7Dy3e4DMl3SJExfcmaF&#10;oSfff7/f//i1//mNzSezaFHrfE6Vt45qQ/cKOipPcr27AfnZMwtXtbAbdYkIba1ESRRH8WZ2crXH&#10;8RFk3b6FkjqJbYAE1FVoon/kCCN0ep674/OoLjBJwfnZbDahjKTUZDw/n09TB5E/XHbow2sFhsVN&#10;wZFeP4GL3Y0PkYzIH0piLwvXumnSBDT2rwAVxkgiH/n2zEO37g5mrKG8IxkI/UDRd6JNDfiVs5aG&#10;qeD+y1ag4qx5Y8mK+WgSiYd0mExnYzrgaWZ9mhFWElTBA2f99ir0E7t1qDc1derNt3BJ9lU6SYs+&#10;96wOvGlgkuLDcMeJPD2nqj8fev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CxhGtoZAgAA&#10;GAQAAA4AAAAAAAAAAQAgAAAAJw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4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33"/>
        <w:widowControl w:val="0"/>
        <w:adjustRightInd w:val="0"/>
        <w:snapToGrid w:val="0"/>
        <w:ind w:left="1850" w:leftChars="771"/>
        <w:jc w:val="both"/>
        <w:rPr>
          <w:rFonts w:ascii="仿宋" w:hAnsi="仿宋" w:eastAsia="仿宋" w:cs="仿宋"/>
          <w:color w:val="auto"/>
          <w:highlight w:val="none"/>
        </w:rPr>
      </w:pPr>
      <w:r>
        <w:rPr>
          <w:rFonts w:hint="eastAsia" w:ascii="仿宋" w:hAnsi="仿宋" w:eastAsia="仿宋" w:cs="仿宋"/>
          <w:color w:val="auto"/>
          <w:highlight w:val="none"/>
        </w:rPr>
        <w:t xml:space="preserve">合同工程存在某项缺陷或损坏的，合同双方当事人应按照下列约定承担缺陷责任以及由此产生的费用。 </w:t>
      </w:r>
    </w:p>
    <w:p>
      <w:pPr>
        <w:pStyle w:val="33"/>
        <w:widowControl w:val="0"/>
        <w:adjustRightInd w:val="0"/>
        <w:snapToGrid w:val="0"/>
        <w:ind w:left="1850" w:leftChars="771"/>
        <w:jc w:val="both"/>
        <w:rPr>
          <w:rFonts w:ascii="仿宋" w:hAnsi="仿宋" w:eastAsia="仿宋" w:cs="仿宋"/>
          <w:color w:val="auto"/>
          <w:highlight w:val="none"/>
        </w:rPr>
      </w:pPr>
      <w:r>
        <w:rPr>
          <w:rFonts w:hint="eastAsia" w:ascii="仿宋" w:hAnsi="仿宋" w:eastAsia="仿宋" w:cs="仿宋"/>
          <w:color w:val="auto"/>
          <w:highlight w:val="none"/>
        </w:rPr>
        <w:t xml:space="preserve">（1）承包人应在缺陷责任期内对已交付使用的工程承担缺陷责任。 </w:t>
      </w:r>
    </w:p>
    <w:p>
      <w:pPr>
        <w:pStyle w:val="33"/>
        <w:widowControl w:val="0"/>
        <w:adjustRightInd w:val="0"/>
        <w:snapToGrid w:val="0"/>
        <w:ind w:left="1850" w:leftChars="771"/>
        <w:jc w:val="both"/>
        <w:rPr>
          <w:rFonts w:ascii="仿宋" w:hAnsi="仿宋" w:eastAsia="仿宋" w:cs="仿宋"/>
          <w:color w:val="auto"/>
          <w:highlight w:val="none"/>
        </w:rPr>
      </w:pPr>
      <w:r>
        <w:rPr>
          <w:rFonts w:hint="eastAsia" w:ascii="仿宋" w:hAnsi="仿宋" w:eastAsia="仿宋" w:cs="仿宋"/>
          <w:color w:val="auto"/>
          <w:highlight w:val="none"/>
        </w:rPr>
        <w:t xml:space="preserve">（2）缺陷责任期内，发包人对已接收使用的工程负责日常维护工作。发包人在使用过程中，发现已接收的工程存在新的缺陷或已修复的缺陷部位或部件又遭损坏的，应及时通知承包人修复，承包人应在收到通知后的 7 天内派人修复，直至检验合格为止。承包人未能在约定时间内修复的，发包人可自行或委托第三方修复，所需费用和利润按照本款第（3）点约定办理。 </w:t>
      </w:r>
    </w:p>
    <w:p>
      <w:pPr>
        <w:pStyle w:val="33"/>
        <w:widowControl w:val="0"/>
        <w:adjustRightInd w:val="0"/>
        <w:snapToGrid w:val="0"/>
        <w:ind w:left="1850" w:leftChars="771"/>
        <w:jc w:val="both"/>
        <w:rPr>
          <w:rFonts w:ascii="仿宋" w:hAnsi="仿宋" w:eastAsia="仿宋" w:cs="仿宋"/>
          <w:color w:val="auto"/>
          <w:highlight w:val="none"/>
        </w:rPr>
      </w:pPr>
      <w:r>
        <w:rPr>
          <w:rFonts w:hint="eastAsia" w:ascii="仿宋" w:hAnsi="仿宋" w:eastAsia="仿宋" w:cs="仿宋"/>
          <w:color w:val="auto"/>
          <w:highlight w:val="none"/>
        </w:rPr>
        <w:t>（3）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pPr>
        <w:spacing w:line="360" w:lineRule="auto"/>
        <w:rPr>
          <w:rFonts w:ascii="仿宋" w:hAnsi="仿宋" w:eastAsia="仿宋"/>
          <w:b/>
          <w:bCs/>
          <w:color w:val="auto"/>
          <w:highlight w:val="none"/>
          <w:lang w:eastAsia="zh-CN"/>
        </w:rPr>
      </w:pPr>
      <w:bookmarkStart w:id="456" w:name="_Toc32142"/>
      <w:r>
        <w:rPr>
          <w:color w:val="auto"/>
          <w:highlight w:val="none"/>
          <w:lang w:eastAsia="zh-CN" w:bidi="ar-SA"/>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52"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026" o:spt="202" type="#_x0000_t202" style="position:absolute;left:0pt;margin-left:-9pt;margin-top:22.6pt;height:33.85pt;width:76.2pt;z-index:25207808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lZkNtBkCAAAYBAAADgAAAGRycy9lMm9Eb2MueG1srVNL&#10;jhMxEN0jcQfLe9JJlEwmrXRGw0SDkIaPNHAAx+1OW7RdpuykOxwAbsCKDXvOlXNQdmdCGDazYGPZ&#10;VeVX7z2XF1edadhOoddgCz4aDDlTVkKp7abgHz/cvrjkzAdhS9GAVQXfK8+vls+fLVqXqzHU0JQK&#10;GYFYn7eu4HUILs8yL2tlhB+AU5aSFaARgY64yUoULaGbJhsPhxdZC1g6BKm8p+iqT/IjIj4FEKpK&#10;S7UCuTXKhh4VVSMCSfK1dp4vE9uqUjK8qyqvAmsKTkpDWqkJ7ddxzZYLkW9QuFrLIwXxFAqPNBmh&#10;LTU9Qa1EEGyL+h8ooyWChyoMJJisF5IcIRWj4SNv7mvhVNJCVnt3Mt3/P1j5dvcemS5pEqZjzqww&#10;9OSH798OP34dfn5l88lltKh1PqfKe0e1oXsJHZUnud7dgfzkmYWbWtiNukaEtlaiJIqjeDM7u9rj&#10;+Aiybt9ASZ3ENkAC6io00T9yhBE6Pc/+9DyqC0xScH4xm00oIyk1Gc8v59PUQeQPlx368EqBYXFT&#10;cKTXT+Bid+dDJCPyh5LYy8Ktbpo0AY39K0CFMZLIR74989Ctu6MZayj3JAOhHyj6TrSpAb9w1tIw&#10;Fdx/3gpUnDWvLVkxH00i8ZAOk+lsTAc8z6zPM8JKgip44Kzf3oR+YrcO9aamTr35Fq7JvkonadHn&#10;ntWRNw1MUnwc7jiR5+dU9edD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JWZDbQZAgAA&#10;GAQAAA4AAAAAAAAAAQAgAAAAJwEAAGRycy9lMm9Eb2MueG1sUEsFBgAAAAAGAAYAWQEAALI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4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33"/>
        <w:widowControl w:val="0"/>
        <w:adjustRightInd w:val="0"/>
        <w:snapToGrid w:val="0"/>
        <w:ind w:left="1850" w:leftChars="771"/>
        <w:jc w:val="both"/>
        <w:rPr>
          <w:rFonts w:ascii="仿宋" w:hAnsi="仿宋" w:eastAsia="仿宋" w:cs="仿宋"/>
          <w:color w:val="auto"/>
          <w:highlight w:val="none"/>
        </w:rPr>
      </w:pPr>
      <w:r>
        <w:rPr>
          <w:rFonts w:hint="eastAsia" w:ascii="仿宋" w:hAnsi="仿宋" w:eastAsia="仿宋" w:cs="仿宋"/>
          <w:color w:val="auto"/>
          <w:highlight w:val="none"/>
        </w:rPr>
        <w:t>任何一项缺陷或损坏修复后，经检查证明其影响了工程或工程设备的使用性能，承包人应按照第61条</w:t>
      </w:r>
      <w:r>
        <w:rPr>
          <w:rFonts w:hint="eastAsia" w:ascii="仿宋" w:hAnsi="仿宋" w:eastAsia="仿宋" w:cs="仿宋"/>
          <w:color w:val="auto"/>
          <w:highlight w:val="none"/>
          <w:lang w:val="en-US"/>
        </w:rPr>
        <w:t>约定</w:t>
      </w:r>
      <w:r>
        <w:rPr>
          <w:rFonts w:hint="eastAsia" w:ascii="仿宋" w:hAnsi="仿宋" w:eastAsia="仿宋" w:cs="仿宋"/>
          <w:color w:val="auto"/>
          <w:highlight w:val="none"/>
        </w:rPr>
        <w:t>重新检（试）验，重新检（试）验的费用由责任方承担。</w:t>
      </w:r>
    </w:p>
    <w:p>
      <w:pPr>
        <w:spacing w:line="360" w:lineRule="auto"/>
        <w:rPr>
          <w:rFonts w:ascii="仿宋" w:hAnsi="仿宋" w:eastAsia="仿宋"/>
          <w:b/>
          <w:bCs/>
          <w:color w:val="auto"/>
          <w:highlight w:val="none"/>
          <w:lang w:eastAsia="zh-CN"/>
        </w:rPr>
      </w:pPr>
      <w:bookmarkStart w:id="457"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4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40640</wp:posOffset>
                </wp:positionV>
                <wp:extent cx="967740" cy="380365"/>
                <wp:effectExtent l="0" t="0" r="0" b="0"/>
                <wp:wrapNone/>
                <wp:docPr id="151" name="文本框 949"/>
                <wp:cNvGraphicFramePr/>
                <a:graphic xmlns:a="http://schemas.openxmlformats.org/drawingml/2006/main">
                  <a:graphicData uri="http://schemas.microsoft.com/office/word/2010/wordprocessingShape">
                    <wps:wsp>
                      <wps:cNvSpPr txBox="1">
                        <a:spLocks noChangeArrowheads="1"/>
                      </wps:cNvSpPr>
                      <wps:spPr bwMode="auto">
                        <a:xfrm>
                          <a:off x="0" y="0"/>
                          <a:ext cx="967740" cy="38036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026" o:spt="202" type="#_x0000_t202" style="position:absolute;left:0pt;margin-left:-9pt;margin-top:3.2pt;height:29.95pt;width:76.2pt;z-index:252079104;mso-width-relative:page;mso-height-relative:page;" filled="f" stroked="f" coordsize="21600,21600" o:gfxdata="UEsDBAoAAAAAAIdO4kAAAAAAAAAAAAAAAAAEAAAAZHJzL1BLAwQUAAAACACHTuJAhmglPdUAAAAI&#10;AQAADwAAAGRycy9kb3ducmV2LnhtbE2PwU7DMBBE70j9B2srcWvt0BC1IU4PIK4gCq3Umxtvk4h4&#10;HcVuE/6e7QluO5rR7JtiO7lOXHEIrScNyVKBQKq8banW8PX5uliDCNGQNZ0n1PCDAbbl7K4wufUj&#10;feB1F2vBJRRyo6GJsc+lDFWDzoSl75HYO/vBmchyqKUdzMjlrpMPSmXSmZb4Q2N6fG6w+t5dnIb9&#10;2/l4SNV7/eIe+9FPSpLbSK3v54l6AhFxin9huOEzOpTMdPIXskF0GhbJmrdEDVkK4uavUj5OrLMV&#10;yLKQ/weUv1BLAwQUAAAACACHTuJAjhFNUBkCAAAYBAAADgAAAGRycy9lMm9Eb2MueG1srVNLbtsw&#10;EN0X6B0I7mvZjj+xYDlIY6QokH6AtAegKcoiKnHYIW3JPUB7g6666b7n8jk6pBTXTTdZdEOQM8M3&#10;7z0Ol1dtXbG9QqfBZHw0GHKmjIRcm23GP364fXHJmfPC5KICozJ+UI5frZ4/WzY2VWMoocoVMgIx&#10;Lm1sxkvvbZokTpaqFm4AVhlKFoC18HTEbZKjaAi9rpLxcDhLGsDcIkjlHEXXXZL3iPgUQCgKLdUa&#10;5K5WxneoqCrhSZIrtXV8FdkWhZL+XVE45VmVcVLq40pNaL8Ja7JainSLwpZa9hTEUyg80lQLbajp&#10;CWotvGA71P9A1VoiOCj8QEKddEKiI6RiNHzkzX0prIpayGpnT6a7/wcr3+7fI9M5TcJ0xJkRNT35&#10;8fu3449fx59f2WKyCBY11qVUeW+p1rcvoaXyKNfZO5CfHDNwUwqzVdeI0JRK5ERxFG4mZ1c7HBdA&#10;Ns0byKmT2HmIQG2BdfCPHGGETs9zOD2Paj2TFFzM5vMJZSSlLi6HF7Np7CDSh8sWnX+loGZhk3Gk&#10;14/gYn/nfCAj0oeS0MvAra6qOAGV+StAhSESyQe+HXPfbtrejA3kB5KB0A0UfSfalIBfOGtomDLu&#10;Pu8EKs6q14asWIwmgbiPh8l0PqYDnmc25xlhJEFl3HPWbW98N7E7i3pbUqfOfAPXZF+ho7Tgc8eq&#10;500DExX3wx0m8vwcq/586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mglPdUAAAAIAQAADwAA&#10;AAAAAAABACAAAAAiAAAAZHJzL2Rvd25yZXYueG1sUEsBAhQAFAAAAAgAh07iQI4RTVAZAgAAG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pPr>
        <w:spacing w:line="360" w:lineRule="auto"/>
        <w:rPr>
          <w:rFonts w:ascii="仿宋" w:hAnsi="仿宋" w:eastAsia="仿宋"/>
          <w:b/>
          <w:bCs/>
          <w:color w:val="auto"/>
          <w:highlight w:val="none"/>
          <w:lang w:eastAsia="zh-CN"/>
        </w:rPr>
      </w:pPr>
      <w:bookmarkStart w:id="458" w:name="_Toc19809"/>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4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48260</wp:posOffset>
                </wp:positionV>
                <wp:extent cx="967740" cy="429895"/>
                <wp:effectExtent l="0" t="0" r="0" b="0"/>
                <wp:wrapNone/>
                <wp:docPr id="150"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026" o:spt="202" type="#_x0000_t202" style="position:absolute;left:0pt;margin-left:-9pt;margin-top:3.8pt;height:33.85pt;width:76.2pt;z-index:252080128;mso-width-relative:page;mso-height-relative:page;" filled="f" stroked="f" coordsize="21600,21600" o:gfxdata="UEsDBAoAAAAAAIdO4kAAAAAAAAAAAAAAAAAEAAAAZHJzL1BLAwQUAAAACACHTuJAph42fNYAAAAI&#10;AQAADwAAAGRycy9kb3ducmV2LnhtbE2PzW7CMBCE70i8g7VIvYGdEigN2XBo1Wsr6I/Um4mXJCJe&#10;R7Eh6dvXnNrjaEYz3+S70bbiSr1vHCMkCwWCuHSm4Qrh4/1lvgHhg2ajW8eE8EMedsV0kuvMuIH3&#10;dD2ESsQS9plGqEPoMil9WZPVfuE64uidXG91iLKvpOn1EMttK++VWkurG44Lte7oqabyfLhYhM/X&#10;0/dXqt6qZ7vqBjcqyfZRIt7NErUFEWgMf2G44Ud0KCLT0V3YeNEizJNN/BIQHtYgbv4yTUEco14t&#10;QRa5/H+g+AVQSwMEFAAAAAgAh07iQCZ8VnkXAgAAGAQAAA4AAABkcnMvZTJvRG9jLnhtbK1TS44T&#10;MRDdI3EHy3vSSZRMJq10RsNEg5CGjzRwAMftTlu0XabspDscAG7Aig17zpVzUHZnQhg2s2Bj2VXl&#10;V+89lxdXnWnYTqHXYAs+Ggw5U1ZCqe2m4B8/3L645MwHYUvRgFUF3yvPr5bPny1al6sx1NCUChmB&#10;WJ+3ruB1CC7PMi9rZYQfgFOWkhWgEYGOuMlKFC2hmyYbD4cXWQtYOgSpvKfoqk/yIyI+BRCqSku1&#10;Ark1yoYeFVUjAknytXaeLxPbqlIyvKsqrwJrCk5KQ1qpCe3Xcc2WC5FvULhayyMF8RQKjzQZoS01&#10;PUGtRBBsi/ofKKMlgocqDCSYrBeSHCEVo+Ejb+5r4VTSQlZ7dzLd/z9Y+Xb3HpkuaRKm5IkVhp78&#10;8P3b4cevw8+vbE5Bsqh1PqfKe0e1oXsJHZUnud7dgfzkmYWbWtiNukaEtlaiJIqjeDM7u9rj+Aiy&#10;bt9ASZ3ENkAC6io00T9yhBE6Udmfnkd1gUkKzi9mswllJKUm4/nlfJo6iPzhskMfXikwLG4KjvT6&#10;CVzs7nyIZET+UBJ7WbjVTZMmoLF/BagwRhL5yLdnHrp1dzRjDeWeZCD0A0XfiTY14BfOWhqmgvvP&#10;W4GKs+a1JSvmo0kkHtJhMp2N6YDnmfV5RlhJUAUPnPXbm9BP7Nah3tTUqTffwjXZV+kkLfrcszry&#10;poFJio/DHSfy/Jyq/n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HjZ81gAAAAgBAAAPAAAA&#10;AAAAAAEAIAAAACIAAABkcnMvZG93bnJldi54bWxQSwECFAAUAAAACACHTuJAJnxWeRcCAAAYBAAA&#10;DgAAAAAAAAABACAAAAAlAQAAZHJzL2Uyb0RvYy54bWxQSwUGAAAAAAYABgBZAQAArg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pPr>
        <w:spacing w:line="360" w:lineRule="auto"/>
        <w:rPr>
          <w:rFonts w:ascii="仿宋" w:hAnsi="仿宋" w:eastAsia="仿宋"/>
          <w:b/>
          <w:bCs/>
          <w:color w:val="auto"/>
          <w:highlight w:val="none"/>
          <w:lang w:eastAsia="zh-CN"/>
        </w:rPr>
      </w:pPr>
      <w:bookmarkStart w:id="459" w:name="_Toc4724"/>
      <w:r>
        <w:rPr>
          <w:color w:val="auto"/>
          <w:highlight w:val="none"/>
          <w:lang w:eastAsia="zh-CN" w:bidi="ar-SA"/>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49"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026" o:spt="202" type="#_x0000_t202" style="position:absolute;left:0pt;margin-left:-9pt;margin-top:22.6pt;height:33.85pt;width:76.2pt;z-index:25208115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czNfAhcCAAAYBAAADgAAAGRycy9lMm9Eb2MueG1srVPN&#10;jtMwEL4j8Q6W7zRt1W43UdPVstUipOVHWngA13Eai8Rjxm6T8gDwBpy4cOe5+hyMnWwpy2UPXCx7&#10;ZvzN930eL6+6pmZ7hU6DyflkNOZMGQmFNtucf/xw++KSM+eFKUQNRuX8oBy/Wj1/tmxtpqZQQV0o&#10;ZARiXNbanFfe2yxJnKxUI9wIrDKULAEb4emI26RA0RJ6UyfT8fgiaQELiyCVcxRd90k+IOJTAKEs&#10;tVRrkLtGGd+joqqFJ0mu0tbxVWRblkr6d2XplGd1zkmpjys1of0mrMlqKbItCltpOVAQT6HwSFMj&#10;tKGmJ6i18ILtUP8D1WiJ4KD0IwlN0guJjpCKyfiRN/eVsCpqIaudPZnu/h+sfLt/j0wXNAmzlDMj&#10;Gnry4/dvxx+/jj+/snQ+CRa11mVUeW+p1ncvoaPyKNfZO5CfHDNwUwmzVdeI0FZKFEQx3kzOrvY4&#10;LoBs2jdQUCex8xCBuhKb4B85wgidnudweh7VeSYpmF4sFjPKSErNpullOg/cEpE9XLbo/CsFDQub&#10;nCO9fgQX+zvn+9KHktDLwK2u6zgBtfkrQJghEskHvj1z3226wYwNFAeSgdAPFH0n2lSAXzhraZhy&#10;7j7vBCrO6teGrEgns0Dcx8NsvpjSAc8zm/OMMJKgcu4567c3vp/YnUW9rahTb76Ba7Kv1FFa8Lln&#10;NfCmgYnmDMMdJvL8HKv+fO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Fm/p3YAAAACgEAAA8A&#10;AAAAAAAAAQAgAAAAIgAAAGRycy9kb3ducmV2LnhtbFBLAQIUABQAAAAIAIdO4kBzM18CFwIAABgE&#10;AAAOAAAAAAAAAAEAIAAAACcBAABkcnMvZTJvRG9jLnhtbFBLBQYAAAAABgAGAFkBAACw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4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spacing w:line="360" w:lineRule="auto"/>
        <w:rPr>
          <w:rFonts w:ascii="仿宋" w:hAnsi="仿宋" w:eastAsia="仿宋"/>
          <w:color w:val="auto"/>
          <w:highlight w:val="none"/>
          <w:lang w:eastAsia="zh-CN"/>
        </w:rPr>
      </w:pPr>
      <w:bookmarkStart w:id="460" w:name="_Toc31105"/>
      <w:r>
        <w:rPr>
          <w:color w:val="auto"/>
          <w:highlight w:val="none"/>
          <w:lang w:eastAsia="zh-CN" w:bidi="ar-SA"/>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148"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026" o:spt="202" type="#_x0000_t202" style="position:absolute;left:0pt;margin-left:-9pt;margin-top:22.6pt;height:33.85pt;width:76.2pt;z-index:25208217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NrK2nxgCAAAYBAAADgAAAGRycy9lMm9Eb2MueG1srVNL&#10;jhMxEN0jcQfLe9JJlEwmrXRGw0SDkIaPNHAAx+1OW7RdpuykOxwAbsCKDXvOlXNQdmdCGDazYGPZ&#10;rvKr916VF1edadhOoddgCz4aDDlTVkKp7abgHz/cvrjkzAdhS9GAVQXfK8+vls+fLVqXqzHU0JQK&#10;GYFYn7eu4HUILs8yL2tlhB+AU5aCFaARgY64yUoULaGbJhsPhxdZC1g6BKm8p9tVH+RHRHwKIFSV&#10;lmoFcmuUDT0qqkYEkuRr7TxfJrZVpWR4V1VeBdYUnJSGtFIR2q/jmi0XIt+gcLWWRwriKRQeaTJC&#10;Wyp6glqJINgW9T9QRksED1UYSDBZLyQ5QipGw0fe3NfCqaSFrPbuZLr/f7Dy7e49Ml3SJEyo8VYY&#10;avnh+7fDj1+Hn1/ZfDqOFrXO55R57yg3dC+ho/Qk17s7kJ88s3BTC7tR14jQ1kqURHEUX2ZnT3sc&#10;H0HW7RsoqZLYBkhAXYUm+keOMEKn9uxP7VFdYJIu5xez2YQikkKT8fxyPk0VRP7w2KEPrxQYFjcF&#10;R+p+Ahe7Ox8iGZE/pMRaFm5106QJaOxfF5QYbxL5yLdnHrp1dzRjDeWeZCD0A0XfiTY14BfOWhqm&#10;gvvPW4GKs+a1JSvmo0kkHtJhMp2N6YDnkfV5RFhJUAUPnPXbm9BP7Nah3tRUqTffwjXZV+kkLfrc&#10;szrypoFJio/DHSfy/Jyy/nzo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Zv6d2AAAAAoBAAAP&#10;AAAAAAAAAAEAIAAAACIAAABkcnMvZG93bnJldi54bWxQSwECFAAUAAAACACHTuJANrK2nxgCAAAY&#10;BAAADgAAAAAAAAABACAAAAAnAQAAZHJzL2Uyb0RvYy54bWxQSwUGAAAAAAYABgBZAQAAs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460"/>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质量保修期自竣工验收合格之日起计算。在全部工程竣工验收前，已经发包人提前验收的单项工程，其质量保修期的起算日期相应提前。</w:t>
      </w:r>
    </w:p>
    <w:p>
      <w:pPr>
        <w:spacing w:line="360" w:lineRule="auto"/>
        <w:rPr>
          <w:rFonts w:ascii="仿宋" w:hAnsi="仿宋" w:eastAsia="仿宋" w:cs="仿宋"/>
          <w:b/>
          <w:bCs/>
          <w:color w:val="auto"/>
          <w:highlight w:val="none"/>
          <w:u w:val="dotted"/>
          <w:lang w:eastAsia="zh-CN"/>
        </w:rPr>
      </w:pPr>
      <w:bookmarkStart w:id="461"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4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r>
        <w:rPr>
          <w:rFonts w:hint="eastAsia" w:ascii="仿宋" w:hAnsi="仿宋" w:eastAsia="仿宋" w:cs="仿宋"/>
          <w:color w:val="auto"/>
          <w:highlight w:val="none"/>
          <w:lang w:eastAsia="zh-CN" w:bidi="ar-SA"/>
        </w:rPr>
        <mc:AlternateContent>
          <mc:Choice Requires="wps">
            <w:drawing>
              <wp:anchor distT="0" distB="0" distL="114300" distR="114300" simplePos="0" relativeHeight="251967488"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147" name="文本框 953"/>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026" o:spt="202" type="#_x0000_t202" style="position:absolute;left:0pt;margin-left:-5.8pt;margin-top:1.2pt;height:28.8pt;width:77.8pt;z-index:251967488;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bXgiJRgCAAAYBAAADgAAAGRycy9lMm9Eb2MueG1srVNLbtsw&#10;EN0X6B0I7mvZjr+C5SCNkaJA+gHSHoCmKIuoxGGHtCX3AM0Nuuqm+57L5+iQchw33WTRjTCcGb55&#10;73G0uGzriu0UOg0m44NenzNlJOTabDL++dPNqxlnzguTiwqMyvheOX65fPli0dhUDaGEKlfICMS4&#10;tLEZL723aZI4WapauB5YZahYANbC0xE3SY6iIfS6Sob9/iRpAHOLIJVzlF11RX5ExOcAQlFoqVYg&#10;t7UyvkNFVQlPklyprePLyLYolPQfisIpz6qMk1IfvzSE4nX4JsuFSDcobKnlkYJ4DoUnmmqhDQ09&#10;Qa2EF2yL+h+oWksEB4XvSaiTTkh0hFQM+k+8uSuFVVELWe3syXT3/2Dl+91HZDqnTRhNOTOipic/&#10;/Lg//Px9+PWdzccXwaLGupQ67yz1+vY1tNQe5Tp7C/KLYwauS2E26goRmlKJnCgOws3k7GqH4wLI&#10;unkHOU0SWw8RqC2wDv6RI4zQ6Xn2p+dRrWeSkvPZrD+hiqTSxWQ8pThMEOnDZYvOv1FQsxBkHOn1&#10;I7jY3TrftT60hFkGbnRVUV6klfkrQZghE8kHvh1z365b6g6K1pDvSQZCt1D0O1FQAn7jrKFlyrj7&#10;uhWoOKveGrJiPhiNwvbFw2g8HdIBzyvr84owkqAy7jnrwmvfbezWot6UNKkz38AV2VfoKO2R1ZE3&#10;LUw057jcYSPPz7Hr8Yde/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ViiUO1QAAAAgBAAAPAAAA&#10;AAAAAAEAIAAAACIAAABkcnMvZG93bnJldi54bWxQSwECFAAUAAAACACHTuJAbXgiJRgCAAAYBAAA&#10;DgAAAAAAAAABACAAAAAkAQAAZHJzL2Uyb0RvYy54bWxQSwUGAAAAAAYABgBZAQAArg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p>
    <w:p>
      <w:pPr>
        <w:spacing w:line="360" w:lineRule="auto"/>
        <w:rPr>
          <w:rFonts w:ascii="仿宋" w:hAnsi="仿宋" w:eastAsia="仿宋" w:cs="仿宋"/>
          <w:color w:val="auto"/>
          <w:highlight w:val="none"/>
          <w:u w:val="dotted"/>
          <w:lang w:eastAsia="zh-CN"/>
        </w:rPr>
      </w:pPr>
      <w:bookmarkStart w:id="462" w:name="_Toc13407"/>
      <w:r>
        <w:rPr>
          <w:color w:val="auto"/>
          <w:highlight w:val="none"/>
          <w:lang w:eastAsia="zh-CN" w:bidi="ar-SA"/>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256540</wp:posOffset>
                </wp:positionV>
                <wp:extent cx="959485" cy="452120"/>
                <wp:effectExtent l="0" t="0" r="0" b="0"/>
                <wp:wrapNone/>
                <wp:docPr id="146" name="文本框 954"/>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026" o:spt="202" type="#_x0000_t202" style="position:absolute;left:0pt;margin-left:-5.25pt;margin-top:20.2pt;height:35.6pt;width:75.55pt;z-index:252083200;mso-width-relative:page;mso-height-relative:page;" filled="f" stroked="f" coordsize="21600,21600" o:gfxdata="UEsDBAoAAAAAAIdO4kAAAAAAAAAAAAAAAAAEAAAAZHJzL1BLAwQUAAAACACHTuJAaqHm+tYAAAAK&#10;AQAADwAAAGRycy9kb3ducmV2LnhtbE2PwU7DMAyG75N4h8hIu21OUFdBaboDiOsQGyBxyxqvrWic&#10;qsnW8vZkJ7jZ8qff319uZ9eLC42h86xBrSUI4trbjhsN74eX1T2IEA1b03smDT8UYFvdLEpTWD/x&#10;G132sREphENhNLQxDgViqFtyJqz9QJxuJz86E9M6NmhHM6Vw1+OdlDk603H60JqBnlqqv/dnp+Fj&#10;d/r6zORr8+w2w+RnieweUOvlrZKPICLN8Q+Gq35Shyo5Hf2ZbRC9hpWSm4RqyGQG4gpkMgdxTINS&#10;OWBV4v8K1S9QSwMEFAAAAAgAh07iQJsPXkEaAgAAGAQAAA4AAABkcnMvZTJvRG9jLnhtbK1TzW4T&#10;MRC+I/EOlu9kk2hTmlU2VWlUhFR+pMIDOF5v1mLtMWMnu+UB4A164sKd58pzMPamIZRLD1ws2zP+&#10;5vu+GS8uetOynUKvwZZ8MhpzpqyESttNyT99vH5xzpkPwlaiBatKfqc8v1g+f7boXKGm0EBbKWQE&#10;Yn3RuZI3Ibgiy7xslBF+BE5ZCtaARgQ64iarUHSEbtpsOh6fZR1g5RCk8p5uV0OQHxDxKYBQ11qq&#10;FcitUTYMqKhaEUiSb7TzfJnY1rWS4X1dexVYW3JSGtJKRWi/jmu2XIhig8I1Wh4oiKdQeKTJCG2p&#10;6BFqJYJgW9T/QBktETzUYSTBZIOQ5AipmIwfeXPbCKeSFrLau6Pp/v/Byne7D8h0RZOQn3FmhaGW&#10;7++/73/82v/8xuazPFrUOV9Q5q2j3NC/gp7Sk1zvbkB+9szCVSPsRl0iQtcoURHFSXyZnTwdcHwE&#10;WXdvoaJKYhsgAfU1mugfOcIIndpzd2yP6gOTdDmfzfPzGWeSQvlsOpmm9mWieHjs0IfXCgyLm5Ij&#10;dT+Bi92ND5GMKB5SYi0L17pt0wS09q8LSow3iXzkOzAP/bo/mLGG6o5kIAwDRd+JNg3gV846GqaS&#10;+y9bgYqz9o0lK+aTPI/Tlw757CUxZ3gaWZ9GhJUEVfLA2bC9CsPEbh3qTUOVBvMtXJJ9tU7Sos8D&#10;qwNvGpik+DDccSJPzynrz4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oeb61gAAAAoBAAAP&#10;AAAAAAAAAAEAIAAAACIAAABkcnMvZG93bnJldi54bWxQSwECFAAUAAAACACHTuJAmw9eQRoCAAAY&#10;BAAADgAAAAAAAAABACAAAAAlAQAAZHJzL2Uyb0RvYy54bWxQSwUGAAAAAAYABgBZAQAAsQU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46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pPr>
        <w:adjustRightInd w:val="0"/>
        <w:snapToGrid w:val="0"/>
        <w:spacing w:line="360" w:lineRule="auto"/>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p>
    <w:p>
      <w:pPr>
        <w:tabs>
          <w:tab w:val="left" w:pos="1620"/>
        </w:tabs>
        <w:adjustRightInd w:val="0"/>
        <w:snapToGrid w:val="0"/>
        <w:spacing w:line="360" w:lineRule="auto"/>
        <w:jc w:val="center"/>
        <w:outlineLvl w:val="1"/>
        <w:rPr>
          <w:color w:val="auto"/>
          <w:highlight w:val="none"/>
          <w:lang w:eastAsia="zh-CN"/>
        </w:rPr>
      </w:pPr>
      <w:bookmarkStart w:id="463" w:name="_Toc47694342"/>
      <w:bookmarkStart w:id="464" w:name="_Toc4418"/>
      <w:bookmarkStart w:id="465" w:name="_Toc11699"/>
      <w:r>
        <w:rPr>
          <w:rFonts w:hint="eastAsia" w:ascii="仿宋" w:hAnsi="仿宋" w:eastAsia="仿宋" w:cs="仿宋"/>
          <w:b/>
          <w:bCs/>
          <w:color w:val="auto"/>
          <w:highlight w:val="none"/>
          <w:lang w:eastAsia="zh-CN"/>
        </w:rPr>
        <w:t>七、合同价格</w:t>
      </w:r>
      <w:bookmarkEnd w:id="463"/>
      <w:bookmarkEnd w:id="464"/>
      <w:bookmarkEnd w:id="465"/>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66" w:name="_Toc47694343"/>
      <w:bookmarkStart w:id="467" w:name="_Toc26703"/>
      <w:bookmarkStart w:id="468" w:name="_Toc17158"/>
      <w:r>
        <w:rPr>
          <w:rFonts w:ascii="仿宋" w:hAnsi="仿宋" w:eastAsia="仿宋" w:cs="仿宋"/>
          <w:bCs w:val="0"/>
          <w:color w:val="auto"/>
          <w:sz w:val="24"/>
          <w:szCs w:val="24"/>
          <w:highlight w:val="none"/>
        </w:rPr>
        <w:t>6</w:t>
      </w:r>
      <w:r>
        <w:rPr>
          <w:rFonts w:hint="eastAsia" w:ascii="仿宋" w:hAnsi="仿宋" w:eastAsia="仿宋" w:cs="仿宋"/>
          <w:bCs w:val="0"/>
          <w:color w:val="auto"/>
          <w:sz w:val="24"/>
          <w:szCs w:val="24"/>
          <w:highlight w:val="none"/>
        </w:rPr>
        <w:t>7</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资金计划和安排</w:t>
      </w:r>
      <w:bookmarkEnd w:id="466"/>
      <w:bookmarkEnd w:id="467"/>
      <w:bookmarkEnd w:id="468"/>
    </w:p>
    <w:p>
      <w:pPr>
        <w:pStyle w:val="22"/>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w:t>
      </w:r>
      <w:r>
        <w:rPr>
          <w:rFonts w:hint="eastAsia" w:ascii="仿宋" w:hAnsi="仿宋" w:eastAsia="仿宋" w:cs="仿宋"/>
          <w:b/>
          <w:bCs/>
          <w:color w:val="auto"/>
          <w:sz w:val="24"/>
          <w:szCs w:val="24"/>
          <w:highlight w:val="none"/>
        </w:rPr>
        <w:t>7</w:t>
      </w:r>
      <w:r>
        <w:rPr>
          <w:rFonts w:ascii="仿宋" w:hAnsi="仿宋" w:eastAsia="仿宋" w:cs="仿宋"/>
          <w:b/>
          <w:bCs/>
          <w:color w:val="auto"/>
          <w:sz w:val="24"/>
          <w:szCs w:val="24"/>
          <w:highlight w:val="none"/>
        </w:rPr>
        <w:t>.1</w:t>
      </w:r>
    </w:p>
    <w:p>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r>
        <w:rPr>
          <w:color w:val="auto"/>
          <w:highlight w:val="none"/>
          <w:lang w:eastAsia="zh-CN" w:bidi="ar-SA"/>
        </w:rPr>
        <mc:AlternateContent>
          <mc:Choice Requires="wps">
            <w:drawing>
              <wp:anchor distT="0" distB="0" distL="114300" distR="114300" simplePos="0" relativeHeight="251968512"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145"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wps:spPr>
                      <wps:txb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026" o:spt="202" type="#_x0000_t202" style="position:absolute;left:0pt;margin-left:-10.5pt;margin-top:5.4pt;height:34pt;width:72pt;z-index:251968512;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OOGJUIWAgAAGAQAAA4AAABkcnMvZTJvRG9jLnhtbK1TwW4T&#10;MRC9I/EPlu9kk5DQdpVNVRoVIRWKVPgAx+vNWqw9ZuxkN3wA/QNOXLj3u/IdjL1pGsqlBy6r8cz4&#10;zXvPs7PzzjRso9BrsAUfDYacKSuh1HZV8C+fr16dcuaDsKVowKqCb5Xn5/OXL2aty9UYamhKhYxA&#10;rM9bV/A6BJdnmZe1MsIPwClLxQrQiEBHXGUlipbQTZONh8M3WQtYOgSpvKfsoi/yPSI+BxCqSku1&#10;ALk2yoYeFVUjAknytXaezxPbqlIy3FSVV4E1BSelIX1pCMXL+M3mM5GvULhayz0F8RwKTzQZoS0N&#10;PUAtRBBsjfofKKMlgocqDCSYrBeSHCEVo+ETb25r4VTSQlZ7dzDd/z9Y+XHzCZkuaRMmU86sMPTk&#10;u593u1/3u98/2Nn0JFrUOp9T562j3tC9hY7ak1zvrkF+9czCZS3sSl0gQlsrURLFUbyZHV3tcXwE&#10;WbYfoKRJYh0gAXUVmugfOcIInZ5ne3ge1QUmKXk2mkyGVJFUmrwenVIcJ4j84bJDH94pMCwGBUd6&#10;/QQuNtc+9K0PLXGWhSvdNJQXeWP/ShBmzCTykW/PPHTLjrqjoiWUW5KB0C8U/U4U1IDfOWtpmQru&#10;v60FKs6a95asSMxp+9JhMj0Zkwo8riyPK8JKgip44KwPL0O/sWuHelXTpN58CxdkX6WTtEdWe960&#10;MMmc/XLHjTw+p67HH3r+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kL/c/WAAAACQEAAA8AAAAA&#10;AAAAAQAgAAAAIgAAAGRycy9kb3ducmV2LnhtbFBLAQIUABQAAAAIAIdO4kDjhiVCFgIAABgEAAAO&#10;AAAAAAAAAAEAIAAAACUBAABkcnMvZTJvRG9jLnhtbFBLBQYAAAAABgAGAFkBAACtBQAAAAA=&#10;">
                <v:fill on="f" focussize="0,0"/>
                <v:stroke on="f"/>
                <v:imagedata o:title=""/>
                <o:lock v:ext="edit" aspectratio="f"/>
                <v:textbo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p>
    <w:p>
      <w:pPr>
        <w:pStyle w:val="22"/>
        <w:adjustRightInd w:val="0"/>
        <w:snapToGrid w:val="0"/>
        <w:spacing w:line="360" w:lineRule="auto"/>
        <w:ind w:left="1617" w:hanging="1617" w:hangingChars="671"/>
        <w:rPr>
          <w:rFonts w:ascii="仿宋" w:hAnsi="仿宋" w:eastAsia="仿宋" w:cs="仿宋"/>
          <w:b/>
          <w:bCs/>
          <w:color w:val="auto"/>
          <w:sz w:val="24"/>
          <w:szCs w:val="24"/>
          <w:highlight w:val="none"/>
        </w:rPr>
      </w:pPr>
    </w:p>
    <w:p>
      <w:pPr>
        <w:pStyle w:val="22"/>
        <w:adjustRightInd w:val="0"/>
        <w:snapToGrid w:val="0"/>
        <w:spacing w:line="360" w:lineRule="auto"/>
        <w:ind w:left="1617" w:hanging="1617" w:hangingChars="671"/>
        <w:rPr>
          <w:rFonts w:ascii="仿宋" w:hAnsi="仿宋" w:eastAsia="仿宋"/>
          <w:b/>
          <w:bCs/>
          <w:color w:val="auto"/>
          <w:sz w:val="24"/>
          <w:szCs w:val="24"/>
          <w:highlight w:val="none"/>
        </w:rPr>
      </w:pPr>
      <w:r>
        <w:rPr>
          <w:rFonts w:ascii="仿宋" w:hAnsi="仿宋" w:eastAsia="仿宋" w:cs="仿宋"/>
          <w:b/>
          <w:bCs/>
          <w:color w:val="auto"/>
          <w:sz w:val="24"/>
          <w:szCs w:val="24"/>
          <w:highlight w:val="none"/>
        </w:rPr>
        <w:t>6</w:t>
      </w:r>
      <w:r>
        <w:rPr>
          <w:rFonts w:hint="eastAsia" w:ascii="仿宋" w:hAnsi="仿宋" w:eastAsia="仿宋" w:cs="仿宋"/>
          <w:b/>
          <w:bCs/>
          <w:color w:val="auto"/>
          <w:sz w:val="24"/>
          <w:szCs w:val="24"/>
          <w:highlight w:val="none"/>
        </w:rPr>
        <w:t>7</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发包人在收到承包人提交的工程资金需求计划书后 28 天内，应根据合同约定提供已做出资金安排的合理证据，表明自己有能力按照第 83 条约定支付合同价款。如果发包人对资金安排作出任何变更时，应及时将变更的详情通知承包人。</w:t>
      </w:r>
      <w:r>
        <w:rPr>
          <w:color w:val="auto"/>
          <w:highlight w:val="none"/>
          <w:lang w:eastAsia="zh-CN" w:bidi="ar-SA"/>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144"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9pt;margin-top:2.7pt;height:36.6pt;width:72pt;z-index:251969536;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42TKbxYCAAAYBAAADgAAAGRycy9lMm9Eb2MueG1srVPNbhMx&#10;EL4j8Q6W72STKC3pKpuqNCpCKj9S4QEcrzdrsfaYsZPd8ADwBj1x4c5z5TkYe7chlEsPXCzbM/7m&#10;+74ZLy4707CdQq/BFnwyGnOmrIRS203BP328eTHnzAdhS9GAVQXfK88vl8+fLVqXqynU0JQKGYFY&#10;n7eu4HUILs8yL2tlhB+BU5aCFaARgY64yUoULaGbJpuOx+dZC1g6BKm8p9tVH+QDIj4FEKpKS7UC&#10;uTXKhh4VVSMCSfK1dp4vE9uqUjK8ryqvAmsKTkpDWqkI7ddxzZYLkW9QuFrLgYJ4CoVHmozQlooe&#10;oVYiCLZF/Q+U0RLBQxVGEkzWC0mOkIrJ+JE3d7VwKmkhq707mu7/H6x8t/uATJc0CbMZZ1YYavnh&#10;/vvhx6/Dz2/s4mweLWqdzynzzlFu6F5BR+lJrne3ID97ZuG6FnajrhChrZUoieIkvsxOnvY4PoKs&#10;27dQUiWxDZCAugpN9I8cYYRO7dkf26O6wCRdXhDFMUUkhWbns/k0tS8T+cNjhz68VmBY3BQcqfsJ&#10;XOxufYhkRP6QEmtZuNFNkyagsX9dUGK8SeQj35556NbdYMYayj3JQOgHir4TbWrAr5y1NEwF91+2&#10;AhVnzRtLViTmNH3pMDt7ScwZnkbWpxFhJUEVPHDWb69DP7Fbh3pTU6XefAtXZF+lk7Toc89q4E0D&#10;kxQPwx0n8vScsv586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rB3tUAAAAIAQAADwAAAAAA&#10;AAABACAAAAAiAAAAZHJzL2Rvd25yZXYueG1sUEsBAhQAFAAAAAgAh07iQONkym8WAgAAGAQAAA4A&#10;AAAAAAAAAQAgAAAAJAEAAGRycy9lMm9Eb2MueG1sUEsFBgAAAAAGAAYAWQEAAKwFAAAAAA==&#10;">
                <v:fill on="f" focussize="0,0"/>
                <v:stroke on="f"/>
                <v:imagedata o:title=""/>
                <o:lock v:ext="edit" aspectratio="f"/>
                <v:textbo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p>
    <w:p>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pPr>
        <w:pStyle w:val="5"/>
        <w:tabs>
          <w:tab w:val="left" w:pos="360"/>
          <w:tab w:val="left" w:pos="420"/>
        </w:tabs>
        <w:spacing w:before="120" w:beforeLines="50" w:after="120" w:afterLines="50" w:line="360" w:lineRule="auto"/>
        <w:rPr>
          <w:rFonts w:ascii="仿宋" w:hAnsi="仿宋" w:eastAsia="仿宋" w:cs="仿宋"/>
          <w:bCs w:val="0"/>
          <w:color w:val="auto"/>
          <w:sz w:val="24"/>
          <w:szCs w:val="24"/>
          <w:highlight w:val="none"/>
        </w:rPr>
      </w:pPr>
      <w:bookmarkStart w:id="469" w:name="_Toc47694344"/>
      <w:bookmarkStart w:id="470" w:name="_Toc30065"/>
      <w:bookmarkStart w:id="471" w:name="_Toc15211"/>
      <w:r>
        <w:rPr>
          <w:color w:val="auto"/>
          <w:highlight w:val="none"/>
          <w:lang w:val="en-US"/>
        </w:rPr>
        <mc:AlternateContent>
          <mc:Choice Requires="wps">
            <w:drawing>
              <wp:anchor distT="0" distB="0" distL="114300" distR="114300" simplePos="0" relativeHeight="252120064" behindDoc="0" locked="0" layoutInCell="1" allowOverlap="1">
                <wp:simplePos x="0" y="0"/>
                <wp:positionH relativeFrom="column">
                  <wp:posOffset>-50165</wp:posOffset>
                </wp:positionH>
                <wp:positionV relativeFrom="paragraph">
                  <wp:posOffset>445770</wp:posOffset>
                </wp:positionV>
                <wp:extent cx="914400" cy="464820"/>
                <wp:effectExtent l="0" t="0" r="0" b="0"/>
                <wp:wrapNone/>
                <wp:docPr id="143"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pPr>
                              <w:pStyle w:val="2"/>
                              <w:spacing w:line="220" w:lineRule="exact"/>
                              <w:rPr>
                                <w:rFonts w:ascii="楷体_GB2312" w:hAnsi="宋体" w:eastAsia="楷体_GB2312"/>
                                <w:b/>
                                <w:bCs/>
                                <w:sz w:val="18"/>
                                <w:szCs w:val="18"/>
                                <w:lang w:val="en-US"/>
                              </w:rPr>
                            </w:pPr>
                            <w:r>
                              <w:rPr>
                                <w:rFonts w:hint="eastAsia" w:ascii="楷体_GB2312" w:hAnsi="宋体" w:eastAsia="楷体_GB2312" w:cs="楷体_GB2312"/>
                                <w:b/>
                                <w:bCs/>
                                <w:sz w:val="18"/>
                                <w:szCs w:val="18"/>
                                <w:lang w:val="en-US"/>
                              </w:rPr>
                              <w:t>牵头人项目管理费的约定</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3.95pt;margin-top:35.1pt;height:36.6pt;width:72pt;z-index:252120064;mso-width-relative:page;mso-height-relative:page;" filled="f" stroked="f" coordsize="21600,21600" o:gfxdata="UEsDBAoAAAAAAIdO4kAAAAAAAAAAAAAAAAAEAAAAZHJzL1BLAwQUAAAACACHTuJAlKIF3NcAAAAJ&#10;AQAADwAAAGRycy9kb3ducmV2LnhtbE2PzW7CMBCE75V4B2uRegM7kEIJcTi06rVV6Y/Um4mXJCJe&#10;R7Eh6dt3OZXbrGY0822+G10rLtiHxpOGZK5AIJXeNlRp+Px4mT2CCNGQNa0n1PCLAXbF5C43mfUD&#10;veNlHyvBJRQyo6GOscukDGWNzoS575DYO/remchnX0nbm4HLXSsXSq2kMw3xQm06fKqxPO3PTsPX&#10;6/HnO1Vv1bN76AY/KkluI7W+nyZqCyLiGP/DcMVndCiY6eDPZINoNczWG05qWKsFiKu/XCUgDizS&#10;ZQqyyOXtB8UfUEsDBBQAAAAIAIdO4kDHNUq+FwIAABgEAAAOAAAAZHJzL2Uyb0RvYy54bWytU81u&#10;EzEQviPxDpbvZJOwLekqm6o0KkIqP1LhARyvN2ux9pixk93wAPAGnLhw57nyHIy9aQjl0gMXy/aM&#10;v/m+b8bzy960bKvQa7Aln4zGnCkrodJ2XfKPH26ezTjzQdhKtGBVyXfK88vF0yfzzhVqCg20lUJG&#10;INYXnSt5E4IrsszLRhnhR+CUpWANaESgI66zCkVH6KbNpuPxedYBVg5BKu/pdjkE+QERHwMIda2l&#10;WoLcGGXDgIqqFYEk+UY7zxeJbV0rGd7VtVeBtSUnpSGtVIT2q7hmi7ko1ihco+WBgngMhQeajNCW&#10;ih6hliIItkH9D5TREsFDHUYSTDYISY6Qisn4gTd3jXAqaSGrvTua7v8frHy7fY9MVzQJ+XPOrDDU&#10;8v33b/sfv/Y/v7KLs1m0qHO+oMw7R7mhfwk9pSe53t2C/OSZhetG2LW6QoSuUaIiipP4Mjt5OuD4&#10;CLLq3kBFlcQmQALqazTRP3KEETq1Z3dsj+oDk3R5McnzMUUkhfLzfDZN7ctEcf/YoQ+vFBgWNyVH&#10;6n4CF9tbHyIZUdynxFoWbnTbpglo7V8XlBhvEvnId2Ae+lV/MGMF1Y5kIAwDRd+JNg3gF846GqaS&#10;+88bgYqz9rUlKxJzmr50yM9eEHOGp5HVaURYSVAlD5wN2+swTOzGoV43VGkw38IV2VfrJC36PLA6&#10;8KaBSYoPwx0n8vScsv586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KIF3NcAAAAJAQAADwAA&#10;AAAAAAABACAAAAAiAAAAZHJzL2Rvd25yZXYueG1sUEsBAhQAFAAAAAgAh07iQMc1Sr4XAgAAGAQA&#10;AA4AAAAAAAAAAQAgAAAAJgEAAGRycy9lMm9Eb2MueG1sUEsFBgAAAAAGAAYAWQEAAK8FAAAAAA==&#10;">
                <v:fill on="f" focussize="0,0"/>
                <v:stroke on="f"/>
                <v:imagedata o:title=""/>
                <o:lock v:ext="edit" aspectratio="f"/>
                <v:textbox>
                  <w:txbxContent>
                    <w:p>
                      <w:pPr>
                        <w:pStyle w:val="2"/>
                        <w:spacing w:line="220" w:lineRule="exact"/>
                        <w:rPr>
                          <w:rFonts w:ascii="楷体_GB2312" w:hAnsi="宋体" w:eastAsia="楷体_GB2312"/>
                          <w:b/>
                          <w:bCs/>
                          <w:sz w:val="18"/>
                          <w:szCs w:val="18"/>
                          <w:lang w:val="en-US"/>
                        </w:rPr>
                      </w:pPr>
                      <w:r>
                        <w:rPr>
                          <w:rFonts w:hint="eastAsia" w:ascii="楷体_GB2312" w:hAnsi="宋体" w:eastAsia="楷体_GB2312" w:cs="楷体_GB2312"/>
                          <w:b/>
                          <w:bCs/>
                          <w:sz w:val="18"/>
                          <w:szCs w:val="18"/>
                          <w:lang w:val="en-US"/>
                        </w:rPr>
                        <w:t>牵头人项目管理费的约定</w:t>
                      </w:r>
                    </w:p>
                  </w:txbxContent>
                </v:textbox>
              </v:shape>
            </w:pict>
          </mc:Fallback>
        </mc:AlternateContent>
      </w:r>
      <w:r>
        <w:rPr>
          <w:rFonts w:hint="eastAsia" w:ascii="仿宋" w:hAnsi="仿宋" w:eastAsia="仿宋" w:cs="仿宋"/>
          <w:bCs w:val="0"/>
          <w:color w:val="auto"/>
          <w:sz w:val="24"/>
          <w:szCs w:val="24"/>
          <w:highlight w:val="none"/>
        </w:rPr>
        <w:t>68</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联合体</w:t>
      </w:r>
      <w:r>
        <w:rPr>
          <w:rFonts w:hint="eastAsia" w:ascii="仿宋" w:hAnsi="仿宋" w:eastAsia="仿宋" w:cs="仿宋"/>
          <w:bCs w:val="0"/>
          <w:color w:val="auto"/>
          <w:sz w:val="24"/>
          <w:szCs w:val="24"/>
          <w:highlight w:val="none"/>
          <w:lang w:val="en-US"/>
        </w:rPr>
        <w:t>牵头人</w:t>
      </w:r>
      <w:r>
        <w:rPr>
          <w:rFonts w:hint="eastAsia" w:ascii="仿宋" w:hAnsi="仿宋" w:eastAsia="仿宋" w:cs="仿宋"/>
          <w:bCs w:val="0"/>
          <w:color w:val="auto"/>
          <w:sz w:val="24"/>
          <w:szCs w:val="24"/>
          <w:highlight w:val="none"/>
        </w:rPr>
        <w:t>项目管理费</w:t>
      </w:r>
      <w:bookmarkEnd w:id="469"/>
      <w:bookmarkEnd w:id="470"/>
      <w:bookmarkEnd w:id="471"/>
    </w:p>
    <w:p>
      <w:pPr>
        <w:widowControl w:val="0"/>
        <w:spacing w:line="360" w:lineRule="auto"/>
        <w:ind w:left="1850" w:leftChars="771"/>
        <w:jc w:val="both"/>
        <w:rPr>
          <w:rFonts w:ascii="仿宋" w:hAnsi="仿宋" w:eastAsia="仿宋" w:cs="仿宋"/>
          <w:color w:val="auto"/>
          <w:highlight w:val="none"/>
          <w:lang w:eastAsia="zh-CN"/>
        </w:rPr>
      </w:pPr>
      <w:bookmarkStart w:id="472" w:name="OLE_LINK2"/>
      <w:bookmarkStart w:id="473" w:name="OLE_LINK1"/>
      <w:r>
        <w:rPr>
          <w:rFonts w:hint="eastAsia" w:ascii="仿宋" w:hAnsi="仿宋" w:eastAsia="仿宋" w:cs="仿宋"/>
          <w:color w:val="auto"/>
          <w:highlight w:val="none"/>
          <w:lang w:eastAsia="zh-CN"/>
        </w:rPr>
        <w:t xml:space="preserve">承包人为联合体时，联合体牵头人对联合体各成员负责组织、管理和协调方面的工作。牵头人项目管理费的金额由合同双方当事人在本合同协议书中约定，该费用已包含在合同总价中，发包人不另行增加该费用。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牵头人项目管理费由发包人直接支付给联合体牵头人并从合同总价中扣除，支付时间、支付比例在专用条款中约定。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牵头人项目管理费由联合体各成员单位分摊，联合体各成员单位分摊的金额、计费方式、支付方式以及违约处罚方式，由联合体各成员单位在联合体承包协议书中约定。</w:t>
      </w:r>
    </w:p>
    <w:bookmarkEnd w:id="472"/>
    <w:bookmarkEnd w:id="473"/>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74" w:name="_Toc47694345"/>
      <w:bookmarkStart w:id="475" w:name="_Toc27610"/>
      <w:bookmarkStart w:id="476" w:name="_Toc13079"/>
      <w:r>
        <w:rPr>
          <w:rFonts w:hint="eastAsia" w:ascii="仿宋" w:hAnsi="仿宋" w:eastAsia="仿宋" w:cs="仿宋"/>
          <w:bCs w:val="0"/>
          <w:color w:val="auto"/>
          <w:sz w:val="24"/>
          <w:szCs w:val="24"/>
          <w:highlight w:val="none"/>
        </w:rPr>
        <w:t>★69</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合同价格的约定与调整</w:t>
      </w:r>
      <w:bookmarkEnd w:id="474"/>
      <w:bookmarkEnd w:id="475"/>
      <w:bookmarkEnd w:id="476"/>
    </w:p>
    <w:p>
      <w:pPr>
        <w:pStyle w:val="22"/>
        <w:adjustRightInd w:val="0"/>
        <w:snapToGrid w:val="0"/>
        <w:spacing w:line="360" w:lineRule="auto"/>
        <w:ind w:left="1446" w:hanging="1446" w:hangingChars="60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69</w:t>
      </w:r>
      <w:r>
        <w:rPr>
          <w:rFonts w:ascii="仿宋" w:hAnsi="仿宋" w:eastAsia="仿宋" w:cs="仿宋"/>
          <w:b/>
          <w:bCs/>
          <w:color w:val="auto"/>
          <w:sz w:val="24"/>
          <w:szCs w:val="24"/>
          <w:highlight w:val="none"/>
        </w:rPr>
        <w:t>.1</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142" name="文本框 982"/>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026" o:spt="202" type="#_x0000_t202" style="position:absolute;left:0pt;margin-left:-9pt;margin-top:4.5pt;height:24.65pt;width:79.5pt;z-index:252104704;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t+cYUhoCAAAZBAAADgAAAGRycy9lMm9Eb2MueG1srVNLbtsw&#10;EN0X6B0I7mvJjp3GguUgjZGiQPoB0h6ApiiLqMRhh7Ql9wDNDbrqpvuey+fokFJcN91k0Y1AcoZv&#10;3nt8Wlx2Tc12Cp0Gk/PxKOVMGQmFNpucf/p48+KCM+eFKUQNRuV8rxy/XD5/tmhtpiZQQV0oZARi&#10;XNbanFfe2yxJnKxUI9wIrDJULAEb4WmLm6RA0RJ6UyeTND1PWsDCIkjlHJ2u+iIfEPEpgFCWWqoV&#10;yG2jjO9RUdXCkyRXaev4MrItSyX9+7J0yrM656TUxy8NofU6fJPlQmQbFLbScqAgnkLhkaZGaEND&#10;j1Ar4QXbov4HqtESwUHpRxKapBcSHSEV4/SRN3eVsCpqIaudPZru/h+sfLf7gEwXlITphDMjGnry&#10;w/f7w49fh5/f2PxiEixqrcuo885Sr+9eQUftUa6ztyA/O2bguhJmo64Qoa2UKIjiONxMTq72OC6A&#10;rNu3UNAksfUQgboSm+AfOcIInZ5nf3we1Xkmw8g0nZ/PqCSpdjY+S2ezOEJkD7ctOv9aQcPCIudI&#10;zx/Rxe7W+cBGZA8tYZiBG13XMQK1+euAGsNJZB8I99R9t+4GN9ZQ7EkHQp8o+p9oUQF+5aylNOXc&#10;fdkKVJzVbwx5MR9PpyF+cTOdvZzQBk8r69OKMJKgcu4565fXvo/s1qLeVDSpd9/AFflX6igtGN2z&#10;GnhTYqLiId0hkqf72PXn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WQhvVAAAACAEAAA8A&#10;AAAAAAAAAQAgAAAAIgAAAGRycy9kb3ducmV2LnhtbFBLAQIUABQAAAAIAIdO4kC35xhSGgIAABkE&#10;AAAOAAAAAAAAAAEAIAAAACQBAABkcnMvZTJvRG9jLnhtbFBLBQYAAAAABgAGAFkBAACw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前本地造价管理机构发布的价格指导文件协商，在本合同协议书中约定。</w:t>
      </w:r>
    </w:p>
    <w:p>
      <w:pPr>
        <w:spacing w:line="360" w:lineRule="auto"/>
        <w:rPr>
          <w:rFonts w:ascii="仿宋" w:hAnsi="仿宋" w:eastAsia="仿宋" w:cs="仿宋"/>
          <w:color w:val="auto"/>
          <w:highlight w:val="none"/>
          <w:u w:val="dotted"/>
          <w:lang w:eastAsia="zh-CN"/>
        </w:rPr>
      </w:pPr>
      <w:bookmarkStart w:id="477"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477"/>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105728" behindDoc="0" locked="0" layoutInCell="1" allowOverlap="1">
                <wp:simplePos x="0" y="0"/>
                <wp:positionH relativeFrom="column">
                  <wp:posOffset>-55880</wp:posOffset>
                </wp:positionH>
                <wp:positionV relativeFrom="paragraph">
                  <wp:posOffset>22860</wp:posOffset>
                </wp:positionV>
                <wp:extent cx="726440" cy="483235"/>
                <wp:effectExtent l="0" t="0" r="0" b="0"/>
                <wp:wrapNone/>
                <wp:docPr id="141"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wps:spPr>
                      <wps:txb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026" o:spt="202" type="#_x0000_t202" style="position:absolute;left:0pt;margin-left:-4.4pt;margin-top:1.8pt;height:38.05pt;width:57.2pt;z-index:252105728;mso-width-relative:page;mso-height-relative:page;" filled="f" stroked="f" coordsize="21600,21600" o:gfxdata="UEsDBAoAAAAAAIdO4kAAAAAAAAAAAAAAAAAEAAAAZHJzL1BLAwQUAAAACACHTuJAXrQ839QAAAAH&#10;AQAADwAAAGRycy9kb3ducmV2LnhtbE3OTU/DMAwG4DsS/yEyErctGbCvUncHEFcQ40Pi5jVeW9E4&#10;VZOt3b9fdoKbrdd6/eSb0bXqyH1ovCDMpgYUS+ltIxXC58fLZAUqRBJLrRdGOHGATXF9lVNm/SDv&#10;fNzGSqUSCRkh1DF2mdahrNlRmPqOJWV73zuKae0rbXsaUrlr9Z0xC+2okfShpo6fai5/tweH8PW6&#10;//l+MG/Vs5t3gx+NFrfWiLc3M/MIKvIY/47hwk90KJJp5w9ig2oRJqskjwj3C1CX2MzTsENYrpeg&#10;i1z/9xdnUEsDBBQAAAAIAIdO4kD7BF6kGAIAABgEAAAOAAAAZHJzL2Uyb0RvYy54bWytU81uEzEQ&#10;viPxDpbvZPPXNl1lU5VGRUjlRyo8gOP1Zi3WHjN2shseAN6AExfuPFeeg7E3DaFceuBi2TPjb77v&#10;83h+1ZmGbRV6Dbbgo8GQM2UllNquC/7xw+2LGWc+CFuKBqwq+E55frV4/mzeulyNoYamVMgIxPq8&#10;dQWvQ3B5lnlZKyP8AJyylKwAjQh0xHVWomgJ3TTZeDg8z1rA0iFI5T1Fl32SHxDxKYBQVVqqJciN&#10;UTb0qKgaEUiSr7XzfJHYVpWS4V1VeRVYU3BSGtJKTWi/imu2mIt8jcLVWh4oiKdQeKTJCG2p6RFq&#10;KYJgG9T/QBktETxUYSDBZL2Q5AipGA0feXNfC6eSFrLau6Pp/v/Byrfb98h0SZMwHXFmhaEn33//&#10;tv/xa//zK7ucTaJFrfM5Vd47qg3dS+ioPMn17g7kJ88s3NTCrtU1IrS1EiVRHMWb2cnVHsdHkFX7&#10;BkrqJDYBElBXoYn+kSOM0Ol5dsfnUV1gkoIX4/PplDKSUtPZZDw5Sx1E/nDZoQ+vFBgWNwVHev0E&#10;LrZ3PkQyIn8oib0s3OqmSRPQ2L8CVBgjiXzk2zMP3ao7mLGCckcyEPqBou9EmxrwC2ctDVPB/eeN&#10;QMVZ89qSFZejRDykw/TsYkwq8DSzOs0IKwmq4IGzfnsT+ondONTrmjr15lu4JvsqnaRFn3tWB940&#10;MEnxYbjjRJ6eU9Wf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60PN/UAAAABwEAAA8AAAAA&#10;AAAAAQAgAAAAIgAAAGRycy9kb3ducmV2LnhtbFBLAQIUABQAAAAIAIdO4kD7BF6kGAIAABgEAAAO&#10;AAAAAAAAAAEAIAAAACM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s="仿宋"/>
          <w:color w:val="auto"/>
          <w:highlight w:val="none"/>
          <w:lang w:eastAsia="zh-CN"/>
        </w:rPr>
        <w:t>项目工程总承包应当采用总价合同，但特殊专项费用或受后续施工影响较大的可变因素较多的子项工程可采用单价合同或其他合同价格形式。发包人、承包人结合第 72 条约定的计量和计价规则在专用条款第 72 条中约定适用范围：</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总价合同。总价合同是指合同当事人约定以发包人提供的项目基础资料、发包人要求、标准规范、合同价格清单及有关条件进行合同价格计算、调整和确认的建设工程总承包合同，除合同约定允许调整的事项外，合同总价不予调整。</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总价合同＋部分单价合同。其中单价合同是指合同当事人约定以合同价格清单及其综合单价进行合同价格计算、调整和确认的建设工程总承包合同，除合同约定可以调整的事项外，工作量或工程量按实计算，综合单价不予调整。</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（3）其它价格形式。合同当事人在专用条款中约定其他合同价格形式及合同价格的计算依据、计算方法。</w:t>
      </w:r>
    </w:p>
    <w:p>
      <w:pPr>
        <w:spacing w:line="360" w:lineRule="auto"/>
        <w:rPr>
          <w:rFonts w:ascii="仿宋" w:hAnsi="仿宋" w:eastAsia="仿宋"/>
          <w:b/>
          <w:bCs/>
          <w:color w:val="auto"/>
          <w:highlight w:val="none"/>
          <w:lang w:eastAsia="zh-CN"/>
        </w:rPr>
      </w:pPr>
      <w:bookmarkStart w:id="478"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4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067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40" name="文本框 984"/>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026" o:spt="202" type="#_x0000_t202" style="position:absolute;left:0pt;margin-left:-9pt;margin-top:0.4pt;height:41.05pt;width:72pt;z-index:2521067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D2sEhwXAgAAGAQAAA4AAABkcnMvZTJvRG9jLnhtbK1Ty47TMBTd&#10;I/EPlvc0baeFmajpaJhqENLwkAY+wHWcxiL2Ndduk/IB8Aes2LDnu/odXDuZUobNLNhEtu/1uecc&#10;nywuO9OwnUKvwRZ8MhpzpqyEUttNwT9+uHl2zpkPwpaiAasKvleeXy6fPlm0LldTqKEpFTICsT5v&#10;XcHrEFyeZV7Wygg/AqcsFStAIwJtcZOVKFpCN002HY+fZy1g6RCk8p5OV32RD4j4GECoKi3VCuTW&#10;KBt6VFSNCCTJ19p5vkxsq0rJ8K6qvAqsKTgpDelLQ2i9jt9suRD5BoWrtRwoiMdQeKDJCG1p6BFq&#10;JYJgW9T/QBktETxUYSTBZL2Q5AipmIwfeHNXC6eSFrLau6Pp/v/Byre798h0SUmYkSdWGHryw/dv&#10;hx+/Dj+/sovzWbSodT6nzjtHvaF7CR21J7ne3YL85JmF61rYjbpChLZWoiSKk3gzO7na4/gIsm7f&#10;QEmTxDZAAuoqNNE/coQROlHZH59HdYFJOryYzGZjqkgqzaeTs7N5miDy+8sOfXilwLC4KDjS6ydw&#10;sbv1IZIR+X1LnGXhRjdNSkBj/zqgxniSyEe+PfPQrbvBjDWUe5KB0AeKfida1IBfOGspTAX3n7cC&#10;FWfNa0tWJOaUvrSZzV9MSQWeVtanFWElQRU8cNYvr0Of2K1DvalpUm++hSuyr9JJWvS5ZzXwpsAk&#10;xUO4YyJP96nrzw+9/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uGv70wAAAAcBAAAPAAAAAAAA&#10;AAEAIAAAACIAAABkcnMvZG93bnJldi54bWxQSwECFAAUAAAACACHTuJAPawSHBcCAAAYBAAADgAA&#10;AAAAAAABACAAAAAiAQAAZHJzL2Uyb0RvYy54bWxQSwUGAAAAAAYABgBZAQAAqw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（1）因国家法律、法规、政策变化引起的合同价格的变化；</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（2）因下列原因导致的可调价变更：</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② 合同执行期间（含勘察期、设计期和施工期）承包人不可预见的重大地质变化（相对于发包人提供的地质初勘资料，具体在专用条款中明确可量化的指标），造成的工程费用增减。</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③ 合同执行期间（含勘察期、设计期和施工期），因不可抗力导致工程费增减的，在扣减保险理赔金额后，按剩余金额调整合同价格。</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（3）主要工程材料、</w:t>
      </w:r>
      <w:r>
        <w:rPr>
          <w:rFonts w:hint="eastAsia" w:ascii="仿宋" w:hAnsi="仿宋" w:eastAsia="仿宋" w:cs="仿宋"/>
          <w:color w:val="auto"/>
          <w:sz w:val="24"/>
          <w:szCs w:val="24"/>
          <w:highlight w:val="none"/>
          <w:lang w:val="en-US"/>
        </w:rPr>
        <w:t>工程</w:t>
      </w:r>
      <w:r>
        <w:rPr>
          <w:rFonts w:hint="eastAsia" w:ascii="仿宋" w:hAnsi="仿宋" w:eastAsia="仿宋" w:cs="仿宋"/>
          <w:color w:val="auto"/>
          <w:sz w:val="24"/>
          <w:szCs w:val="24"/>
          <w:highlight w:val="none"/>
        </w:rPr>
        <w:t>设备、人工价格与基准日期价格相比，波动幅度超过专用条款约定幅度的部分；</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（4）非承包人原因产生的费用索赔、现场签证、赶工措施费等有关工程费用；</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（5）专用条款约定给予承包人的奖励金额；</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（6）专用条款约定的其他调整事项。</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本款调整事项应分别按照第78条至第82条的</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调整合同价格。</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69</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合同履行期间，</w:t>
      </w:r>
      <w:r>
        <w:rPr>
          <w:color w:val="auto"/>
          <w:highlight w:val="none"/>
          <w:lang w:val="en-US"/>
        </w:rPr>
        <mc:AlternateContent>
          <mc:Choice Requires="wps">
            <w:drawing>
              <wp:anchor distT="0" distB="0" distL="114300" distR="114300" simplePos="0" relativeHeight="252107776"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139" name="文本框 985"/>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026" o:spt="202" type="#_x0000_t202" style="position:absolute;left:0pt;margin-left:-9pt;margin-top:0.4pt;height:41.05pt;width:72pt;z-index:25210777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EVIZJ0WAgAAGAQAAA4AAABkcnMvZTJvRG9jLnhtbK1TS44TMRDd&#10;I3EHy3vS+cKklc5omGgQ0vCRBg7guN1pi7bLlJ10hwPADVixYc+5cg7K7kwIw2YWbFq2q/zqvefX&#10;i8vONGyn0GuwBR8NhpwpK6HUdlPwjx9unl1w5oOwpWjAqoLvleeXy6dPFq3L1RhqaEqFjECsz1tX&#10;8DoEl2eZl7Uywg/AKUvFCtCIQFvcZCWKltBNk42Hw+dZC1g6BKm8p9NVX+RHRHwMIFSVlmoFcmuU&#10;DT0qqkYEkuRr7TxfJrZVpWR4V1VeBdYUnJSG9KUhtF7Hb7ZciHyDwtVaHimIx1B4oMkIbWnoCWol&#10;gmBb1P9AGS0RPFRhIMFkvZDkCKkYDR94c1cLp5IWstq7k+n+/8HKt7v3yHRJSZjMObPC0JMfvn87&#10;/Ph1+PmVzS9m0aLW+Zw67xz1hu4ldNSe5Hp3C/KTZxaua2E36goR2lqJkiiO4s3s7GqP4yPIun0D&#10;JU0S2wAJqKvQRP/IEUbo9Dz70/OoLjBJh/PRdDqkiqTSbDyaTBK3TOT3lx368EqBYXFRcKTXT+Bi&#10;d+tDJCPy+5Y4y8KNbpqUgMb+dUCN8SSRj3x75qFbd0cz1lDuSQZCHyj6nWhRA37hrKUwFdx/3gpU&#10;nDWvLVmRmFP60mY6ezEmFXheWZ9XhJUEVfDAWb+8Dn1itw71pqZJvfkWrsi+Sidp0eee1ZE3BSYp&#10;PoY7JvJ8n7r+/ND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O4a/vTAAAABwEAAA8AAAAAAAAA&#10;AQAgAAAAIgAAAGRycy9kb3ducmV2LnhtbFBLAQIUABQAAAAIAIdO4kBFSGSdFgIAABgEAAAOAAAA&#10;AAAAAAEAIAAAACIBAABkcnMvZTJvRG9jLnhtbFBLBQYAAAAABgAGAFkBAACqBQAAAAA=&#10;">
                <v:fill on="f" focussize="0,0"/>
                <v:stroke on="f"/>
                <v:imagedata o:title=""/>
                <o:lock v:ext="edit" aspectratio="f"/>
                <v:textbox>
                  <w:txbxContent>
                    <w:p>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rPr>
        <w:t>出现第69</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3款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调整合同价格事项的，合同双方当事人应调整合同价格。除费用索赔、现场签证事项分别按照第80条、第81条</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外，调整合同价格的提出、核实、确认与支付等事项，由合同双方当事人按照第70条</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办理。</w:t>
      </w:r>
    </w:p>
    <w:p>
      <w:pPr>
        <w:spacing w:line="360" w:lineRule="auto"/>
        <w:rPr>
          <w:color w:val="auto"/>
          <w:highlight w:val="none"/>
          <w:lang w:eastAsia="zh-CN" w:bidi="ar-SA"/>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79" w:name="_Toc47694346"/>
      <w:bookmarkStart w:id="480" w:name="_Toc14125"/>
      <w:bookmarkStart w:id="481" w:name="_Toc1447"/>
      <w:r>
        <w:rPr>
          <w:rFonts w:hint="eastAsia" w:ascii="仿宋" w:hAnsi="仿宋" w:eastAsia="仿宋" w:cs="仿宋"/>
          <w:bCs w:val="0"/>
          <w:color w:val="auto"/>
          <w:sz w:val="24"/>
          <w:szCs w:val="24"/>
          <w:highlight w:val="none"/>
        </w:rPr>
        <w:t>★70</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合同价格调整程序</w:t>
      </w:r>
      <w:bookmarkEnd w:id="479"/>
      <w:bookmarkEnd w:id="480"/>
      <w:bookmarkEnd w:id="481"/>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70</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2111872" behindDoc="0" locked="0" layoutInCell="1" allowOverlap="1">
                <wp:simplePos x="0" y="0"/>
                <wp:positionH relativeFrom="column">
                  <wp:posOffset>-58420</wp:posOffset>
                </wp:positionH>
                <wp:positionV relativeFrom="paragraph">
                  <wp:posOffset>65405</wp:posOffset>
                </wp:positionV>
                <wp:extent cx="914400" cy="619125"/>
                <wp:effectExtent l="0" t="0" r="0" b="0"/>
                <wp:wrapNone/>
                <wp:docPr id="138" name="文本框 1024"/>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pPr>
                              <w:pStyle w:val="36"/>
                              <w:spacing w:line="200" w:lineRule="exact"/>
                              <w:rPr>
                                <w:rFonts w:ascii="宋体" w:hAnsi="宋体" w:eastAsia="宋体"/>
                                <w:sz w:val="18"/>
                                <w:szCs w:val="18"/>
                              </w:rPr>
                            </w:pPr>
                            <w:r>
                              <w:rPr>
                                <w:rFonts w:hint="eastAsia" w:ascii="楷体_GB2312" w:hAnsi="宋体" w:cs="楷体_GB2312"/>
                                <w:sz w:val="18"/>
                                <w:szCs w:val="18"/>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026" o:spt="202" type="#_x0000_t202" style="position:absolute;left:0pt;margin-left:-4.6pt;margin-top:5.15pt;height:48.75pt;width:72pt;z-index:252111872;mso-width-relative:page;mso-height-relative:page;" filled="f" stroked="f" coordsize="21600,21600" o:gfxdata="UEsDBAoAAAAAAIdO4kAAAAAAAAAAAAAAAAAEAAAAZHJzL1BLAwQUAAAACACHTuJAB3I95tUAAAAJ&#10;AQAADwAAAGRycy9kb3ducmV2LnhtbE2PS0/DMBCE70j8B2uRuLV2H0Ab4vQA4gqiPCRu23ibRMTr&#10;KHab8O/ZnOC4M6PZb/Ld6Ft1pj42gS0s5gYUcRlcw5WF97en2QZUTMgO28Bk4Yci7IrLixwzFwZ+&#10;pfM+VUpKOGZooU6py7SOZU0e4zx0xOIdQ+8xydlX2vU4SLlv9dKYW+2xYflQY0cPNZXf+5O38PF8&#10;/Ppcm5fq0d90QxiNZr/V1l5fLcw9qERj+gvDhC/oUAjTIZzYRdVamG2XkhTdrEBN/motUw6TcLcB&#10;XeT6/4LiF1BLAwQUAAAACACHTuJAXMQbbRgCAAAZBAAADgAAAGRycy9lMm9Eb2MueG1srVPNbhMx&#10;EL4j8Q6W72R3Q1roKpuqNCpCKj9S4QEcrzdrsfaYsZPd8gD0DThx4c5z5TkYe9MQyqUHLpbtGX/z&#10;fd+M5+eD6dhWoddgK15Mcs6UlVBru674p49Xz15y5oOwtejAqorfKs/PF0+fzHtXqim00NUKGYFY&#10;X/au4m0IrswyL1tlhJ+AU5aCDaARgY64zmoUPaGbLpvm+WnWA9YOQSrv6XY5BvkeER8DCE2jpVqC&#10;3Bhlw4iKqhOBJPlWO88XiW3TKBneN41XgXUVJ6UhrVSE9qu4Zou5KNcoXKvlnoJ4DIUHmozQlooe&#10;oJYiCLZB/Q+U0RLBQxMmEkw2CkmOkIoif+DNTSucSlrIau8Opvv/ByvfbT8g0zVNwnNqvBWGWr77&#10;frf78Wv38xsr8uksetQ7X1LqjaPkMLyCgfKTXu+uQX72zMJlK+xaXSBC3ypRE8civsyOno44PoKs&#10;+rdQUymxCZCAhgZNNJAsYYRO/bk99EcNgUm6PCtms5wikkKnxVkxPUkVRHn/2KEPrxUYFjcVR2p/&#10;Ahfbax8iGVHep8RaFq5016UR6OxfF5QYbxL5yHdkHobVsDdjBfUtyUAYJ4r+E21awK+c9TRNFfdf&#10;NgIVZ90bS1Yk5jR+6TA7eTElFXgcWR1HhJUEVfHA2bi9DOPIbhzqdUuVRvMtXJB9jU7Sos8jqz1v&#10;mpikeD/dcSSPzynrz49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cj3m1QAAAAkBAAAPAAAA&#10;AAAAAAEAIAAAACIAAABkcnMvZG93bnJldi54bWxQSwECFAAUAAAACACHTuJAXMQbbRgCAAAZBAAA&#10;DgAAAAAAAAABACAAAAAkAQAAZHJzL2Uyb0RvYy54bWxQSwUGAAAAAAYABgBZAQAArgUAAAAA&#10;">
                <v:fill on="f" focussize="0,0"/>
                <v:stroke on="f"/>
                <v:imagedata o:title=""/>
                <o:lock v:ext="edit" aspectratio="f"/>
                <v:textbox>
                  <w:txbxContent>
                    <w:p>
                      <w:pPr>
                        <w:pStyle w:val="36"/>
                        <w:spacing w:line="200" w:lineRule="exact"/>
                        <w:rPr>
                          <w:rFonts w:ascii="宋体" w:hAnsi="宋体" w:eastAsia="宋体"/>
                          <w:sz w:val="18"/>
                          <w:szCs w:val="18"/>
                        </w:rPr>
                      </w:pPr>
                      <w:r>
                        <w:rPr>
                          <w:rFonts w:hint="eastAsia" w:ascii="楷体_GB2312" w:hAnsi="宋体" w:cs="楷体_GB2312"/>
                          <w:sz w:val="18"/>
                          <w:szCs w:val="18"/>
                        </w:rPr>
                        <w:t>合同价格调增报告的提出</w:t>
                      </w:r>
                    </w:p>
                  </w:txbxContent>
                </v:textbox>
              </v:shape>
            </w:pict>
          </mc:Fallback>
        </mc:AlternateContent>
      </w:r>
      <w:r>
        <w:rPr>
          <w:rFonts w:hint="eastAsia" w:ascii="仿宋" w:hAnsi="仿宋" w:eastAsia="仿宋" w:cs="仿宋"/>
          <w:color w:val="auto"/>
          <w:sz w:val="24"/>
          <w:szCs w:val="24"/>
          <w:highlight w:val="none"/>
        </w:rPr>
        <w:t>出现合同价格调增事项后的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天内未提交合同价格调增报告的，则造价咨询人可在报发包人批准后，根据实际情况决定是否调整合同价格以及调整的金额。</w:t>
      </w:r>
    </w:p>
    <w:p>
      <w:pPr>
        <w:pStyle w:val="22"/>
        <w:adjustRightInd w:val="0"/>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b/>
          <w:bCs/>
          <w:color w:val="auto"/>
          <w:sz w:val="24"/>
          <w:szCs w:val="24"/>
          <w:highlight w:val="none"/>
        </w:rPr>
        <w:t>70.2</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108800" behindDoc="0" locked="0" layoutInCell="1" allowOverlap="1">
                <wp:simplePos x="0" y="0"/>
                <wp:positionH relativeFrom="column">
                  <wp:posOffset>-12700</wp:posOffset>
                </wp:positionH>
                <wp:positionV relativeFrom="paragraph">
                  <wp:posOffset>19050</wp:posOffset>
                </wp:positionV>
                <wp:extent cx="1028700" cy="495300"/>
                <wp:effectExtent l="0" t="0" r="0" b="0"/>
                <wp:wrapNone/>
                <wp:docPr id="137"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026" o:spt="202" type="#_x0000_t202" style="position:absolute;left:0pt;margin-left:-1pt;margin-top:1.5pt;height:39pt;width:81pt;z-index:252108800;mso-width-relative:page;mso-height-relative:page;" filled="f" stroked="f" coordsize="21600,21600" o:gfxdata="UEsDBAoAAAAAAIdO4kAAAAAAAAAAAAAAAAAEAAAAZHJzL1BLAwQUAAAACACHTuJAzB06LNQAAAAH&#10;AQAADwAAAGRycy9kb3ducmV2LnhtbE2PQU/DMAyF70j8h8hI3LakA6atq7sDiCuIDZC4ZY3XVjRO&#10;1WRr+fd4Jzj5Wc9673OxnXynzjTENjBCNjegiKvgWq4R3vfPsxWomCw72wUmhB+KsC2vrwqbuzDy&#10;G513qVYSwjG3CE1Kfa51rBryNs5DTyzeMQzeJlmHWrvBjhLuO70wZqm9bVkaGtvTY0PV9+7kET5e&#10;jl+f9+a1fvIP/Rgmo9mvNeLtTWY2oBJN6e8YLviCDqUwHcKJXVQdwmwhrySEOxkXe2lEHBBWmQFd&#10;Fvo/f/kLUEsDBBQAAAAIAIdO4kDE3WO9GQIAABoEAAAOAAAAZHJzL2Uyb0RvYy54bWytU0tu2zAQ&#10;3RfoHQjua0mOXSeC5SCNkaJA+gHSHoCmKIuoxGGHtCX3AO0Nuuqm+57L5+iQchw33WTRDTHkDN+8&#10;9zicX/Ztw7YKnQZT8GyUcqaMhFKbdcE/fbx5cc6Z88KUogGjCr5Tjl8unj+bdzZXY6ihKRUyAjEu&#10;72zBa+9tniRO1qoVbgRWGUpWgK3wtMV1UqLoCL1tknGavkw6wNIiSOUcnS6HJD8g4lMAoaq0VEuQ&#10;m1YZP6CiaoQnSa7W1vFFZFtVSvr3VeWUZ03BSamPKzWheBXWZDEX+RqFrbU8UBBPofBIUyu0oaZH&#10;qKXwgm1Q/wPVaongoPIjCW0yCImOkIosfeTNXS2silrIamePprv/ByvfbT8g0yVNwtmMMyNaevL9&#10;j+/7n7/3v76xLB1Pg0eddTmV3lkq9v0r6Kk+6nX2FuRnxwxc18Ks1RUidLUSJXHMws3k5OqA4wLI&#10;qnsLJbUSGw8RqK+wDQaSJYzQ6X12x/dRvWcytEzH57OUUpJyk4vpGcWhhcjvb1t0/rWCloWg4Ejv&#10;H9HF9tb5ofS+JDQzcKObhs5F3pi/DggznET2gfBA3fernqqDpBWUO9KBMIwUfSgKasCvnHU0TgV3&#10;XzYCFWfNG0NeXGSTSZi/uJlMZ2Pa4GlmdZoRRhJUwT1nQ3jth5ndWNTrmjoN7hu4Iv8qHaU9sDrw&#10;ppGJ5hzGO8zk6T5WPXzp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HTos1AAAAAcBAAAPAAAA&#10;AAAAAAEAIAAAACIAAABkcnMvZG93bnJldi54bWxQSwECFAAUAAAACACHTuJAxN1jvRkCAAAaBAAA&#10;DgAAAAAAAAABACAAAAAjAQAAZHJzL2Uyb0RvYy54bWxQSwUGAAAAAAYABgBZAQAArgU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val="en-US"/>
        </w:rPr>
        <w:t>监理人、造价咨询人应在收到合同价格调增报告及相关资料之日起 14 天内对其核实，并予以确认或提出协商意见。造价咨询人在收到合同价格调增报告之日起14 天内未确认也未提出协商意见的，视为承包人提交的合同价格调增报告已被认可。</w:t>
      </w:r>
      <w:r>
        <w:rPr>
          <w:rFonts w:hint="eastAsia" w:ascii="仿宋" w:hAnsi="仿宋" w:eastAsia="仿宋" w:cs="仿宋"/>
          <w:color w:val="auto"/>
          <w:sz w:val="24"/>
          <w:szCs w:val="24"/>
          <w:highlight w:val="none"/>
        </w:rPr>
        <w:t>造价咨询人提出协商意见的，合同双方当事人应在承包人收到协商意见后的14 天内进行协商确定；协商未能达成一致的，由造价咨询人暂定调增的合同价格，通知承包人并抄报发包人。出现暂定结果的，只要不实质影响合同双方当事人履约的，合同双方当事人应实施该结果，直到其被改变为止。</w:t>
      </w:r>
    </w:p>
    <w:p>
      <w:pPr>
        <w:pStyle w:val="22"/>
        <w:adjustRightInd w:val="0"/>
        <w:snapToGrid w:val="0"/>
        <w:spacing w:line="360" w:lineRule="auto"/>
        <w:rPr>
          <w:rFonts w:ascii="仿宋" w:hAnsi="仿宋" w:eastAsia="仿宋" w:cs="仿宋"/>
          <w:b/>
          <w:bCs/>
          <w:color w:val="auto"/>
          <w:sz w:val="24"/>
          <w:szCs w:val="24"/>
          <w:highlight w:val="none"/>
          <w:u w:val="dotted"/>
        </w:rPr>
      </w:pPr>
      <w:r>
        <w:rPr>
          <w:rFonts w:hint="eastAsia" w:ascii="仿宋" w:hAnsi="仿宋" w:eastAsia="仿宋" w:cs="仿宋"/>
          <w:b/>
          <w:bCs/>
          <w:color w:val="auto"/>
          <w:sz w:val="24"/>
          <w:szCs w:val="24"/>
          <w:highlight w:val="none"/>
        </w:rPr>
        <w:t>70.3</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sz w:val="24"/>
          <w:szCs w:val="24"/>
          <w:highlight w:val="none"/>
          <w:lang w:val="en-US"/>
        </w:rPr>
        <mc:AlternateContent>
          <mc:Choice Requires="wps">
            <w:drawing>
              <wp:anchor distT="0" distB="0" distL="114300" distR="114300" simplePos="0" relativeHeight="252109824"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136"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调增价款的支</w:t>
                            </w:r>
                          </w:p>
                          <w:p>
                            <w:pPr>
                              <w:pStyle w:val="36"/>
                              <w:spacing w:line="200" w:lineRule="exact"/>
                              <w:rPr>
                                <w:rFonts w:ascii="楷体_GB2312" w:hAnsi="宋体"/>
                                <w:sz w:val="18"/>
                                <w:szCs w:val="18"/>
                              </w:rPr>
                            </w:pPr>
                            <w:r>
                              <w:rPr>
                                <w:rFonts w:hint="eastAsia" w:ascii="楷体_GB2312" w:hAnsi="宋体" w:cs="楷体_GB2312"/>
                                <w:sz w:val="18"/>
                                <w:szCs w:val="18"/>
                              </w:rPr>
                              <w:t>付</w:t>
                            </w:r>
                          </w:p>
                        </w:txbxContent>
                      </wps:txbx>
                      <wps:bodyPr rot="0" vert="horz" wrap="square" lIns="91440" tIns="45720" rIns="91440" bIns="45720" anchor="t" anchorCtr="0" upright="1">
                        <a:noAutofit/>
                      </wps:bodyPr>
                    </wps:wsp>
                  </a:graphicData>
                </a:graphic>
              </wp:anchor>
            </w:drawing>
          </mc:Choice>
          <mc:Fallback>
            <w:pict>
              <v:shape id="文本框 1026" o:spid="_x0000_s1026" o:spt="202" type="#_x0000_t202" style="position:absolute;left:0pt;margin-left:-9pt;margin-top:2.7pt;height:39pt;width:81pt;z-index:252109824;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bTxE1RkCAAAaBAAADgAAAGRycy9lMm9Eb2MueG1srVNLbtsw&#10;EN0X6B0I7mtJjuMkguUgjZGiQPoB0h6ApiiLqMRhh7Ql9wDNDbrqpvuey+fokHIcN91k0Q0x5Azf&#10;vPc4nF32bcM2Cp0GU/BslHKmjIRSm1XBP3+6eXXOmfPClKIBowq+VY5fzl++mHU2V2OooSkVMgIx&#10;Lu9swWvvbZ4kTtaqFW4EVhlKVoCt8LTFVVKi6Ai9bZJxmk6TDrC0CFI5R6eLIcn3iPgcQKgqLdUC&#10;5LpVxg+oqBrhSZKrtXV8HtlWlZL+Q1U55VlTcFLq40pNKF6GNZnPRL5CYWst9xTEcyg80dQKbajp&#10;AWohvGBr1P9AtVoiOKj8SEKbDEKiI6QiS594c1cLq6IWstrZg+nu/8HK95uPyHRJk3Ay5cyIlp58&#10;9+N+9/P37td3lqXjafCosy6n0jtLxb5/DT3VR73O3oL84piB61qYlbpChK5WoiSOWbiZHF0dcFwA&#10;WXbvoKRWYu0hAvUVtsFAsoQROr3P9vA+qvdMhpbp+PwspZSk3OTi9ITi0ELkD7ctOv9GQctCUHCk&#10;94/oYnPr/FD6UBKaGbjRTUPnIm/MXweEGU4i+0B4oO77ZU/VQdISyi3pQBhGij4UBTXgN846GqeC&#10;u69rgYqz5q0hLy6yySTMX9xMTs/GtMHjzPI4I4wkqIJ7zobw2g8zu7aoVzV1Gtw3cEX+VTpKe2S1&#10;500jE83Zj3eYyeN9rHr80v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IYRtUAAAAIAQAADwAA&#10;AAAAAAABACAAAAAiAAAAZHJzL2Rvd25yZXYueG1sUEsBAhQAFAAAAAgAh07iQG08RNUZAgAAGgQA&#10;AA4AAAAAAAAAAQAgAAAAJAEAAGRycy9lMm9Eb2MueG1sUEsFBgAAAAAGAAYAWQEAAK8FA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调增价款的支</w:t>
                      </w:r>
                    </w:p>
                    <w:p>
                      <w:pPr>
                        <w:pStyle w:val="36"/>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ascii="仿宋" w:hAnsi="仿宋" w:eastAsia="仿宋" w:cs="仿宋"/>
          <w:color w:val="auto"/>
          <w:sz w:val="24"/>
          <w:szCs w:val="24"/>
          <w:highlight w:val="none"/>
        </w:rPr>
        <w:t>经合同双方当事人确认或造价咨询人暂定调增的合同价格，作为追加合同价格，与工程进度款或结算款同期支付。</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70.4</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spacing w:line="360" w:lineRule="auto"/>
        <w:ind w:left="1850" w:leftChars="771" w:firstLine="2"/>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10848"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135"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合同价格调减</w:t>
                            </w:r>
                          </w:p>
                          <w:p>
                            <w:pPr>
                              <w:pStyle w:val="36"/>
                              <w:spacing w:line="200" w:lineRule="exact"/>
                              <w:rPr>
                                <w:rFonts w:ascii="楷体_GB2312" w:hAnsi="宋体"/>
                                <w:sz w:val="18"/>
                                <w:szCs w:val="18"/>
                              </w:rPr>
                            </w:pPr>
                            <w:r>
                              <w:rPr>
                                <w:rFonts w:hint="eastAsia" w:ascii="楷体_GB2312" w:hAnsi="宋体" w:cs="楷体_GB2312"/>
                                <w:sz w:val="18"/>
                                <w:szCs w:val="18"/>
                              </w:rPr>
                              <w:t>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026" o:spt="202" type="#_x0000_t202" style="position:absolute;left:0pt;margin-left:-5.25pt;margin-top:0.45pt;height:39pt;width:90pt;z-index:252110848;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EyMb60ZAgAAGgQAAA4AAABkcnMvZTJvRG9jLnhtbK1TzY7TMBC+&#10;I/EOlu80Sbdl2ajpatlqEdLyIy08gOs4jUXiMWO3SXkAeANOXLjzXH0Oxk62lOWyBy6WxzP+5vs+&#10;jxeXfduwnUKnwRQ8m6ScKSOh1GZT8I8fbp694Mx5YUrRgFEF3yvHL5dPnyw6m6sp1NCUChmBGJd3&#10;tuC19zZPEidr1Qo3AasMJSvAVngKcZOUKDpCb5tkmqbPkw6wtAhSOUenqyHJR0R8DCBUlZZqBXLb&#10;KuMHVFSN8CTJ1do6voxsq0pJ/66qnPKsKTgp9XGlJrRfhzVZLkS+QWFrLUcK4jEUHmhqhTbU9Ai1&#10;El6wLep/oFotERxUfiKhTQYh0RFSkaUPvLmrhVVRC1nt7NF09/9g5dvde2S6pEk4m3NmREtPfvj+&#10;7fDj1+HnV5al0/PgUWddTqV3lop9/xJ6qo96nb0F+ckxA9e1MBt1hQhdrURJHLNwMzm5OuC4ALLu&#10;3kBJrcTWQwTqK2yDgWQJI3R6n/3xfVTvmQwts9lZmlJKUm52MacgthD5/W2Lzr9S0LKwKTjS+0d0&#10;sbt1PrAR+X1JaGbgRjdNnIHG/HVAheEksg+EB+q+X/ejG2so96QDYRgp+lC0qQG/cNbROBXcfd4K&#10;VJw1rw15cZHNZmH+YjCbn08pwNPM+jQjjCSognvOhu21H2Z2a1Fvauo0uG/givyrdJQWjB5Yjbxp&#10;ZKLicbzDTJ7GserPl1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ZqXjnTAAAABwEAAA8AAAAA&#10;AAAAAQAgAAAAIgAAAGRycy9kb3ducmV2LnhtbFBLAQIUABQAAAAIAIdO4kBMjG+tGQIAABoEAAAO&#10;AAAAAAAAAAEAIAAAACIBAABkcnMvZTJvRG9jLnhtbFBLBQYAAAAABgAGAFkBAACtBQ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合同价格调减</w:t>
                      </w:r>
                    </w:p>
                    <w:p>
                      <w:pPr>
                        <w:pStyle w:val="36"/>
                        <w:spacing w:line="200" w:lineRule="exact"/>
                        <w:rPr>
                          <w:rFonts w:ascii="楷体_GB2312" w:hAnsi="宋体"/>
                          <w:sz w:val="18"/>
                          <w:szCs w:val="18"/>
                        </w:rPr>
                      </w:pPr>
                      <w:r>
                        <w:rPr>
                          <w:rFonts w:hint="eastAsia" w:ascii="楷体_GB2312" w:hAnsi="宋体" w:cs="楷体_GB2312"/>
                          <w:sz w:val="18"/>
                          <w:szCs w:val="18"/>
                        </w:rPr>
                        <w:t>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出现合同价格调减事项时，发包人可按照本条规定的时限和要求，向承包人提交合同价格调减报告以及调减的金额，但调减的金额应按照实际金额。</w:t>
      </w:r>
    </w:p>
    <w:p>
      <w:pPr>
        <w:pStyle w:val="22"/>
        <w:tabs>
          <w:tab w:val="left" w:pos="180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82" w:name="_Toc47694347"/>
      <w:bookmarkStart w:id="483" w:name="_Toc3879"/>
      <w:bookmarkStart w:id="484" w:name="_Toc28483"/>
      <w:r>
        <w:rPr>
          <w:rFonts w:hint="eastAsia" w:ascii="仿宋" w:hAnsi="仿宋" w:eastAsia="仿宋" w:cs="仿宋"/>
          <w:bCs w:val="0"/>
          <w:color w:val="auto"/>
          <w:sz w:val="24"/>
          <w:szCs w:val="24"/>
          <w:highlight w:val="none"/>
        </w:rPr>
        <w:t>★71</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工作量或工程量</w:t>
      </w:r>
      <w:bookmarkEnd w:id="482"/>
      <w:bookmarkEnd w:id="483"/>
      <w:bookmarkEnd w:id="484"/>
    </w:p>
    <w:p>
      <w:pPr>
        <w:pStyle w:val="22"/>
        <w:adjustRightInd w:val="0"/>
        <w:snapToGrid w:val="0"/>
        <w:spacing w:line="360" w:lineRule="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71</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75565</wp:posOffset>
                </wp:positionV>
                <wp:extent cx="914400" cy="476250"/>
                <wp:effectExtent l="0" t="0" r="0" b="0"/>
                <wp:wrapNone/>
                <wp:docPr id="134" name="文本框 959"/>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026" o:spt="202" type="#_x0000_t202" style="position:absolute;left:0pt;margin-left:-9pt;margin-top:5.95pt;height:37.5pt;width:72pt;z-index:251970560;mso-width-relative:page;mso-height-relative:page;" filled="f" stroked="f" coordsize="21600,21600" o:gfxdata="UEsDBAoAAAAAAIdO4kAAAAAAAAAAAAAAAAAEAAAAZHJzL1BLAwQUAAAACACHTuJAdVA6YNYAAAAJ&#10;AQAADwAAAGRycy9kb3ducmV2LnhtbE2PwU7DMBBE70j9B2uRuLV2qhIlIU4PRVyLKAWJmxtvk4h4&#10;HcVuE/6e7QmOOzOafVNuZ9eLK46h86QhWSkQSLW3HTUaju8vywxEiIas6T2hhh8MsK0Wd6UprJ/o&#10;Da+H2AguoVAYDW2MQyFlqFt0Jqz8gMTe2Y/ORD7HRtrRTFzuerlWKpXOdMQfWjPgrsX6+3BxGj72&#10;56/PjXptnt3jMPlZSXK51PrhPlFPICLO8S8MN3xGh4qZTv5CNohewzLJeEtkI8lB3ALrlIWThizN&#10;QVal/L+g+gVQSwMEFAAAAAgAh07iQOyoimQYAgAAGAQAAA4AAABkcnMvZTJvRG9jLnhtbK1TzW4T&#10;MRC+I/EOlu9kk5C0zSqbqjQqQio/UuEBHK83a7H2mLGT3fAA8AacuHDvc+U5GHvTEMqlBy6W7Rl/&#10;833fjOeXnWnYVqHXYAs+Ggw5U1ZCqe264J8+3ry44MwHYUvRgFUF3ynPLxfPn81bl6sx1NCUChmB&#10;WJ+3ruB1CC7PMi9rZYQfgFOWghWgEYGOuM5KFC2hmyYbD4dnWQtYOgSpvKfbZR/kB0R8CiBUlZZq&#10;CXJjlA09KqpGBJLka+08XyS2VaVkeF9VXgXWFJyUhrRSEdqv4pot5iJfo3C1lgcK4ikUHmkyQlsq&#10;eoRaiiDYBvU/UEZLBA9VGEgwWS8kOUIqRsNH3tzVwqmkhaz27mi6/3+w8t32AzJd0iS8nHBmhaGW&#10;73983/+83//6xmbTWbSodT6nzDtHuaF7BR2lJ7ne3YL87JmF61rYtbpChLZWoiSKo/gyO3na4/gI&#10;smrfQkmVxCZAAuoqNNE/coQROrVnd2yP6gKTdDkbTSZDikgKTc7PxtPUvkzkD48d+vBagWFxU3Ck&#10;7idwsb31IZIR+UNKrGXhRjdNmoDG/nVBifEmkY98e+ahW3UHM1ZQ7kgGQj9Q9J1oUwN+5aylYSq4&#10;/7IRqDhr3liyIjGn6UuHyfR8TCrwNLI6jQgrCarggbN+ex36id041OuaKvXmW7gi+yqdpEWfe1YH&#10;3jQwSfFhuONEnp5T1p8P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VA6YNYAAAAJAQAADwAA&#10;AAAAAAABACAAAAAiAAAAZHJzL2Rvd25yZXYueG1sUEsBAhQAFAAAAAgAh07iQOyoimQYAgAAGAQA&#10;AA4AAAAAAAAAAQAgAAAAJQEAAGRycy9lMm9Eb2MueG1sUEsFBgAAAAAGAAYAWQEAAK8FAAAAAA==&#10;">
                <v:fill on="f" focussize="0,0"/>
                <v:stroke on="f"/>
                <v:imagedata o:title=""/>
                <o:lock v:ext="edit" aspectratio="f"/>
                <v:textbo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ascii="仿宋" w:hAnsi="仿宋" w:eastAsia="仿宋" w:cs="仿宋"/>
          <w:color w:val="auto"/>
          <w:sz w:val="24"/>
          <w:szCs w:val="24"/>
          <w:highlight w:val="none"/>
        </w:rPr>
        <w:t>合同价格清单包括勘察项目清单（如</w:t>
      </w:r>
      <w:r>
        <w:rPr>
          <w:rFonts w:hint="eastAsia" w:ascii="仿宋" w:hAnsi="仿宋" w:eastAsia="仿宋" w:cs="仿宋"/>
          <w:color w:val="auto"/>
          <w:sz w:val="24"/>
          <w:szCs w:val="24"/>
          <w:highlight w:val="none"/>
          <w:lang w:val="en-US"/>
        </w:rPr>
        <w:t>果</w:t>
      </w:r>
      <w:r>
        <w:rPr>
          <w:rFonts w:hint="eastAsia" w:ascii="仿宋" w:hAnsi="仿宋" w:eastAsia="仿宋" w:cs="仿宋"/>
          <w:color w:val="auto"/>
          <w:sz w:val="24"/>
          <w:szCs w:val="24"/>
          <w:highlight w:val="none"/>
        </w:rPr>
        <w:t>有）、设计项目清单、BIM技术应用项目清单、设备及工器具购置项目清单（如</w:t>
      </w:r>
      <w:r>
        <w:rPr>
          <w:rFonts w:hint="eastAsia" w:ascii="仿宋" w:hAnsi="仿宋" w:eastAsia="仿宋" w:cs="仿宋"/>
          <w:color w:val="auto"/>
          <w:sz w:val="24"/>
          <w:szCs w:val="24"/>
          <w:highlight w:val="none"/>
          <w:lang w:val="en-US"/>
        </w:rPr>
        <w:t>果</w:t>
      </w:r>
      <w:r>
        <w:rPr>
          <w:rFonts w:hint="eastAsia" w:ascii="仿宋" w:hAnsi="仿宋" w:eastAsia="仿宋" w:cs="仿宋"/>
          <w:color w:val="auto"/>
          <w:sz w:val="24"/>
          <w:szCs w:val="24"/>
          <w:highlight w:val="none"/>
        </w:rPr>
        <w:t>有）、建筑安装工程工程量清单及其它服务项目清单（如</w:t>
      </w:r>
      <w:r>
        <w:rPr>
          <w:rFonts w:hint="eastAsia" w:ascii="仿宋" w:hAnsi="仿宋" w:eastAsia="仿宋" w:cs="仿宋"/>
          <w:color w:val="auto"/>
          <w:sz w:val="24"/>
          <w:szCs w:val="24"/>
          <w:highlight w:val="none"/>
          <w:lang w:val="en-US"/>
        </w:rPr>
        <w:t>果</w:t>
      </w:r>
      <w:r>
        <w:rPr>
          <w:rFonts w:hint="eastAsia" w:ascii="仿宋" w:hAnsi="仿宋" w:eastAsia="仿宋" w:cs="仿宋"/>
          <w:color w:val="auto"/>
          <w:sz w:val="24"/>
          <w:szCs w:val="24"/>
          <w:highlight w:val="none"/>
        </w:rPr>
        <w:t>有）。</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pPr>
        <w:spacing w:line="360" w:lineRule="auto"/>
        <w:rPr>
          <w:rFonts w:ascii="仿宋" w:hAnsi="仿宋" w:eastAsia="仿宋"/>
          <w:b/>
          <w:bCs/>
          <w:color w:val="auto"/>
          <w:highlight w:val="none"/>
          <w:lang w:eastAsia="zh-CN"/>
        </w:rPr>
      </w:pPr>
      <w:bookmarkStart w:id="485"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4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133"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wps:spPr>
                      <wps:txb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9pt;margin-top:0.9pt;height:28.5pt;width:81pt;z-index:251971584;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DXJdFIGgIAABkEAAAOAAAAZHJzL2Uyb0RvYy54bWytU0tu2zAQ&#10;3RfoHQjua8mfOLFgOUhjpCiQfoC0B6ApyiIqcdghbck9QHODrrrpvufyOTqkHMdNN1l0Q5Cc4Zv3&#10;3gznl11Ts61Cp8HkfDhIOVNGQqHNOuefP928uuDMeWEKUYNROd8pxy8XL1/MW5upEVRQFwoZgRiX&#10;tTbnlfc2SxInK9UINwCrDAVLwEZ4OuI6KVC0hN7UyShNp0kLWFgEqZyj22Uf5AdEfA4glKWWagly&#10;0yjje1RUtfAkyVXaOr6IbMtSSf+hLJ3yrM45KfVxpSK0X4U1WcxFtkZhKy0PFMRzKDzR1AhtqOgR&#10;aim8YBvU/0A1WiI4KP1AQpP0QqIjpGKYPvHmrhJWRS1ktbNH093/g5Xvtx+R6YImYTzmzIiGWr7/&#10;cb//+Xv/6zubTaNFrXUZZd5ZyvXda+goPcp19hbkF8cMXFfCrNUVIrSVEgVRHAZzk5OnoSkucwFk&#10;1b6DgiqJjYcI1JXYBP/IEUbo1J7dsT2q80yGkuno4jylkKTYeDqcnUVyicgeXlt0/o2ChoVNzpHa&#10;H9HF9tb5wEZkDymhmIEbXddxBGrz1wUlhpvIPhDuqftu1VF2ULGCYkc6EPqJov9EmwrwG2ctTVPO&#10;3deNQMVZ/daQF7PhZBLGLx4mZ+cjOuBpZHUaEUYSVM49Z/322vcju7Go1xVV6t03cEX+lTpKe2R1&#10;4E0TExUfpjuM5Ok5Zj3+6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NjRGtQAAAAIAQAADwAA&#10;AAAAAAABACAAAAAiAAAAZHJzL2Rvd25yZXYueG1sUEsBAhQAFAAAAAgAh07iQNcl0UgaAgAAGQQA&#10;AA4AAAAAAAAAAQAgAAAAIwEAAGRycy9lMm9Eb2MueG1sUEsFBgAAAAAGAAYAWQEAAK8FAAAAAA==&#10;">
                <v:fill on="f" focussize="0,0"/>
                <v:stroke on="f"/>
                <v:imagedata o:title=""/>
                <o:lock v:ext="edit" aspectratio="f"/>
                <v:textbo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sz w:val="24"/>
          <w:szCs w:val="24"/>
          <w:highlight w:val="none"/>
        </w:rPr>
        <w:t>合同价格清单中开列的工作量或工程量是根据发包人要求、标准与规范、项目基础资料等计列的工程量，不能作为承包人履行合同义务中应予完成合同工程的实际和准确工程量。合同价格清单中列出的任何工作量和价格数据仅限用于变更和支付的参考资料，而不能用于其他目的。</w:t>
      </w:r>
    </w:p>
    <w:p>
      <w:pPr>
        <w:pStyle w:val="22"/>
        <w:widowControl w:val="0"/>
        <w:adjustRightInd w:val="0"/>
        <w:snapToGrid w:val="0"/>
        <w:spacing w:line="360" w:lineRule="auto"/>
        <w:ind w:left="1850" w:leftChars="771"/>
        <w:jc w:val="both"/>
        <w:rPr>
          <w:rFonts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pPr>
        <w:pStyle w:val="22"/>
        <w:tabs>
          <w:tab w:val="left" w:pos="1800"/>
        </w:tabs>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86" w:name="_Toc18347"/>
      <w:bookmarkStart w:id="487" w:name="_Toc9569"/>
      <w:bookmarkStart w:id="488" w:name="_Toc47694348"/>
      <w:r>
        <w:rPr>
          <w:rFonts w:hint="eastAsia" w:ascii="仿宋" w:hAnsi="仿宋" w:eastAsia="仿宋" w:cs="仿宋"/>
          <w:bCs w:val="0"/>
          <w:color w:val="auto"/>
          <w:sz w:val="24"/>
          <w:szCs w:val="24"/>
          <w:highlight w:val="none"/>
        </w:rPr>
        <w:t>★72</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计量和计价</w:t>
      </w:r>
      <w:bookmarkEnd w:id="486"/>
      <w:bookmarkEnd w:id="487"/>
      <w:bookmarkEnd w:id="488"/>
    </w:p>
    <w:p>
      <w:pPr>
        <w:rPr>
          <w:rFonts w:ascii="仿宋" w:hAnsi="仿宋" w:eastAsia="仿宋" w:cs="仿宋"/>
          <w:b/>
          <w:bCs/>
          <w:color w:val="auto"/>
          <w:highlight w:val="none"/>
          <w:lang w:eastAsia="zh-CN"/>
        </w:rPr>
      </w:pPr>
      <w:bookmarkStart w:id="489"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489"/>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32"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026" o:spt="202" type="#_x0000_t202" style="position:absolute;left:0pt;margin-left:-9pt;margin-top:1pt;height:32.75pt;width:72pt;z-index:251972608;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P6iDSAWAgAAGAQAAA4AAABkcnMvZTJvRG9jLnhtbK1TQW4T&#10;MRTdI3EHy3sySUhKM8qkKo2KkApFKhzA8XgyFjP+5tvJTDgAvQErNuw5V87Bt52GUDZdsBnZ/t/v&#10;v/f8Zn7Rtw3bKnQaTMFHgyFnykgotVkX/NPH6xfnnDkvTCkaMKrgO+X4xeL5s3lnczWGGppSISMQ&#10;4/LOFrz23uZZ5mStWuEGYJWhYgXYCk9bXGclio7Q2yYbD4dnWQdYWgSpnKPTZSryAyI+BRCqSku1&#10;BLlplfEJFVUjPElytbaOLyLbqlLS31aVU541BSelPn5pCK1X4Zst5iJfo7C1lgcK4ikUHmlqhTY0&#10;9Ai1FF6wDep/oFotERxUfiChzZKQ6AipGA0feXNXC6uiFrLa2aPp7v/ByvfbD8h0SUl4OebMiJae&#10;fP/9fv/j1/7nNzY7GwWLOuty6ryz1Ov719BTe5Tr7A3Iz44ZuKqFWatLROhqJUqiGG9mJ1cTjgsg&#10;q+4dlDRJbDxEoL7CNvhHjjBCp+fZHZ9H9Z5JOpyNJpMhVSSVJqPpbDwN3DKRP1y26PwbBS0Li4Ij&#10;vX4EF9sb51PrQ0uYZeBaN01MQGP+OiDMcBLJB76Jue9X/cGMFZQ7koGQAkW/Ey1qwK+cdRSmgrsv&#10;G4GKs+atISsic0pf3Eymr8akAk8rq9OKMJKgCu45S8srnxK7sajXNU1K5hu4JPsqHaUFnxOrA28K&#10;TDTnEO6QyNN97Prz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AesJLWAAAACAEAAA8AAAAA&#10;AAAAAQAgAAAAIgAAAGRycy9kb3ducmV2LnhtbFBLAQIUABQAAAAIAIdO4kD+og0gFgIAABgEAAAO&#10;AAAAAAAAAAEAIAAAACUBAABkcnMvZTJvRG9jLnhtbFBLBQYAAAAABgAGAFkBAACtBQAAAAA=&#10;">
                <v:fill on="f" focussize="0,0"/>
                <v:stroke on="f"/>
                <v:imagedata o:title=""/>
                <o:lock v:ext="edit" aspectratio="f"/>
                <v:textbo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72.1.3 BIM 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72.1.4 设备及工器具购置费（如果有）的计量规则与计价办法，由合同当事人在专用条款中约定。招标发包工程以承包人的投标文件及有效澄清文件、招标文件规定的报价要求及相关澄清文件执行。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72</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31"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026" o:spt="202" type="#_x0000_t202" style="position:absolute;left:0pt;margin-left:-9pt;margin-top:4pt;height:32.75pt;width:72pt;z-index:251973632;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I4buSQYAgAAGAQAAA4AAABkcnMvZTJvRG9jLnhtbK1Ty47T&#10;MBTdI/EPlvc0TWkHJmo6GqYahDQ8pIEPcB2nsYh9zbXbpHwA8wes2LDnu/odXDudUobNLNhEtu/1&#10;ueccn8wvetOyrUKvwZY8H405U1ZCpe265J8+Xj97yZkPwlaiBatKvlOeXyyePpl3rlATaKCtFDIC&#10;sb7oXMmbEFyRZV42ygg/AqcsFWtAIwJtcZ1VKDpCN202GY/Psg6wcghSeU+ny6HID4j4GECoay3V&#10;EuTGKBsGVFStCCTJN9p5vkhs61rJ8L6uvQqsLTkpDelLQ2i9it9sMRfFGoVrtDxQEI+h8ECTEdrS&#10;0CPUUgTBNqj/gTJaIniow0iCyQYhyRFSkY8feHPbCKeSFrLau6Pp/v/BynfbD8h0RUl4nnNmhaEn&#10;33+/2//4tf/5jZ2fTaJFnfMFdd466g39K+ipPcn17gbkZ88sXDXCrtUlInSNEhVRzOPN7OTqgOMj&#10;yKp7CxVNEpsACaiv0UT/yBFG6PQ8u+PzqD4wSYfn+XQ6poqk0jSfnU9maYIo7i879OG1AsPiouRI&#10;r5/AxfbGh0hGFPctcZaFa922KQGt/euAGuNJIh/5DsxDv+oPZqyg2pEMhCFQ9DvRogH8yllHYSq5&#10;/7IRqDhr31iyIjGn9KXNdPZiQirwtLI6rQgrCarkgbNheRWGxG4c6nVDkwbzLVySfbVO0qLPA6sD&#10;bwpMUnwId0zk6T51/fmh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vOwRdYAAAAIAQAADwAA&#10;AAAAAAABACAAAAAiAAAAZHJzL2Rvd25yZXYueG1sUEsBAhQAFAAAAAgAh07iQI4buSQYAgAAGAQA&#10;AA4AAAAAAAAAAQAgAAAAJQEAAGRycy9lMm9Eb2MueG1sUEsFBgAAAAAGAAYAWQEAAK8FAAAAAA==&#10;">
                <v:fill on="f" focussize="0,0"/>
                <v:stroke on="f"/>
                <v:imagedata o:title=""/>
                <o:lock v:ext="edit" aspectratio="f"/>
                <v:textbox>
                  <w:txbxContent>
                    <w:p>
                      <w:pPr>
                        <w:pStyle w:val="2"/>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rPr>
        <w:t>合同双方当事人应按照专用条款约定的计量规则、计价办法、计价依据、允许调整事项及合同价格调整办法，进行工程计量和计价。</w:t>
      </w:r>
    </w:p>
    <w:p>
      <w:pPr>
        <w:pStyle w:val="22"/>
        <w:adjustRightInd w:val="0"/>
        <w:snapToGrid w:val="0"/>
        <w:spacing w:line="360" w:lineRule="auto"/>
        <w:ind w:left="1850" w:leftChars="771"/>
        <w:rPr>
          <w:color w:val="auto"/>
          <w:highlight w:val="none"/>
        </w:rPr>
      </w:pPr>
      <w:r>
        <w:rPr>
          <w:rFonts w:hint="eastAsia" w:ascii="仿宋" w:hAnsi="仿宋" w:eastAsia="仿宋" w:cs="仿宋"/>
          <w:color w:val="auto"/>
          <w:sz w:val="24"/>
          <w:szCs w:val="24"/>
          <w:highlight w:val="none"/>
        </w:rPr>
        <w:t>监理人、造价咨询人负责工程计量和计价的核实工作。</w:t>
      </w:r>
    </w:p>
    <w:p>
      <w:pPr>
        <w:spacing w:line="360" w:lineRule="auto"/>
        <w:rPr>
          <w:rFonts w:ascii="仿宋" w:hAnsi="仿宋" w:eastAsia="仿宋"/>
          <w:b/>
          <w:bCs/>
          <w:color w:val="auto"/>
          <w:highlight w:val="none"/>
          <w:lang w:eastAsia="zh-CN"/>
        </w:rPr>
      </w:pPr>
      <w:bookmarkStart w:id="490" w:name="_Toc153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4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-1905</wp:posOffset>
                </wp:positionV>
                <wp:extent cx="914400" cy="686435"/>
                <wp:effectExtent l="0" t="0" r="0" b="0"/>
                <wp:wrapNone/>
                <wp:docPr id="130"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026" o:spt="202" type="#_x0000_t202" style="position:absolute;left:0pt;margin-left:-9pt;margin-top:-0.15pt;height:54.05pt;width:72pt;z-index:251974656;mso-width-relative:page;mso-height-relative:page;" filled="f" stroked="f" coordsize="21600,21600" o:gfxdata="UEsDBAoAAAAAAIdO4kAAAAAAAAAAAAAAAAAEAAAAZHJzL1BLAwQUAAAACACHTuJA0vmgT9UAAAAJ&#10;AQAADwAAAGRycy9kb3ducmV2LnhtbE2PzU7DMBCE70i8g7VI3Np1CpQQ4vQA4gqi/Ejc3HibRMTr&#10;KHab8PZsT3Cb0axmvyk3s+/VkcbYBTaQLTUo4jq4jhsD729PixxUTJad7QOTgR+KsKnOz0pbuDDx&#10;Kx23qVFSwrGwBtqUhgIx1i15G5dhIJZsH0Zvk9ixQTfaScp9jyut1+htx/KhtQM9tFR/bw/ewMfz&#10;/uvzWr80j/5mmMKskf0dGnN5kel7UInm9HcMJ3xBh0qYduHALqrewCLLZUsScQXqlK/W4nci9G0O&#10;WJX4f0H1C1BLAwQUAAAACACHTuJAzZUDjhcCAAAYBAAADgAAAGRycy9lMm9Eb2MueG1srVNLbtsw&#10;EN0X6B0I7mv5FzcRLAdpjBQF0g+Q9gA0RVlERQ47pC25B2hu0FU33fdcPkeHlOO66SaLbgSSM3zz&#10;3uPT/LIzDdsq9BpswUeDIWfKSii1XRf808ebF+ec+SBsKRqwquA75fnl4vmzeetyNYYamlIhIxDr&#10;89YVvA7B5VnmZa2M8ANwylKxAjQi0BbXWYmiJXTTZOPhcJa1gKVDkMp7Ol32RX5AxKcAQlVpqZYg&#10;N0bZ0KOiakQgSb7WzvNFYltVSob3VeVVYE3BSWlIXxpC61X8Zou5yNcoXK3lgYJ4CoVHmozQloYe&#10;oZYiCLZB/Q+U0RLBQxUGEkzWC0mOkIrR8JE3d7VwKmkhq707mu7/H6x8t/2ATJeUhAl5YoWhJ99/&#10;v9//+LX/+Y1dzCbRotb5nDrvHPWG7hV01J7kencL8rNnFq5rYdfqChHaWomSKI7izezkao/jI8iq&#10;fQslTRKbAAmoq9BE/8gRRuhEZXd8HtUFJunwYjSdDqkiqTQ7n00nZ2mCyB8uO/ThtQLD4qLgSK+f&#10;wMX21odIRuQPLXGWhRvdNCkBjf3rgBrjSSIf+fbMQ7fqDmasoNyRDIQ+UPQ70aIG/MpZS2EquP+y&#10;Eag4a95YsiIxp/SlzfTs5ZhU4GlldVoRVhJUwQNn/fI69IndONTrmib15lu4IvsqnaRFn3tWB94U&#10;mKT4EO6YyNN96vrz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L5oE/VAAAACQEAAA8AAAAA&#10;AAAAAQAgAAAAIgAAAGRycy9kb3ducmV2LnhtbFBLAQIUABQAAAAIAIdO4kDNlQOOFwIAABgEAAAO&#10;AAAAAAAAAAEAIAAAACQ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已完工作或工程款额报告的提交和核实</w:t>
                      </w:r>
                    </w:p>
                  </w:txbxContent>
                </v:textbox>
              </v:shape>
            </w:pict>
          </mc:Fallback>
        </mc:AlternateContent>
      </w:r>
      <w:r>
        <w:rPr>
          <w:rFonts w:hint="eastAsia" w:ascii="仿宋" w:hAnsi="仿宋" w:eastAsia="仿宋" w:cs="仿宋"/>
          <w:color w:val="auto"/>
          <w:sz w:val="24"/>
          <w:szCs w:val="24"/>
          <w:highlight w:val="none"/>
        </w:rPr>
        <w:t>承包人应按照第</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6</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向造价咨询人提交已完工作或工程款额报告。监理人、造价咨询人应在收到报告后的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天内核实工作量或工程量，并将核实结果通知承包人、抄报发包人，作为计价和支付的依据。</w:t>
      </w:r>
    </w:p>
    <w:p>
      <w:pPr>
        <w:pStyle w:val="22"/>
        <w:adjustRightInd w:val="0"/>
        <w:snapToGrid w:val="0"/>
        <w:spacing w:line="360" w:lineRule="auto"/>
        <w:rPr>
          <w:color w:val="auto"/>
          <w:highlight w:val="none"/>
          <w:lang w:val="en-US"/>
        </w:rPr>
      </w:pPr>
      <w:r>
        <w:rPr>
          <w:rFonts w:hint="eastAsia" w:ascii="仿宋" w:hAnsi="仿宋" w:eastAsia="仿宋" w:cs="仿宋"/>
          <w:b/>
          <w:bCs/>
          <w:color w:val="auto"/>
          <w:sz w:val="24"/>
          <w:szCs w:val="24"/>
          <w:highlight w:val="none"/>
        </w:rPr>
        <w:t>72</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129"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026" o:spt="202" type="#_x0000_t202" style="position:absolute;left:0pt;margin-left:-9pt;margin-top:3.95pt;height:27.9pt;width:63pt;z-index:251975680;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hf1X0BgCAAAYBAAADgAAAGRycy9lMm9Eb2MueG1srVPNbhMx&#10;EL4j8Q6W72Tz19KssqlKoyKk8iMVHsDxerMWa48ZO9kND0DfgBMX7jxXnoOxNw2hXHrgYtme8Tff&#10;9814ftmZhm0Veg224KPBkDNlJZTargv+6ePNiwvOfBC2FA1YVfCd8vxy8fzZvHW5GkMNTamQEYj1&#10;eesKXofg8izzslZG+AE4ZSlYARoR6IjrrETRErppsvFweJ61gKVDkMp7ul32QX5AxKcAQlVpqZYg&#10;N0bZ0KOiakQgSb7WzvNFYltVSob3VeVVYE3BSWlIKxWh/Squ2WIu8jUKV2t5oCCeQuGRJiO0paJH&#10;qKUIgm1Q/wNltETwUIWBBJP1QpIjpGI0fOTNXS2cSlrIau+Opvv/ByvfbT8g0yVNwnjGmRWGWr7/&#10;fr//8Wv/8xubnU+jRa3zOWXeOcoN3SvoKD3J9e4W5GfPLFzXwq7VFSK0tRIlURzFl9nJ0x7HR5BV&#10;+xZKqiQ2ARJQV6GJ/pEjjNCpPbtje1QXmKTLiyFZRBFJocnZdDJJ7ctE/vDYoQ+vFRgWNwVH6n4C&#10;F9tbHyIZkT+kxFoWbnTTpAlo7F8XlBhvEvnIt2ceulV3MGMF5Y5kIPQDRd+JNjXgV85aGqaC+y8b&#10;gYqz5o0lK2aj6TROXzpMz16O6YCnkdVpRFhJUAUPnPXb69BP7MahXtdUqTffwhXZV+kkLfrcsz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9g4Zt1QAAAAgBAAAPAAAA&#10;AAAAAAEAIAAAACIAAABkcnMvZG93bnJldi54bWxQSwECFAAUAAAACACHTuJAhf1X0BgCAAAYBAAA&#10;DgAAAAAAAAABACAAAAAkAQAAZHJzL2Uyb0RvYy54bWxQSwUGAAAAAAYABgBZAQAArg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rPr>
        <w:t>当造价咨询人进行现场计量时，应在计量前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小时通知承包人，承包人应为计量提供便利条件并派人参加。承包人收到通知后不派人参加计量，视为认可计量结果。造价咨询人不按照约定时间通知承包人，致使承包人未能派人参加计量，计量结果无效。</w:t>
      </w:r>
    </w:p>
    <w:p>
      <w:pPr>
        <w:spacing w:line="360" w:lineRule="auto"/>
        <w:rPr>
          <w:rFonts w:ascii="仿宋" w:hAnsi="仿宋" w:eastAsia="仿宋"/>
          <w:b/>
          <w:bCs/>
          <w:color w:val="auto"/>
          <w:highlight w:val="none"/>
          <w:lang w:eastAsia="zh-CN"/>
        </w:rPr>
      </w:pPr>
      <w:bookmarkStart w:id="491"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4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128"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026" o:spt="202" type="#_x0000_t202" style="position:absolute;left:0pt;margin-left:-9pt;margin-top:3.5pt;height:47.5pt;width:72pt;z-index:251976704;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l1H1lxcCAAAYBAAADgAAAGRycy9lMm9Eb2MueG1srVPNbhMx&#10;EL4j8Q6W72Q3IQl0lU1VGhUhlR+p8ACO15u1WHvM2MlueQD6Bpy4cOe58hyMvWkI5dIDF8v2jL/5&#10;vm/Gi/PetGyn0GuwJR+Pcs6UlVBpuyn5p49Xz15y5oOwlWjBqpLfKs/Pl0+fLDpXqAk00FYKGYFY&#10;X3Su5E0IrsgyLxtlhB+BU5aCNaARgY64ySoUHaGbNpvk+TzrACuHIJX3dLsagvyAiI8BhLrWUq1A&#10;bo2yYUBF1YpAknyjnefLxLaulQzv69qrwNqSk9KQVipC+3Vcs+VCFBsUrtHyQEE8hsIDTUZoS0WP&#10;UCsRBNui/gfKaIngoQ4jCSYbhCRHSMU4f+DNTSOcSlrIau+Opvv/Byvf7T4g0xVNwoQab4Whlu+/&#10;3+1//Nr//MbO5rNoUed8QZk3jnJD/wp6Sk9yvbsG+dkzC5eNsBt1gQhdo0RFFMfxZXbydMDxEWTd&#10;vYWKKoltgATU12iif+QII3Rqz+2xPaoPTNLl2Xg6zSkiKTTPn09mqX2ZKO4fO/ThtQLD4qbkSN1P&#10;4GJ37UMkI4r7lFjLwpVu2zQBrf3rghLjTSIf+Q7MQ7/uD2asobolGQjDQNF3ok0D+JWzjoap5P7L&#10;VqDirH1jyYrEnKYvHaazFxNSgaeR9WlEWElQJQ+cDdvLMEzs1qHeNFRpMN/CBdlX6yQt+jywOvCm&#10;gUmKD8MdJ/L0nLL+fOj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b/WfXVAAAACQEAAA8AAAAA&#10;AAAAAQAgAAAAIgAAAGRycy9kb3ducmV2LnhtbFBLAQIUABQAAAAIAIdO4kCXUfWXFwIAABgEAAAO&#10;AAAAAAAAAAEAIAAAACQ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收到已完工作或工程款额报告的限制</w:t>
                      </w:r>
                    </w:p>
                  </w:txbxContent>
                </v:textbox>
              </v:shape>
            </w:pict>
          </mc:Fallback>
        </mc:AlternateContent>
      </w:r>
      <w:r>
        <w:rPr>
          <w:rFonts w:hint="eastAsia" w:ascii="仿宋" w:hAnsi="仿宋" w:eastAsia="仿宋" w:cs="仿宋"/>
          <w:color w:val="auto"/>
          <w:sz w:val="24"/>
          <w:szCs w:val="24"/>
          <w:highlight w:val="none"/>
        </w:rPr>
        <w:t>造价咨询人收到承包人按照第</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6</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提交的已完工作或工程款额报告后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天内，未进行计量或未向承包人通知计量结果的，从第</w:t>
      </w: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天起，承包人报告中开列的工作量或工程量即视为被确认，作为计价和支付的依据。</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45720</wp:posOffset>
                </wp:positionV>
                <wp:extent cx="914400" cy="421005"/>
                <wp:effectExtent l="0" t="0" r="0" b="0"/>
                <wp:wrapNone/>
                <wp:docPr id="127"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914400" cy="42100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026" o:spt="202" type="#_x0000_t202" style="position:absolute;left:0pt;margin-left:-9pt;margin-top:3.6pt;height:33.15pt;width:72pt;z-index:251977728;mso-width-relative:page;mso-height-relative:page;" filled="f" stroked="f" coordsize="21600,21600" o:gfxdata="UEsDBAoAAAAAAIdO4kAAAAAAAAAAAAAAAAAEAAAAZHJzL1BLAwQUAAAACACHTuJArJi0XNUAAAAI&#10;AQAADwAAAGRycy9kb3ducmV2LnhtbE2Py07DMBBF90j8gzWV2LV2An0Q4nQBYgui0ErdufE0iRqP&#10;o9htwt8zXdHl0R3dOTdfj64VF+xD40lDMlMgkEpvG6o0/Hy/T1cgQjRkTesJNfxigHVxf5ebzPqB&#10;vvCyiZXgEgqZ0VDH2GVShrJGZ8LMd0icHX3vTGTsK2l7M3C5a2Wq1EI60xB/qE2HrzWWp83Zadh+&#10;HPe7J/VZvbl5N/hRSXLPUuuHSaJeQEQc4/8xXPVZHQp2Ovgz2SBaDdNkxVuihmUK4pqnC+YD8+Mc&#10;ZJHL2wHFH1BLAwQUAAAACACHTuJABM3aGRcCAAAYBAAADgAAAGRycy9lMm9Eb2MueG1srVNLbtsw&#10;EN0X6B0I7mvJhuM0guUgjZGiQPoB0h6ApiiLqMhhh7Ql9wDtDbLqpvuey+fokHJcN91k0Y1AcoZv&#10;3nt8ml/2pmVbhV6DLfl4lHOmrIRK23XJP328efGSMx+ErUQLVpV8pzy/XDx/Nu9coSbQQFspZARi&#10;fdG5kjchuCLLvGyUEX4ETlkq1oBGBNriOqtQdIRu2myS57OsA6wcglTe0+lyKPIDIj4FEOpaS7UE&#10;uTHKhgEVVSsCSfKNdp4vEtu6VjK8r2uvAmtLTkpD+tIQWq/iN1vMRbFG4RotDxTEUyg80mSEtjT0&#10;CLUUQbAN6n+gjJYIHuowkmCyQUhyhFSM80fe3DXCqaSFrPbuaLr/f7Dy3fYDMl1REibnnFlh6Mn3&#10;99/3P37tf35jF7NZtKhzvqDOO0e9oX8FPbUnud7dgvzsmYXrRti1ukKErlGiIorjeDM7uTrg+Aiy&#10;6t5CRZPEJkAC6ms00T9yhBE6Pc/u+DyqD0zS4cV4Os2pIqk0nYzz/CxNEMXDZYc+vFZgWFyUHOn1&#10;E7jY3voQyYjioSXOsnCj2zYloLV/HVBjPEnkI9+BeehX/cGMFVQ7koEwBIp+J1o0gF856yhMJfdf&#10;NgIVZ+0bS1Yk5pS+tJmenU9IBZ5WVqcVYSVBlTxwNiyvw5DYjUO9bmjSYL6FK7Kv1kla9HlgdeBN&#10;gUmKD+GOiTzdp64/P/T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yYtFzVAAAACAEAAA8AAAAA&#10;AAAAAQAgAAAAIgAAAGRycy9kb3ducmV2LnhtbFBLAQIUABQAAAAIAIdO4kAEzdoZFwIAABgEAAAO&#10;AAAAAAAAAAEAIAAAACQ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rPr>
        <w:t>如果果承包人认为造价咨询人的计量结果有误，应在收到计量结果通知后的 7 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 91 条约定处理。</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126"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026" o:spt="202" type="#_x0000_t202" style="position:absolute;left:0pt;margin-left:-9pt;margin-top:2.85pt;height:23.4pt;width:63pt;z-index:251978752;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D+2/1MGAIAABgEAAAOAAAAZHJzL2Uyb0RvYy54bWytU0uOEzEQ&#10;3SNxB8t70kkUkkkrndEw0SCk4SMNHMBxu9MWbZcpO+kOB4AbzIoNe86Vc1B2Z0IYNrNgY9mu8qv3&#10;XpUXl51p2E6h12ALPhoMOVNWQqntpuCfPt68uODMB2FL0YBVBd8rzy+Xz58tWperMdTQlAoZgVif&#10;t67gdQguzzIva2WEH4BTloIVoBGBjrjJShQtoZsmGw+H06wFLB2CVN7T7aoP8iMiPgUQqkpLtQK5&#10;NcqGHhVVIwJJ8rV2ni8T26pSMryvKq8CawpOSkNaqQjt13HNlguRb1C4WssjBfEUCo80GaEtFT1B&#10;rUQQbIv6HyijJYKHKgwkmKwXkhwhFaPhI2/uauFU0kJWe3cy3f8/WPlu9wGZLmkSxlPOrDDU8sP9&#10;98OPX4ef39h8OosWtc7nlHnnKDd0r6Cj9CTXu1uQnz2zcF0Lu1FXiNDWSpREcRRfZmdPexwfQdbt&#10;WyipktgGSEBdhSb6R44wQqf27E/tUV1gki4vhmQRRSSFxvPZ6CK1LxP5w2OHPrxWYFjcFByp+wlc&#10;7G59iGRE/pASa1m40U2TJqCxf11QYrxJ5CPfnnno1t3RjDWUe5KB0A8UfSfa1IBfOWtpmAruv2wF&#10;Ks6aN5asmI8mkzh96TB5ORvTAc8j6/OIsJKgCh4467fXoZ/YrUO9qalSb76FK7Kv0kla9LlndeRN&#10;A5MUH4c7TuT5OWX9+dD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RSumTUAAAACAEAAA8AAAAA&#10;AAAAAQAgAAAAIgAAAGRycy9kb3ducmV2LnhtbFBLAQIUABQAAAAIAIdO4kD+2/1MGAIAABgEAAAO&#10;AAAAAAAAAAEAIAAAACM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rPr>
        <w:t>对承包人超出总承包范围的工程内容、服务内容或因承包人的原因造成返工的工作量或工程量，造价工程师均不予计量。</w:t>
      </w:r>
    </w:p>
    <w:p>
      <w:pPr>
        <w:spacing w:line="360" w:lineRule="auto"/>
        <w:rPr>
          <w:rFonts w:ascii="仿宋" w:hAnsi="仿宋" w:eastAsia="仿宋"/>
          <w:b/>
          <w:bCs/>
          <w:color w:val="auto"/>
          <w:highlight w:val="none"/>
          <w:lang w:eastAsia="zh-CN"/>
        </w:rPr>
      </w:pPr>
      <w:bookmarkStart w:id="492"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4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val="en-US" w:bidi="en-US"/>
        </w:rPr>
      </w:pPr>
      <w:r>
        <w:rPr>
          <w:rFonts w:hint="eastAsia" w:ascii="仿宋" w:hAnsi="仿宋" w:eastAsia="仿宋" w:cs="仿宋"/>
          <w:color w:val="auto"/>
          <w:sz w:val="24"/>
          <w:szCs w:val="24"/>
          <w:highlight w:val="none"/>
          <w:lang w:val="en-US"/>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125" name="文本框 968"/>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026" o:spt="202" type="#_x0000_t202" style="position:absolute;left:0pt;margin-left:-9pt;margin-top:1.9pt;height:38.9pt;width:72pt;z-index:251979776;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A5yJhTGAIAABgEAAAOAAAAZHJzL2Uyb0RvYy54bWytU81uEzEQ&#10;viPxDpbvZDchLc0qm6o0KkIqP1LhARyvN2ux9pixk93wAPAGnLhw57nyHIy9aQjl0gMXy/aMv/m+&#10;b8bzy960bKvQa7AlH49yzpSVUGm7LvnHDzfPLjjzQdhKtGBVyXfK88vF0yfzzhVqAg20lUJGINYX&#10;nSt5E4IrsszLRhnhR+CUpWANaESgI66zCkVH6KbNJnl+nnWAlUOQynu6XQ5BfkDExwBCXWupliA3&#10;RtkwoKJqRSBJvtHO80ViW9dKhnd17VVgbclJaUgrFaH9Kq7ZYi6KNQrXaHmgIB5D4YEmI7Slokeo&#10;pQiCbVD/A2W0RPBQh5EEkw1CkiOkYpw/8OauEU4lLWS1d0fT/f+DlW+375HpiiZhcsaZFYZavv/+&#10;bf/j1/7nVzY7v4gWdc4XlHnnKDf0L6Gn9CTXu1uQnzyzcN0Iu1ZXiNA1SlREcRxfZidPBxwfQVbd&#10;G6ioktgESEB9jSb6R44wQqf27I7tUX1gki5n4+k0p4ik0HQ2zZ+n9mWiuH/s0IdXCgyLm5IjdT+B&#10;i+2tD5GMKO5TYi0LN7pt0wS09q8LSow3iXzkOzAP/ao/mLGCakcyEIaBou9EmwbwC2cdDVPJ/eeN&#10;QMVZ+9qSFYk5TV86TM9eTEgFnkZWpxFhJUGVPHA2bK/DMLEbh3rdUKXBfAtXZF+tk7To88DqwJsG&#10;Jik+DHecyNNzyvrzoR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2vWpbUAAAACAEAAA8AAAAA&#10;AAAAAQAgAAAAIgAAAGRycy9kb3ducmV2LnhtbFBLAQIUABQAAAAIAIdO4kA5yJhTGAIAABgEAAAO&#10;AAAAAAAAAAEAIAAAACM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val="en-US" w:bidi="en-US"/>
        </w:rPr>
        <w:t>除按照第 78 条至第 82 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pPr>
        <w:pStyle w:val="22"/>
        <w:tabs>
          <w:tab w:val="left" w:pos="162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93" w:name="_Toc25651"/>
      <w:bookmarkStart w:id="494" w:name="_Toc4969"/>
      <w:bookmarkStart w:id="495" w:name="_Toc47694349"/>
      <w:r>
        <w:rPr>
          <w:rFonts w:hint="eastAsia" w:ascii="仿宋" w:hAnsi="仿宋" w:eastAsia="仿宋" w:cs="仿宋"/>
          <w:bCs w:val="0"/>
          <w:color w:val="auto"/>
          <w:sz w:val="24"/>
          <w:szCs w:val="24"/>
          <w:highlight w:val="none"/>
        </w:rPr>
        <w:t>★73</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暂列金额</w:t>
      </w:r>
      <w:bookmarkEnd w:id="493"/>
      <w:bookmarkEnd w:id="494"/>
      <w:bookmarkEnd w:id="495"/>
    </w:p>
    <w:p>
      <w:pPr>
        <w:rPr>
          <w:rFonts w:ascii="仿宋" w:hAnsi="仿宋" w:eastAsia="仿宋" w:cs="仿宋"/>
          <w:b/>
          <w:bCs/>
          <w:color w:val="auto"/>
          <w:highlight w:val="none"/>
          <w:lang w:eastAsia="zh-CN"/>
        </w:rPr>
      </w:pPr>
      <w:bookmarkStart w:id="496"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496"/>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45720</wp:posOffset>
                </wp:positionV>
                <wp:extent cx="1028700" cy="688340"/>
                <wp:effectExtent l="0" t="0" r="0" b="0"/>
                <wp:wrapNone/>
                <wp:docPr id="124"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1028700" cy="6883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026" o:spt="202" type="#_x0000_t202" style="position:absolute;left:0pt;margin-left:-9pt;margin-top:3.6pt;height:54.2pt;width:81pt;z-index:251980800;mso-width-relative:page;mso-height-relative:page;" filled="f" stroked="f" coordsize="21600,21600" o:gfxdata="UEsDBAoAAAAAAIdO4kAAAAAAAAAAAAAAAAAEAAAAZHJzL1BLAwQUAAAACACHTuJATwHHg9YAAAAJ&#10;AQAADwAAAGRycy9kb3ducmV2LnhtbE2PzW7CMBCE75X6DtZW6g3soPCXxuEA6rVVgVbiZuIliRqv&#10;o9iQ9O27nNrbjmY0+02+GV0rbtiHxpOGZKpAIJXeNlRpOB5eJysQIRqypvWEGn4wwKZ4fMhNZv1A&#10;H3jbx0pwCYXMaKhj7DIpQ1mjM2HqOyT2Lr53JrLsK2l7M3C5a+VMqYV0piH+UJsOtzWW3/ur0/D5&#10;djl9peq92rl5N/hRSXJrqfXzU6JeQEQc418Y7viMDgUznf2VbBCthkmy4i1Rw3IG4u6nKeszH8l8&#10;AbLI5f8FxS9QSwMEFAAAAAgAh07iQAICM6wZAgAAGQQAAA4AAABkcnMvZTJvRG9jLnhtbK1TzY7T&#10;MBC+I/EOlu80aSndNmq6WrZahLT8SAsP4DpOY5F4zNhtUh4A3oATF+48V5+DsZMtZbnsgYtle8bf&#10;fN834+Vl19Rsr9BpMDkfj1LOlJFQaLPN+ccPN8/mnDkvTCFqMCrnB+X45erpk2VrMzWBCupCISMQ&#10;47LW5rzy3mZJ4mSlGuFGYJWhYAnYCE9H3CYFipbQmzqZpOksaQELiyCVc3S77oN8QMTHAEJZaqnW&#10;IHeNMr5HRVULT5Jcpa3jq8i2LJX078rSKc/qnJNSH1cqQvtNWJPVUmRbFLbScqAgHkPhgaZGaENF&#10;T1Br4QXbof4HqtESwUHpRxKapBcSHSEV4/SBN3eVsCpqIaudPZnu/h+sfLt/j0wXNAmTKWdGNNTy&#10;4/dvxx+/jj+/ssVsESxqrcso885Sru9eQkfpUa6ztyA/OWbguhJmq64Qoa2UKIjiOLxMzp72OC6A&#10;bNo3UFAlsfMQgboSm+AfOcIIndpzOLVHdZ7JUDKdzC9SCkmKzebz59PYv0Rk968tOv9KQcPCJudI&#10;7Y/oYn/rfGAjsvuUUMzAja7rOAK1+euCEsNNZB8I99R9t+kGNzZQHEgHQj9R9J9oUwF+4aylacq5&#10;+7wTqDirXxvyYjGeElnm42H64mJCBzyPbM4jwkiCyrnnrN9e+35kdxb1tqJKvfsGrsi/Ukdpweie&#10;1cCbJiYqHqY7jOT5OWb9+dG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8Bx4PWAAAACQEAAA8A&#10;AAAAAAAAAQAgAAAAIgAAAGRycy9kb3ducmV2LnhtbFBLAQIUABQAAAAIAIdO4kACAjOsGQIAABkE&#10;AAAOAAAAAAAAAAEAIAAAACUBAABkcnMvZTJvRG9jLnhtbFBLBQYAAAAABgAGAFkBAACw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pPr>
        <w:spacing w:line="360" w:lineRule="auto"/>
        <w:rPr>
          <w:rFonts w:ascii="仿宋" w:hAnsi="仿宋" w:eastAsia="仿宋"/>
          <w:b/>
          <w:bCs/>
          <w:color w:val="auto"/>
          <w:highlight w:val="none"/>
          <w:lang w:eastAsia="zh-CN"/>
        </w:rPr>
      </w:pPr>
      <w:bookmarkStart w:id="497"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49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1981824"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123" name="文本框 970"/>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026" o:spt="202" type="#_x0000_t202" style="position:absolute;left:0pt;margin-left:-10.5pt;margin-top:7.85pt;height:43.55pt;width:81pt;z-index:251981824;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OBVftUaAgAAGQQAAA4AAABkcnMvZTJvRG9jLnhtbK1TwW4T&#10;MRC9I/EPlu9kN2lC0lU2VWlUhFSgUuEDHK83a7HrMWMnu+ED4A84ceHe78p3MPamaSiXHrhYtmf8&#10;5r034/lF19Rsq9BpMDkfDlLOlJFQaLPO+edP169mnDkvTCFqMCrnO+X4xeLli3lrMzWCCupCISMQ&#10;47LW5rzy3mZJ4mSlGuEGYJWhYAnYCE9HXCcFipbQmzoZpenrpAUsLIJUztHtsg/yAyI+BxDKUku1&#10;BLlplPE9KqpaeJLkKm0dX0S2Zamk/1iWTnlW55yU+rhSEdqvwpos5iJbo7CVlgcK4jkUnmhqhDZU&#10;9Ai1FF6wDep/oBotERyUfiChSXoh0RFSMUyfeHNXCauiFrLa2aPp7v/Byg/bW2S6oEkYnXFmREMt&#10;3//8sf91v//9nZ1Po0WtdRll3lnK9d0b6Cg9ynX2BuQXxwxcVcKs1SUitJUSBVEcBnOTk6ehKS5z&#10;AWTVvoeCKomNhwjUldgE/8gRRujUnt2xParzTIaS6Wg2TSkkKTaZnKWzSSwhsofXFp1/q6BhYZNz&#10;pPZHdLG9cT6wEdlDSihm4FrXdRyB2vx1QYnhJrIPhHvqvlt1lB1UrKDYkQ6EfqLoP9GmAvzGWUvT&#10;lHP3dSNQcVa/M+TF+XA8DuMXD+PJdEQHPI2sTiPCSILKuees3175fmQ3FvW6okq9+wYuyb9SR2mP&#10;rA68aWKi4sN0h5E8Pcesxx+9+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t8mf1gAAAAoBAAAP&#10;AAAAAAAAAAEAIAAAACIAAABkcnMvZG93bnJldi54bWxQSwECFAAUAAAACACHTuJA4FV+1RoCAAAZ&#10;BAAADgAAAAAAAAABACAAAAAlAQAAZHJzL2Uyb0RvYy54bWxQSwUGAAAAAAYABgBZAQAAsQ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rPr>
        <w:t>经发包人批准后，监理人应就承包人实施第73</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的工作发出书面指令。承包人应就此项指令提出所需价款，经造价咨询人核实并由其报发包人确认后，向承包人支付相关款项。</w:t>
      </w:r>
    </w:p>
    <w:p>
      <w:pPr>
        <w:spacing w:line="360" w:lineRule="auto"/>
        <w:rPr>
          <w:rFonts w:ascii="仿宋" w:hAnsi="仿宋" w:eastAsia="仿宋"/>
          <w:b/>
          <w:bCs/>
          <w:color w:val="auto"/>
          <w:highlight w:val="none"/>
          <w:lang w:eastAsia="zh-CN"/>
        </w:rPr>
      </w:pPr>
      <w:bookmarkStart w:id="498"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49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22"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026" o:spt="202" type="#_x0000_t202" style="position:absolute;left:0pt;margin-left:-9pt;margin-top:1.25pt;height:31.2pt;width:72pt;z-index:25198284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viNoNRcCAAAYBAAADgAAAGRycy9lMm9Eb2MueG1srVPNjtMw&#10;EL4j8Q6W7zRpKLs0arpatlqEtPxICw/gOk5iEXvM2G1SHoB9A05cuPNcfQ4mTreU5bIHLpbtGX/z&#10;fd+MFxe9adlWoddgCz6dpJwpK6HUti74p4/Xz15y5oOwpWjBqoLvlOcXy6dPFp3LVQYNtKVCRiDW&#10;550reBOCy5PEy0YZ4SfglKVgBWhEoCPWSYmiI3TTJlmaniUdYOkQpPKebldjkB8Q8TGAUFVaqhXI&#10;jVE2jKioWhFIkm+083wZ2VaVkuF9VXkVWFtwUhriSkVovx7WZLkQeY3CNVoeKIjHUHigyQhtqegR&#10;aiWCYBvU/0AZLRE8VGEiwSSjkOgIqZimD7y5bYRTUQtZ7d3RdP//YOW77QdkuqRJyDLOrDDU8v33&#10;u/2PX/uf39j8fDpY1DmfU+ato9zQv4Ke0qNc725AfvbMwlUjbK0uEaFrlCiJYnyZnDwdcfwAsu7e&#10;QkmVxCZABOorNIN/5AgjdGrP7tge1Qcm6XI+nc1SikgKPZ+fZbPYvkTk948d+vBagWHDpuBI3Y/g&#10;YnvjA8mg1PuUoZaFa922cQJa+9cFJQ43kfzAd2Qe+nV/MGMN5Y5kIIwDRd+JNg3gV846GqaC+y8b&#10;gYqz9o0lKyJzmr54mL04z0gFnkbWpxFhJUEVPHA2bq/COLEbh7puqNJovoVLsq/SUdrg88jqwJsG&#10;Jio+DPcwkafnmPXn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P8HDVAAAACAEAAA8AAAAA&#10;AAAAAQAgAAAAIgAAAGRycy9kb3ducmV2LnhtbFBLAQIUABQAAAAIAIdO4kC+I2g1FwIAABgEAAAO&#10;AAAAAAAAAAEAIAAAACQ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rPr>
        <w:t>造价咨询人有要求时，承包人应提供使用暂列金额支付项目的所有报价单、发票、账单或收据。</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499" w:name="_Toc7198"/>
      <w:bookmarkStart w:id="500" w:name="_Toc47694350"/>
      <w:bookmarkStart w:id="501" w:name="_Toc27776"/>
      <w:r>
        <w:rPr>
          <w:rFonts w:hint="eastAsia" w:ascii="仿宋" w:hAnsi="仿宋" w:eastAsia="仿宋" w:cs="仿宋"/>
          <w:bCs w:val="0"/>
          <w:color w:val="auto"/>
          <w:sz w:val="24"/>
          <w:szCs w:val="24"/>
          <w:highlight w:val="none"/>
        </w:rPr>
        <w:t>★74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计日工</w:t>
      </w:r>
      <w:bookmarkEnd w:id="499"/>
      <w:bookmarkEnd w:id="500"/>
      <w:bookmarkEnd w:id="501"/>
    </w:p>
    <w:p>
      <w:pPr>
        <w:pStyle w:val="22"/>
        <w:adjustRightInd w:val="0"/>
        <w:snapToGrid w:val="0"/>
        <w:spacing w:line="360" w:lineRule="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74</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121" name="文本框 972"/>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026" o:spt="202" type="#_x0000_t202" style="position:absolute;left:0pt;margin-left:-9pt;margin-top:1.25pt;height:30.55pt;width:72pt;z-index:251983872;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0jmQ3BgCAAAYBAAADgAAAGRycy9lMm9Eb2MueG1srVNLjhMx&#10;EN0jcQfLe9JJyJCklc5omGgQ0vCRBg7guN1pi7bLlJ10hwPADVixYc+5cg7K7kwIw2YWbFq2q/zq&#10;vefXi8vONGyn0GuwBR8NhpwpK6HUdlPwjx9uns0480HYUjRgVcH3yvPL5dMni9blagw1NKVCRiDW&#10;560reB2Cy7PMy1oZ4QfglKViBWhEoC1ushJFS+imycbD4YusBSwdglTe0+mqL/IjIj4GEKpKS7UC&#10;uTXKhh4VVSMCSfK1dp4vE9uqUjK8qyqvAmsKTkpD+tIQWq/jN1suRL5B4WotjxTEYyg80GSEtjT0&#10;BLUSQbAt6n+gjJYIHqowkGCyXkhyhFSMhg+8uauFU0kLWe3dyXT//2Dl2917ZLqkJIxHnFlh6MkP&#10;378dfvw6/PzK5tNxtKh1PqfOO0e9oXsJHbUnud7dgvzkmYXrWtiNukKEtlaiJIqjeDM7u9rj+Aiy&#10;bt9ASZPENkAC6io00T9yhBE6Pc/+9DyqC0zS4Xw0mQypIqn0fDadzy7SBJHfX3bowysFhsVFwZFe&#10;P4GL3a0PkYzI71viLAs3umlSAhr71wE1xpNEPvLtmYdu3R3NWEO5JxkIfaDod6JFDfiFs5bCVHD/&#10;eStQcda8tmRFYk7pS5vJxXRMKvC8sj6vCCsJquCBs355HfrEbh3qTU2TevMtXJF9lU7Sos89qyNv&#10;CkxSfAx3TOT5PnX9+a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S/yvS1QAAAAgBAAAPAAAA&#10;AAAAAAEAIAAAACIAAABkcnMvZG93bnJldi54bWxQSwECFAAUAAAACACHTuJA0jmQ3BgCAAAYBAAA&#10;DgAAAAAAAAABACAAAAAkAQAAZHJzL2Uyb0RvYy54bWxQSwUGAAAAAAYABgBZAQAAr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rPr>
        <w:t>计日工单价是用于承包人实施发包人要求的合同以外零星工作项目所需的人工单价、工程材料单价、工程设备单价和施工设备机械台班单价</w:t>
      </w:r>
    </w:p>
    <w:p>
      <w:pPr>
        <w:pStyle w:val="22"/>
        <w:adjustRightInd w:val="0"/>
        <w:snapToGrid w:val="0"/>
        <w:spacing w:line="480" w:lineRule="auto"/>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74</w:t>
      </w:r>
      <w:r>
        <w:rPr>
          <w:rFonts w:ascii="仿宋" w:hAnsi="仿宋" w:eastAsia="仿宋" w:cs="仿宋"/>
          <w:b/>
          <w:bCs/>
          <w:color w:val="auto"/>
          <w:sz w:val="24"/>
          <w:szCs w:val="24"/>
          <w:highlight w:val="none"/>
        </w:rPr>
        <w:t xml:space="preserve">.2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adjustRightInd w:val="0"/>
        <w:snapToGrid w:val="0"/>
        <w:spacing w:line="360" w:lineRule="auto"/>
        <w:ind w:left="1850"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经发包人批准后，监理人应就使用计日工项目发出书面指令。任一按照计日工方式计价的工作，承包人应在该项工作实施结束后的 24 小时内，向监理人提交有计日工记录的现场签证报告一式两份。</w:t>
      </w:r>
    </w:p>
    <w:p>
      <w:pPr>
        <w:pStyle w:val="22"/>
        <w:adjustRightInd w:val="0"/>
        <w:snapToGrid w:val="0"/>
        <w:spacing w:line="360" w:lineRule="auto"/>
        <w:ind w:left="1850"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当此工作持续进行时，承包人应每天向监理人提交当天计日工记录完毕的现场签证报告。监理人在收到承包人提交现场签证报告后的 2 天内予以确认并由其报发包人批准后，将其中一份返还给承包人，作为计日工计价和支付的依据。监理人逾期未确认也未提出修改意见的，视为承包人提交的现场签证报告已被认可。</w:t>
      </w:r>
    </w:p>
    <w:p>
      <w:pPr>
        <w:spacing w:line="360" w:lineRule="auto"/>
        <w:rPr>
          <w:rFonts w:ascii="仿宋" w:hAnsi="仿宋" w:eastAsia="仿宋"/>
          <w:b/>
          <w:bCs/>
          <w:color w:val="auto"/>
          <w:highlight w:val="none"/>
          <w:lang w:eastAsia="zh-CN"/>
        </w:rPr>
      </w:pPr>
      <w:bookmarkStart w:id="502"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5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119" name="文本框 97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026" o:spt="202" type="#_x0000_t202" style="position:absolute;left:0pt;margin-left:-9pt;margin-top:0.4pt;height:31.2pt;width:72pt;z-index:251984896;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CRGkPQGAIAABgEAAAOAAAAZHJzL2Uyb0RvYy54bWytU81uEzEQ&#10;viPxDpbvZJMQWrLKpiqNipDKj1R4AMfrzVqsPWbsZDc8AH0DTly481x5DsbebQjl0gMXy/aMv/m+&#10;b8aLi840bKfQa7AFn4zGnCkrodR2U/BPH6+fveTMB2FL0YBVBd8rzy+WT58sWperKdTQlAoZgVif&#10;t67gdQguzzIva2WEH4FTloIVoBGBjrjJShQtoZsmm47HZ1kLWDoEqbyn21Uf5AMiPgYQqkpLtQK5&#10;NcqGHhVVIwJJ8rV2ni8T26pSMryvKq8CawpOSkNaqQjt13HNlguRb1C4WsuBgngMhQeajNCWih6h&#10;ViIItkX9D5TREsFDFUYSTNYLSY6Qisn4gTe3tXAqaSGrvTua7v8frHy3+4BMlzQJkzlnVhhq+eH7&#10;3eHHr8PPb2x+PosWtc7nlHnrKDd0r6Cj9CTXuxuQnz2zcFULu1GXiNDWSpREcRJfZidPexwfQdbt&#10;WyipktgGSEBdhSb6R44wQqf27I/tUV1gki7nk9lsTBFJoefzs+kstS8T+f1jhz68VmBY3BQcqfsJ&#10;XOxufIhkRH6fEmtZuNZNkyagsX9dUGK8SeQj35556NbdYMYayj3JQOgHir4TbWrAr5y1NEwF91+2&#10;AhVnzRtLViTmNH3pMHtxPiUVeBpZn0aElQRV8MBZv70K/cRuHepNTZV68y1ckn2VTtKizz2rgTcN&#10;TFI8DHecyNNzyvrzoZ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kUNOfUAAAABwEAAA8AAAAA&#10;AAAAAQAgAAAAIgAAAGRycy9kb3ducmV2LnhtbFBLAQIUABQAAAAIAIdO4kCRGkPQGAIAABgEAAAO&#10;AAAAAAAAAAEAIAAAACM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rPr>
        <w:t xml:space="preserve">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 </w:t>
      </w:r>
    </w:p>
    <w:p>
      <w:pPr>
        <w:pStyle w:val="22"/>
        <w:adjustRightInd w:val="0"/>
        <w:snapToGrid w:val="0"/>
        <w:spacing w:line="360" w:lineRule="auto"/>
        <w:ind w:left="1850"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每个支付期末，承包人应按照第 86.1 款约定向发包人提交本期间所有计日工记录的签证汇总表，以说明本期间自己认为有权得到的计日工费用。</w:t>
      </w:r>
    </w:p>
    <w:p>
      <w:pPr>
        <w:pStyle w:val="22"/>
        <w:tabs>
          <w:tab w:val="left" w:pos="540"/>
        </w:tabs>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03" w:name="_Toc47694351"/>
      <w:bookmarkStart w:id="504" w:name="_Toc15031"/>
      <w:bookmarkStart w:id="505" w:name="_Toc16668"/>
      <w:r>
        <w:rPr>
          <w:rFonts w:hint="eastAsia" w:ascii="仿宋" w:hAnsi="仿宋" w:eastAsia="仿宋" w:cs="仿宋"/>
          <w:bCs w:val="0"/>
          <w:color w:val="auto"/>
          <w:sz w:val="24"/>
          <w:szCs w:val="24"/>
          <w:highlight w:val="none"/>
        </w:rPr>
        <w:t>★75</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暂估价</w:t>
      </w:r>
      <w:bookmarkEnd w:id="503"/>
      <w:bookmarkEnd w:id="504"/>
      <w:bookmarkEnd w:id="505"/>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2084224" behindDoc="0" locked="0" layoutInCell="1" allowOverlap="1">
                <wp:simplePos x="0" y="0"/>
                <wp:positionH relativeFrom="column">
                  <wp:posOffset>-133350</wp:posOffset>
                </wp:positionH>
                <wp:positionV relativeFrom="paragraph">
                  <wp:posOffset>320040</wp:posOffset>
                </wp:positionV>
                <wp:extent cx="775335" cy="953135"/>
                <wp:effectExtent l="0" t="0" r="0" b="0"/>
                <wp:wrapNone/>
                <wp:docPr id="118"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775335" cy="953135"/>
                        </a:xfrm>
                        <a:prstGeom prst="rect">
                          <a:avLst/>
                        </a:prstGeom>
                        <a:noFill/>
                        <a:ln>
                          <a:noFill/>
                        </a:ln>
                      </wps:spPr>
                      <wps:txbx>
                        <w:txbxContent>
                          <w:p>
                            <w:pPr>
                              <w:rPr>
                                <w:sz w:val="18"/>
                                <w:szCs w:val="18"/>
                                <w:lang w:eastAsia="zh-CN"/>
                              </w:rPr>
                            </w:pPr>
                            <w:r>
                              <w:rPr>
                                <w:rFonts w:ascii="楷体" w:hAnsi="楷体" w:eastAsia="楷体" w:cs="楷体"/>
                                <w:b/>
                                <w:bCs/>
                                <w:color w:val="000000"/>
                                <w:sz w:val="18"/>
                                <w:szCs w:val="18"/>
                                <w:lang w:eastAsia="zh-CN" w:bidi="ar"/>
                              </w:rPr>
                              <w:t>依法必须招</w:t>
                            </w:r>
                            <w:r>
                              <w:rPr>
                                <w:rFonts w:hint="eastAsia" w:ascii="楷体" w:hAnsi="楷体" w:eastAsia="楷体" w:cs="楷体"/>
                                <w:b/>
                                <w:bCs/>
                                <w:color w:val="000000"/>
                                <w:sz w:val="18"/>
                                <w:szCs w:val="18"/>
                                <w:lang w:eastAsia="zh-CN" w:bidi="ar"/>
                              </w:rPr>
                              <w:t>标的工程材料、工程设备或专业工程暂估价的约定</w:t>
                            </w:r>
                          </w:p>
                        </w:txbxContent>
                      </wps:txbx>
                      <wps:bodyPr rot="0" vert="horz" wrap="square" lIns="91440" tIns="45720" rIns="91440" bIns="45720" anchor="t" anchorCtr="0" upright="1">
                        <a:noAutofit/>
                      </wps:bodyPr>
                    </wps:wsp>
                  </a:graphicData>
                </a:graphic>
              </wp:anchor>
            </w:drawing>
          </mc:Choice>
          <mc:Fallback>
            <w:pict>
              <v:shape id="文本框 975" o:spid="_x0000_s1026" o:spt="202" type="#_x0000_t202" style="position:absolute;left:0pt;margin-left:-10.5pt;margin-top:25.2pt;height:75.05pt;width:61.05pt;z-index:252084224;mso-width-relative:page;mso-height-relative:page;" filled="f" stroked="f" coordsize="21600,21600" o:gfxdata="UEsDBAoAAAAAAIdO4kAAAAAAAAAAAAAAAAAEAAAAZHJzL1BLAwQUAAAACACHTuJAJppuxtYAAAAK&#10;AQAADwAAAGRycy9kb3ducmV2LnhtbE2PzW7CMBCE75X6DtZW4ga2EanaNBsOIK6g0h+pNxMvSdR4&#10;HcWGpG9fc2qPoxnNfFOsJ9eJKw2h9YygFwoEceVtyzXC+9tu/gQiRMPWdJ4J4YcCrMv7u8Lk1o/8&#10;StdjrEUq4ZAbhCbGPpcyVA05Exa+J07e2Q/OxCSHWtrBjKncdXKp1KN0puW00JieNg1V38eLQ/jY&#10;n78+V+pQb13Wj35Skt2zRJw9aPUCItIU/8Jww0/oUCamk7+wDaJDmC91+hIRMrUCcQsorUGcENJu&#10;BrIs5P8L5S9QSwMEFAAAAAgAh07iQG57ctkZAgAAGAQAAA4AAABkcnMvZTJvRG9jLnhtbK1TzY7T&#10;MBC+I/EOlu80TX8ojZqulq0WIS0/0sIDuI7TWCQeM3ablAdg34ATF+48V5+DsdPtluWyBy7WeGb8&#10;zXzfjBcXXVOznUKnweQ8HQw5U0ZCoc0m558/Xb94xZnzwhSiBqNyvleOXyyfP1u0NlMjqKAuFDIC&#10;MS5rbc4r722WJE5WqhFuAFYZCpaAjfB0xU1SoGgJvamT0XD4MmkBC4sglXPkXfVBfkTEpwBCWWqp&#10;ViC3jTK+R0VVC0+UXKWt48vYbVkq6T+UpVOe1Tknpj6eVITsdTiT5UJkGxS20vLYgnhKC484NUIb&#10;KnqCWgkv2Bb1P1CNlggOSj+Q0CQ9kagIsUiHj7S5rYRVkQtJ7exJdPf/YOX73UdkuqBNSGnwRjQ0&#10;8sOPu8PP34df39l8Ng0StdZllHlrKdd3r6Gj9EjX2RuQXxwzcFUJs1GXiNBWShTUYhpeJmdPexwX&#10;QNbtOyiokth6iEBdiU3QjxRhhE7j2Z/GozrPJDlns+l4POVMUmg+Hadkhwoiu39s0fk3ChoWjJwj&#10;TT+Ci92N833qfUqoZeBa1zX5RVabvxyEGTyx+dBv37nv1h1lB0ZrKPZEA6FfKPpOZFSA3zhraZly&#10;7r5uBSrO6reGpJink0nYvniZTGcjuuB5ZH0eEUYSVM49Z7155fuN3VrUm4oq9eIbuCT5Sh2pPXR1&#10;7JsWJopzXO6wkef3mPXwoZ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aabsbWAAAACgEAAA8A&#10;AAAAAAAAAQAgAAAAIgAAAGRycy9kb3ducmV2LnhtbFBLAQIUABQAAAAIAIdO4kBue3LZGQIAABgE&#10;AAAOAAAAAAAAAAEAIAAAACUBAABkcnMvZTJvRG9jLnhtbFBLBQYAAAAABgAGAFkBAACwBQAAAAA=&#10;">
                <v:fill on="f" focussize="0,0"/>
                <v:stroke on="f"/>
                <v:imagedata o:title=""/>
                <o:lock v:ext="edit" aspectratio="f"/>
                <v:textbox>
                  <w:txbxContent>
                    <w:p>
                      <w:pPr>
                        <w:rPr>
                          <w:sz w:val="18"/>
                          <w:szCs w:val="18"/>
                          <w:lang w:eastAsia="zh-CN"/>
                        </w:rPr>
                      </w:pPr>
                      <w:r>
                        <w:rPr>
                          <w:rFonts w:ascii="楷体" w:hAnsi="楷体" w:eastAsia="楷体" w:cs="楷体"/>
                          <w:b/>
                          <w:bCs/>
                          <w:color w:val="000000"/>
                          <w:sz w:val="18"/>
                          <w:szCs w:val="18"/>
                          <w:lang w:eastAsia="zh-CN" w:bidi="ar"/>
                        </w:rPr>
                        <w:t>依法必须招</w:t>
                      </w:r>
                      <w:r>
                        <w:rPr>
                          <w:rFonts w:hint="eastAsia" w:ascii="楷体" w:hAnsi="楷体" w:eastAsia="楷体" w:cs="楷体"/>
                          <w:b/>
                          <w:bCs/>
                          <w:color w:val="000000"/>
                          <w:sz w:val="18"/>
                          <w:szCs w:val="18"/>
                          <w:lang w:eastAsia="zh-CN" w:bidi="ar"/>
                        </w:rPr>
                        <w:t>标的工程材料、工程设备或专业工程暂估价的约定</w:t>
                      </w:r>
                    </w:p>
                  </w:txbxContent>
                </v:textbox>
              </v:shape>
            </w:pict>
          </mc:Fallback>
        </mc:AlternateContent>
      </w:r>
      <w:r>
        <w:rPr>
          <w:rFonts w:hint="eastAsia" w:ascii="仿宋" w:hAnsi="仿宋" w:eastAsia="仿宋" w:cs="仿宋"/>
          <w:b/>
          <w:bCs/>
          <w:color w:val="auto"/>
          <w:sz w:val="24"/>
          <w:szCs w:val="24"/>
          <w:highlight w:val="none"/>
        </w:rPr>
        <w:t>75</w:t>
      </w:r>
      <w:r>
        <w:rPr>
          <w:rFonts w:ascii="仿宋" w:hAnsi="仿宋" w:eastAsia="仿宋" w:cs="仿宋"/>
          <w:b/>
          <w:bCs/>
          <w:color w:val="auto"/>
          <w:sz w:val="24"/>
          <w:szCs w:val="24"/>
          <w:highlight w:val="none"/>
        </w:rPr>
        <w:t>.1</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暂估价计入合同价格。</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75</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42545</wp:posOffset>
                </wp:positionV>
                <wp:extent cx="793750" cy="956310"/>
                <wp:effectExtent l="0" t="0" r="0" b="0"/>
                <wp:wrapNone/>
                <wp:docPr id="117"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793750" cy="956310"/>
                        </a:xfrm>
                        <a:prstGeom prst="rect">
                          <a:avLst/>
                        </a:prstGeom>
                        <a:noFill/>
                        <a:ln>
                          <a:noFill/>
                        </a:ln>
                      </wps:spPr>
                      <wps:txbx>
                        <w:txbxContent>
                          <w:p>
                            <w:pPr>
                              <w:rPr>
                                <w:lang w:eastAsia="zh-CN"/>
                              </w:rPr>
                            </w:pPr>
                            <w:r>
                              <w:rPr>
                                <w:rFonts w:ascii="楷体" w:hAnsi="楷体" w:eastAsia="楷体" w:cs="楷体"/>
                                <w:b/>
                                <w:bCs/>
                                <w:color w:val="000000"/>
                                <w:sz w:val="18"/>
                                <w:szCs w:val="18"/>
                                <w:lang w:eastAsia="zh-CN" w:bidi="ar"/>
                              </w:rPr>
                              <w:t>依法不需要</w:t>
                            </w:r>
                            <w:r>
                              <w:rPr>
                                <w:rFonts w:hint="eastAsia" w:ascii="楷体" w:hAnsi="楷体" w:eastAsia="楷体" w:cs="楷体"/>
                                <w:b/>
                                <w:bCs/>
                                <w:color w:val="000000"/>
                                <w:sz w:val="18"/>
                                <w:szCs w:val="18"/>
                                <w:lang w:eastAsia="zh-CN" w:bidi="ar"/>
                              </w:rPr>
                              <w:t>招标的工程材料和工程设备暂估价的约定</w:t>
                            </w:r>
                          </w:p>
                          <w:p>
                            <w:pPr>
                              <w:rPr>
                                <w:lang w:eastAsia="zh-CN"/>
                              </w:rPr>
                            </w:pPr>
                          </w:p>
                        </w:txbxContent>
                      </wps:txbx>
                      <wps:bodyPr rot="0" vert="horz" wrap="square" lIns="91440" tIns="45720" rIns="91440" bIns="45720" anchor="t" anchorCtr="0" upright="1">
                        <a:noAutofit/>
                      </wps:bodyPr>
                    </wps:wsp>
                  </a:graphicData>
                </a:graphic>
              </wp:anchor>
            </w:drawing>
          </mc:Choice>
          <mc:Fallback>
            <w:pict>
              <v:shape id="文本框 976" o:spid="_x0000_s1026" o:spt="202" type="#_x0000_t202" style="position:absolute;left:0pt;margin-left:-9pt;margin-top:3.35pt;height:75.3pt;width:62.5pt;z-index:251985920;mso-width-relative:page;mso-height-relative:page;" filled="f" stroked="f" coordsize="21600,21600" o:gfxdata="UEsDBAoAAAAAAIdO4kAAAAAAAAAAAAAAAAAEAAAAZHJzL1BLAwQUAAAACACHTuJAzKXaUtYAAAAJ&#10;AQAADwAAAGRycy9kb3ducmV2LnhtbE2PzW7CMBCE75V4B2uRegM7tBBI43Cg6rVV6Y/EzcRLEjVe&#10;R7Eh6dt3OZXbjmY0+02+HV0rLtiHxpOGZK5AIJXeNlRp+Px4ma1BhGjImtYTavjFANticpebzPqB&#10;3vGyj5XgEgqZ0VDH2GVShrJGZ8Lcd0jsnXzvTGTZV9L2ZuBy18qFUivpTEP8oTYd7mosf/Znp+Hr&#10;9XT4flRv1bNbdoMflSS3kVrfTxP1BCLiGP/DcMVndCiY6ejPZINoNcySNW+JGlYpiKuvUtZHPpbp&#10;A8gil7cLij9QSwMEFAAAAAgAh07iQM4cKfAaAgAAGAQAAA4AAABkcnMvZTJvRG9jLnhtbK1TS27b&#10;MBDdF+gdCO5rWY4/tWA5SGOkKJB+gLQHoCnKIipx2CFtyT1Ac4Ouuum+5/I5OqQc1003WXRDkJzh&#10;m/feDBeXXVOznUKnweQ8HQw5U0ZCoc0m558+3rx4yZnzwhSiBqNyvleOXy6fP1u0NlMjqKAuFDIC&#10;MS5rbc4r722WJE5WqhFuAFYZCpaAjfB0xE1SoGgJvamT0XA4TVrAwiJI5RzdrvogPyLiUwChLLVU&#10;K5DbRhnfo6KqhSdJrtLW8WVkW5ZK+vdl6ZRndc5JqY8rFaH9OqzJciGyDQpbaXmkIJ5C4ZGmRmhD&#10;RU9QK+EF26L+B6rREsFB6QcSmqQXEh0hFenwkTd3lbAqaiGrnT2Z7v4frHy3+4BMFzQJ6YwzIxpq&#10;+eH7/eHHr8PPb2w+mwaLWusyyryzlOu7V9BRepTr7C3Iz44ZuK6E2agrRGgrJQqimIaXydnTHscF&#10;kHX7FgqqJLYeIlBXYhP8I0cYoVN79qf2qM4zSZez+cVsQhFJoflkepHG9iUie3hs0fnXChoWNjlH&#10;6n4EF7tb5wMZkT2khFoGbnRdxwmozV8XlBhuIvnAt2fuu3V3NGMNxZ5kIPQDRd+JNhXgV85aGqac&#10;uy9bgYqz+o0hK+bpeBymLx7Gk9mIDngeWZ9HhJEElXPPWb+99v3Ebi3qTUWVevMNXJF9pY7Sgs89&#10;qyNvGpio+DjcYSLPzzHrz4d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pdpS1gAAAAkBAAAP&#10;AAAAAAAAAAEAIAAAACIAAABkcnMvZG93bnJldi54bWxQSwECFAAUAAAACACHTuJAzhwp8BoCAAAY&#10;BAAADgAAAAAAAAABACAAAAAlAQAAZHJzL2Uyb0RvYy54bWxQSwUGAAAAAAYABgBZAQAAsQUAAAAA&#10;">
                <v:fill on="f" focussize="0,0"/>
                <v:stroke on="f"/>
                <v:imagedata o:title=""/>
                <o:lock v:ext="edit" aspectratio="f"/>
                <v:textbox>
                  <w:txbxContent>
                    <w:p>
                      <w:pPr>
                        <w:rPr>
                          <w:lang w:eastAsia="zh-CN"/>
                        </w:rPr>
                      </w:pPr>
                      <w:r>
                        <w:rPr>
                          <w:rFonts w:ascii="楷体" w:hAnsi="楷体" w:eastAsia="楷体" w:cs="楷体"/>
                          <w:b/>
                          <w:bCs/>
                          <w:color w:val="000000"/>
                          <w:sz w:val="18"/>
                          <w:szCs w:val="18"/>
                          <w:lang w:eastAsia="zh-CN" w:bidi="ar"/>
                        </w:rPr>
                        <w:t>依法不需要</w:t>
                      </w:r>
                      <w:r>
                        <w:rPr>
                          <w:rFonts w:hint="eastAsia" w:ascii="楷体" w:hAnsi="楷体" w:eastAsia="楷体" w:cs="楷体"/>
                          <w:b/>
                          <w:bCs/>
                          <w:color w:val="000000"/>
                          <w:sz w:val="18"/>
                          <w:szCs w:val="18"/>
                          <w:lang w:eastAsia="zh-CN" w:bidi="ar"/>
                        </w:rPr>
                        <w:t>招标的工程材料和工程设备暂估价的约定</w:t>
                      </w:r>
                    </w:p>
                    <w:p>
                      <w:pPr>
                        <w:rPr>
                          <w:lang w:eastAsia="zh-CN"/>
                        </w:rPr>
                      </w:pPr>
                    </w:p>
                  </w:txbxContent>
                </v:textbox>
              </v:shape>
            </w:pict>
          </mc:Fallback>
        </mc:AlternateContent>
      </w:r>
      <w:r>
        <w:rPr>
          <w:rFonts w:hint="eastAsia" w:ascii="仿宋" w:hAnsi="仿宋" w:eastAsia="仿宋" w:cs="仿宋"/>
          <w:color w:val="auto"/>
          <w:sz w:val="24"/>
          <w:szCs w:val="24"/>
          <w:highlight w:val="none"/>
        </w:rPr>
        <w:t>发包人在合同价格清单中给定暂估价的工程材料和工程设备，未达到依法必须招标的规模、标准的，由承包人按照第 56 条约定采购。经监理人、造价咨询人确认的工程材料和工程设备价格以及相应的税金等其他费用，应代替暂估价计入合同价格。</w:t>
      </w:r>
    </w:p>
    <w:p>
      <w:pPr>
        <w:pStyle w:val="22"/>
        <w:adjustRightInd w:val="0"/>
        <w:snapToGrid w:val="0"/>
        <w:spacing w:line="360" w:lineRule="auto"/>
        <w:rPr>
          <w:rFonts w:ascii="仿宋" w:hAnsi="仿宋" w:eastAsia="仿宋"/>
          <w:b/>
          <w:bCs/>
          <w:color w:val="auto"/>
          <w:sz w:val="24"/>
          <w:szCs w:val="24"/>
          <w:highlight w:val="none"/>
        </w:rPr>
      </w:pPr>
      <w:bookmarkStart w:id="506" w:name="_Toc27828"/>
      <w:r>
        <w:rPr>
          <w:rFonts w:hint="eastAsia" w:ascii="仿宋" w:hAnsi="仿宋" w:eastAsia="仿宋" w:cs="仿宋"/>
          <w:b/>
          <w:bCs/>
          <w:color w:val="auto"/>
          <w:sz w:val="24"/>
          <w:szCs w:val="24"/>
          <w:highlight w:val="none"/>
        </w:rPr>
        <w:t>75</w:t>
      </w:r>
      <w:r>
        <w:rPr>
          <w:rFonts w:ascii="仿宋" w:hAnsi="仿宋" w:eastAsia="仿宋" w:cs="仿宋"/>
          <w:b/>
          <w:bCs/>
          <w:color w:val="auto"/>
          <w:sz w:val="24"/>
          <w:szCs w:val="24"/>
          <w:highlight w:val="none"/>
        </w:rPr>
        <w:t>.3</w:t>
      </w:r>
      <w:bookmarkEnd w:id="506"/>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986944" behindDoc="0" locked="0" layoutInCell="1" allowOverlap="1">
                <wp:simplePos x="0" y="0"/>
                <wp:positionH relativeFrom="column">
                  <wp:posOffset>-66675</wp:posOffset>
                </wp:positionH>
                <wp:positionV relativeFrom="paragraph">
                  <wp:posOffset>71755</wp:posOffset>
                </wp:positionV>
                <wp:extent cx="764540" cy="863600"/>
                <wp:effectExtent l="0" t="0" r="0" b="0"/>
                <wp:wrapNone/>
                <wp:docPr id="116"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764540" cy="863600"/>
                        </a:xfrm>
                        <a:prstGeom prst="rect">
                          <a:avLst/>
                        </a:prstGeom>
                        <a:noFill/>
                        <a:ln>
                          <a:noFill/>
                        </a:ln>
                      </wps:spPr>
                      <wps:txbx>
                        <w:txbxContent>
                          <w:p>
                            <w:pPr>
                              <w:rPr>
                                <w:lang w:eastAsia="zh-CN"/>
                              </w:rPr>
                            </w:pPr>
                            <w:r>
                              <w:rPr>
                                <w:rFonts w:ascii="楷体" w:hAnsi="楷体" w:eastAsia="楷体" w:cs="楷体"/>
                                <w:b/>
                                <w:bCs/>
                                <w:color w:val="000000"/>
                                <w:sz w:val="18"/>
                                <w:szCs w:val="18"/>
                                <w:lang w:eastAsia="zh-CN" w:bidi="ar"/>
                              </w:rPr>
                              <w:t>依法不需要</w:t>
                            </w:r>
                            <w:r>
                              <w:rPr>
                                <w:rFonts w:hint="eastAsia" w:ascii="楷体" w:hAnsi="楷体" w:eastAsia="楷体" w:cs="楷体"/>
                                <w:b/>
                                <w:bCs/>
                                <w:color w:val="000000"/>
                                <w:sz w:val="18"/>
                                <w:szCs w:val="18"/>
                                <w:lang w:eastAsia="zh-CN" w:bidi="ar"/>
                              </w:rPr>
                              <w:t>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026" o:spt="202" type="#_x0000_t202" style="position:absolute;left:0pt;margin-left:-5.25pt;margin-top:5.65pt;height:68pt;width:60.2pt;z-index:251986944;mso-width-relative:page;mso-height-relative:page;" filled="f" stroked="f" coordsize="21600,21600" o:gfxdata="UEsDBAoAAAAAAIdO4kAAAAAAAAAAAAAAAAAEAAAAZHJzL1BLAwQUAAAACACHTuJATAr07tcAAAAK&#10;AQAADwAAAGRycy9kb3ducmV2LnhtbE2PwW7CMAyG75P2DpEn7QZJB4y1NOWwaddNY4C0W2hMW9E4&#10;VRNo9/Yzp3Gz9X/6/Tlfj64VF+xD40lDMlUgkEpvG6o0bL/fJy8gQjRkTesJNfxigHVxf5ebzPqB&#10;vvCyiZXgEgqZ0VDH2GVShrJGZ8LUd0icHX3vTOS1r6TtzcDlrpVPSj1LZxriC7Xp8LXG8rQ5Ow27&#10;j+PPfq4+qze36AY/KkkulVo/PiRqBSLiGP9huOqzOhTsdPBnskG0GiaJWjDKQTIDcQVUmoI48DBf&#10;zkAWubx9ofgDUEsDBBQAAAAIAIdO4kCFoHApGQIAABgEAAAOAAAAZHJzL2Uyb0RvYy54bWytU81u&#10;EzEQviPxDpbvZJOQJu0qm6o0KkIqP1LhARyvN2ux9pixk93wAPQNOHHhznPlORh70xDKpQculu0Z&#10;f/N934znl51p2Fah12ALPhoMOVNWQqntuuCfPt68OOfMB2FL0YBVBd8pzy8Xz5/NW5erMdTQlAoZ&#10;gVift67gdQguzzIva2WEH4BTloIVoBGBjrjOShQtoZsmGw+H06wFLB2CVN7T7bIP8gMiPgUQqkpL&#10;tQS5McqGHhVVIwJJ8rV2ni8S26pSMryvKq8CawpOSkNaqQjtV3HNFnORr1G4WssDBfEUCo80GaEt&#10;FT1CLUUQbIP6HyijJYKHKgwkmKwXkhwhFaPhI2/uauFU0kJWe3c03f8/WPlu+wGZLmkSRlPOrDDU&#10;8v33+/2PX/uf39jFbBYtap3PKfPOUW7oXkFH6Umud7cgP3tm4boWdq2uEKGtlSiJ4ii+zE6e9jg+&#10;gqzat1BSJbEJkIC6Ck30jxxhhE7t2R3bo7rAJF3OppOzCUUkhc6nL6fD1L5M5A+PHfrwWoFhcVNw&#10;pO4ncLG99SGSEflDSqxl4UY3TZqAxv51QYnxJpGPfHvmoVt1BzNWUO5IBkI/UPSdaFMDfuWspWEq&#10;uP+yEag4a95YsuJiNInEQzpMzmZjOuBpZHUaEVYSVMEDZ/32OvQTu3Go1zVV6s23cEX2VTpJiz73&#10;rA68aWCS4sNwx4k8PaesPx96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CvTu1wAAAAoBAAAP&#10;AAAAAAAAAAEAIAAAACIAAABkcnMvZG93bnJldi54bWxQSwECFAAUAAAACACHTuJAhaBwKRkCAAAY&#10;BAAADgAAAAAAAAABACAAAAAmAQAAZHJzL2Uyb0RvYy54bWxQSwUGAAAAAAYABgBZAQAAsQUAAAAA&#10;">
                <v:fill on="f" focussize="0,0"/>
                <v:stroke on="f"/>
                <v:imagedata o:title=""/>
                <o:lock v:ext="edit" aspectratio="f"/>
                <v:textbox>
                  <w:txbxContent>
                    <w:p>
                      <w:pPr>
                        <w:rPr>
                          <w:lang w:eastAsia="zh-CN"/>
                        </w:rPr>
                      </w:pPr>
                      <w:r>
                        <w:rPr>
                          <w:rFonts w:ascii="楷体" w:hAnsi="楷体" w:eastAsia="楷体" w:cs="楷体"/>
                          <w:b/>
                          <w:bCs/>
                          <w:color w:val="000000"/>
                          <w:sz w:val="18"/>
                          <w:szCs w:val="18"/>
                          <w:lang w:eastAsia="zh-CN" w:bidi="ar"/>
                        </w:rPr>
                        <w:t>依法不需要</w:t>
                      </w:r>
                      <w:r>
                        <w:rPr>
                          <w:rFonts w:hint="eastAsia" w:ascii="楷体" w:hAnsi="楷体" w:eastAsia="楷体" w:cs="楷体"/>
                          <w:b/>
                          <w:bCs/>
                          <w:color w:val="000000"/>
                          <w:sz w:val="18"/>
                          <w:szCs w:val="18"/>
                          <w:lang w:eastAsia="zh-CN" w:bidi="ar"/>
                        </w:rPr>
                        <w:t>招标的专业工程暂估价的约定</w:t>
                      </w:r>
                    </w:p>
                  </w:txbxContent>
                </v:textbox>
              </v:shape>
            </w:pict>
          </mc:Fallback>
        </mc:AlternateContent>
      </w:r>
      <w:r>
        <w:rPr>
          <w:rFonts w:hint="eastAsia" w:ascii="仿宋" w:hAnsi="仿宋" w:eastAsia="仿宋" w:cs="仿宋"/>
          <w:color w:val="auto"/>
          <w:sz w:val="24"/>
          <w:szCs w:val="24"/>
          <w:highlight w:val="none"/>
        </w:rPr>
        <w:t>发包人在合同价格清单中给定暂估价的专业工程，未达到依法必须招标的规模及标准的，除专用条款另有约定外，由造价咨询人与承包人按照第 79.3 款约定确定专业工程价格。经确认的专业工程价格以及相应的税金等其他费用，应代替暂估价计入合同价格。</w:t>
      </w:r>
    </w:p>
    <w:p>
      <w:pPr>
        <w:pStyle w:val="22"/>
        <w:tabs>
          <w:tab w:val="left" w:pos="3038"/>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07" w:name="_Toc47694352"/>
      <w:bookmarkStart w:id="508" w:name="_Toc20064"/>
      <w:bookmarkStart w:id="509" w:name="_Toc22602"/>
      <w:r>
        <w:rPr>
          <w:rFonts w:hint="eastAsia" w:ascii="仿宋" w:hAnsi="仿宋" w:eastAsia="仿宋" w:cs="仿宋"/>
          <w:bCs w:val="0"/>
          <w:color w:val="auto"/>
          <w:sz w:val="24"/>
          <w:szCs w:val="24"/>
          <w:highlight w:val="none"/>
        </w:rPr>
        <w:t>★76</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提前竣工奖与误期赔偿费</w:t>
      </w:r>
      <w:bookmarkEnd w:id="507"/>
      <w:bookmarkEnd w:id="508"/>
      <w:bookmarkEnd w:id="509"/>
    </w:p>
    <w:p>
      <w:pPr>
        <w:rPr>
          <w:rFonts w:ascii="仿宋" w:hAnsi="仿宋" w:eastAsia="仿宋" w:cs="仿宋"/>
          <w:b/>
          <w:bCs/>
          <w:color w:val="auto"/>
          <w:highlight w:val="none"/>
          <w:lang w:eastAsia="zh-CN"/>
        </w:rPr>
      </w:pPr>
      <w:bookmarkStart w:id="510"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510"/>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115"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026" o:spt="202" type="#_x0000_t202" style="position:absolute;left:0pt;margin-left:-9pt;margin-top:2.4pt;height:31.9pt;width:81pt;z-index:251987968;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mT3hTxkCAAAZBAAADgAAAGRycy9lMm9Eb2MueG1srVPNjtMw&#10;EL4j8Q6W7zRJaWk3arpatlqEtPxICw/gOk5jkXjM2G1SHgDegBMX7jxXn4Ox0y1lueyBi2V7xt98&#10;3zfjxWXfNmyn0GkwBc9GKWfKSCi12RT844ebZ3POnBemFA0YVfC9cvxy+fTJorO5GkMNTamQEYhx&#10;eWcLXntv8yRxslatcCOwylCwAmyFpyNukhJFR+htk4zT9EXSAZYWQSrn6HY1BPkRER8DCFWlpVqB&#10;3LbK+AEVVSM8SXK1to4vI9uqUtK/qyqnPGsKTkp9XKkI7ddhTZYLkW9Q2FrLIwXxGAoPNLVCGyp6&#10;gloJL9gW9T9QrZYIDio/ktAmg5DoCKnI0gfe3NXCqqiFrHb2ZLr7f7Dy7e49Ml3SJGRTzoxoqeWH&#10;798OP34dfn5lF7N5sKizLqfMO0u5vn8JPaVHuc7egvzkmIHrWpiNukKErlaiJIpZeJmcPR1wXABZ&#10;d2+gpEpi6yEC9RW2wT9yhBE6tWd/ao/qPZOhZDqez1IKSYpN0mn2PPYvEfn9a4vOv1LQsrApOFL7&#10;I7rY3Tof2Ij8PiUUM3CjmyaOQGP+uqDEcBPZB8IDdd+v+6Mbayj3pANhmCj6T7SpAb9w1tE0Fdx9&#10;3gpUnDWvDXlxkU0mYfziYTKdjemA55H1eUQYSVAF95wN22s/jOzWot7UVGlw38AV+VfpKC0YPbA6&#10;8qaJiYqP0x1G8vwcs/7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Q0RG9UAAAAIAQAADwAA&#10;AAAAAAABACAAAAAiAAAAZHJzL2Rvd25yZXYueG1sUEsBAhQAFAAAAAgAh07iQJk94U8ZAgAAGQQA&#10;AA4AAAAAAAAAAQAgAAAAJAEAAGRycy9lMm9Eb2MueG1sUEsFBgAAAAAGAAYAWQEAAK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 5%。提前竣工奖列入竣工结算文件中，与结算款一并支付。</w:t>
      </w:r>
    </w:p>
    <w:p>
      <w:pPr>
        <w:rPr>
          <w:rFonts w:ascii="仿宋" w:hAnsi="仿宋" w:eastAsia="仿宋"/>
          <w:b/>
          <w:bCs/>
          <w:color w:val="auto"/>
          <w:highlight w:val="none"/>
          <w:lang w:eastAsia="zh-CN"/>
        </w:rPr>
      </w:pPr>
      <w:bookmarkStart w:id="511"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5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460" w:lineRule="exact"/>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114" name="文本框 979"/>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026" o:spt="202" type="#_x0000_t202" style="position:absolute;left:0pt;margin-left:-9pt;margin-top:1.3pt;height:29.75pt;width:72pt;z-index:251988992;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CV9Li+FwIAABgEAAAOAAAAZHJzL2Uyb0RvYy54bWytU0FuEzEU&#10;3SNxB8t7MklISTPKpCqNipAKVCocwPF4MhZjf/PtZCYcAG7Aig37nivn4NuThlA2XbAZ2f7f77/3&#10;/GZ+0ZmGbRV6Dbbgo8GQM2UllNquC/7p4/WLc858ELYUDVhV8J3y/GLx/Nm8dbkaQw1NqZARiPV5&#10;6wpeh+DyLPOyVkb4AThlqVgBGhFoi+usRNESummy8XD4KmsBS4cglfd0uuyL/ICITwGEqtJSLUFu&#10;jLKhR0XViECSfK2d54vEtqqUDB+qyqvAmoKT0pC+NITWq/jNFnORr1G4WssDBfEUCo80GaEtDT1C&#10;LUUQbIP6HyijJYKHKgwkmKwXkhwhFaPhI2/uauFU0kJWe3c03f8/WPl+e4tMl5SE0YQzKww9+f7H&#10;9/3P+/2vb2w2nUWLWudz6rxz1Bu619BRe5Lr3Q3Iz55ZuKqFXatLRGhrJUqiOIo3s5OrPY6PIKv2&#10;HZQ0SWwCJKCuQhP9I0cYodPz7I7Po7rAJB3ORpPJkCqSSi+n0/PxWZog8ofLDn14o8CwuCg40usn&#10;cLG98SGSEflDS5xl4Vo3TUpAY/86oMZ4kshHvj3z0K26gxkrKHckA6EPFP1OtKgBv3LWUpgK7r9s&#10;BCrOmreWrEjMKX1pMzmbjkkFnlZWpxVhJUEVPHDWL69Cn9iNQ72uaVJvvoVLsq/SSVr0uWd14E2B&#10;SYoP4Y6JPN2nrj8/9O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TSSmdQAAAAIAQAADwAAAAAA&#10;AAABACAAAAAiAAAAZHJzL2Rvd25yZXYueG1sUEsBAhQAFAAAAAgAh07iQJX0uL4XAgAAGAQAAA4A&#10;AAAAAAAAAQAgAAAAIwEAAGRycy9lMm9Eb2MueG1sUEsFBgAAAAAGAAYAWQEAAKw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rPr>
        <w:t xml:space="preserve">合同当事人应在专用条款中约定勘察（如果有）、设计、BIM 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 5%。误期赔偿费列入进度支付文件或竣工结算文件中，在进度款或结算款中扣除。 </w:t>
      </w:r>
    </w:p>
    <w:p>
      <w:pPr>
        <w:pStyle w:val="22"/>
        <w:widowControl w:val="0"/>
        <w:adjustRightInd w:val="0"/>
        <w:snapToGrid w:val="0"/>
        <w:spacing w:line="460" w:lineRule="exact"/>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12" w:name="_Toc26841"/>
      <w:bookmarkStart w:id="513" w:name="_Toc47694353"/>
      <w:bookmarkStart w:id="514" w:name="_Toc4039"/>
      <w:r>
        <w:rPr>
          <w:rFonts w:hint="eastAsia" w:ascii="仿宋" w:hAnsi="仿宋" w:eastAsia="仿宋" w:cs="仿宋"/>
          <w:bCs w:val="0"/>
          <w:color w:val="auto"/>
          <w:sz w:val="24"/>
          <w:szCs w:val="24"/>
          <w:highlight w:val="none"/>
        </w:rPr>
        <w:t>★77</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优质优价费用</w:t>
      </w:r>
      <w:bookmarkEnd w:id="512"/>
      <w:bookmarkEnd w:id="513"/>
      <w:bookmarkEnd w:id="514"/>
    </w:p>
    <w:p>
      <w:pPr>
        <w:rPr>
          <w:rFonts w:ascii="仿宋" w:hAnsi="仿宋" w:eastAsia="仿宋" w:cs="仿宋"/>
          <w:b/>
          <w:bCs/>
          <w:color w:val="auto"/>
          <w:highlight w:val="none"/>
          <w:lang w:eastAsia="zh-CN"/>
        </w:rPr>
      </w:pPr>
      <w:bookmarkStart w:id="515"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515"/>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113"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优质优价费用的约定</w:t>
                            </w:r>
                          </w:p>
                        </w:txbxContent>
                      </wps:txbx>
                      <wps:bodyPr rot="0" vert="horz" wrap="square" lIns="91440" tIns="45720" rIns="91440" bIns="45720" anchor="t" anchorCtr="0" upright="1">
                        <a:noAutofit/>
                      </wps:bodyPr>
                    </wps:wsp>
                  </a:graphicData>
                </a:graphic>
              </wp:anchor>
            </w:drawing>
          </mc:Choice>
          <mc:Fallback>
            <w:pict>
              <v:shape id="文本框 980" o:spid="_x0000_s1026" o:spt="202" type="#_x0000_t202" style="position:absolute;left:0pt;margin-left:-9pt;margin-top:2.4pt;height:41.3pt;width:81pt;z-index:251990016;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CwzfsMGgIAABkEAAAOAAAAZHJzL2Uyb0RvYy54bWytU0tu2zAQ&#10;3RfoHQjua0mu3TiC5SCNkaJA+gHSHoCmKIuoxGGHtCX3AM0Nuuqm+57L5+iQchw33WTRDUFyhm/e&#10;ezOcX/Rtw7YKnQZT8GyUcqaMhFKbdcE/f7p+MePMeWFK0YBRBd8pxy8Wz5/NO5urMdTQlAoZgRiX&#10;d7bgtfc2TxIna9UKNwKrDAUrwFZ4OuI6KVF0hN42yThNXyUdYGkRpHKObpdDkB8Q8SmAUFVaqiXI&#10;TauMH1BRNcKTJFdr6/gisq0qJf2HqnLKs6bgpNTHlYrQfhXWZDEX+RqFrbU8UBBPofBIUyu0oaJH&#10;qKXwgm1Q/wPVaongoPIjCW0yCImOkIosfeTNbS2silrIamePprv/Byvfbz8i0yVNQvaSMyNaavn+&#10;x93+5+/9r+/sfBYt6qzLKfPWUq7vX0NP6VGuszcgvzhm4KoWZq0uEaGrlSiJYhbMTU6ehqa43AWQ&#10;VfcOSqokNh4iUF9hG/wjRxihU3t2x/ao3jMZSqbj2VlKIUmx6XgyzSK5ROT3ry06/0ZBy8Km4Ejt&#10;j+hie+N8YCPy+5RQzMC1bpo4Ao3564ISw01kHwgP1H2/6ik7qFhBuSMdCMNE0X+iTQ34jbOOpqng&#10;7utGoOKseWvIi/NsMgnjFw+T6dmYDngaWZ1GhJEEVXDP2bC98sPIbizqdU2VBvcNXJJ/lY7SHlgd&#10;eNPERMWH6Q4jeXqOWQ8/ev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Xf1wNQAAAAIAQAADwAA&#10;AAAAAAABACAAAAAiAAAAZHJzL2Rvd25yZXYueG1sUEsBAhQAFAAAAAgAh07iQLDN+wwaAgAAGQQA&#10;AA4AAAAAAAAAAQAgAAAAIwEAAGRycy9lMm9Eb2MueG1sUEsFBgAAAAAGAAYAWQEAAK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优质优价费用的约定</w:t>
                      </w:r>
                    </w:p>
                  </w:txbxContent>
                </v:textbox>
              </v:shape>
            </w:pict>
          </mc:Fallback>
        </mc:AlternateContent>
      </w:r>
      <w:r>
        <w:rPr>
          <w:rFonts w:hint="eastAsia" w:ascii="仿宋" w:hAnsi="仿宋" w:eastAsia="仿宋" w:cs="仿宋"/>
          <w:color w:val="auto"/>
          <w:sz w:val="24"/>
          <w:szCs w:val="24"/>
          <w:highlight w:val="none"/>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pPr>
        <w:spacing w:line="360" w:lineRule="auto"/>
        <w:rPr>
          <w:rFonts w:ascii="仿宋" w:hAnsi="仿宋" w:eastAsia="仿宋"/>
          <w:b/>
          <w:bCs/>
          <w:color w:val="auto"/>
          <w:highlight w:val="none"/>
          <w:lang w:eastAsia="zh-CN"/>
        </w:rPr>
      </w:pPr>
      <w:bookmarkStart w:id="516"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5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12065</wp:posOffset>
                </wp:positionV>
                <wp:extent cx="914400" cy="621030"/>
                <wp:effectExtent l="0" t="0" r="0" b="0"/>
                <wp:wrapNone/>
                <wp:docPr id="112"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026" o:spt="202" type="#_x0000_t202" style="position:absolute;left:0pt;margin-left:-9pt;margin-top:0.95pt;height:48.9pt;width:72pt;z-index:251991040;mso-width-relative:page;mso-height-relative:page;" filled="f" stroked="f" coordsize="21600,21600" o:gfxdata="UEsDBAoAAAAAAIdO4kAAAAAAAAAAAAAAAAAEAAAAZHJzL1BLAwQUAAAACACHTuJAw4ZYDNUAAAAI&#10;AQAADwAAAGRycy9kb3ducmV2LnhtbE2Py07DMBBF90j8gzVI7Fo7FZQmZNIFiC2I8pDYufE0iYjH&#10;Uew24e+ZrmB5dUZ3zi23s+/VicbYBUbIlgYUcR1cxw3C+9vTYgMqJsvO9oEJ4YcibKvLi9IWLkz8&#10;SqddapSUcCwsQpvSUGgd65a8jcswEAs7hNHbJHFstBvtJOW+1ytj1trbjuVDawd6aKn+3h09wsfz&#10;4evzxrw0j/52mMJsNPtcI15fZeYeVKI5/R3DWV/UoRKnfTiyi6pHWGQb2ZIE5KDOfLWWvEfI8zvQ&#10;Van/D6h+AVBLAwQUAAAACACHTuJAh9YFxRYCAAAYBAAADgAAAGRycy9lMm9Eb2MueG1srVPBctMw&#10;EL0zwz9odCe2QyitJ06nNFOGmUKZKXyAIsuxBksrVkrs8AH0Dzhx4d7vynewlt0QyqUHLhpJu3r7&#10;3tvV/LwzDdsq9BpswbNJypmyEkpt1wX//OnqxSlnPghbigasKvhOeX6+eP5s3rpcTaGGplTICMT6&#10;vHUFr0NweZJ4WSsj/AScshSsAI0IdMR1UqJoCd00yTRNT5IWsHQIUnlPt8shyEdEfAogVJWWagly&#10;Y5QNAyqqRgSS5GvtPF9EtlWlZLipKq8CawpOSkNcqQjtV/2aLOYiX6NwtZYjBfEUCo80GaEtFT1A&#10;LUUQbIP6HyijJYKHKkwkmGQQEh0hFVn6yJvbWjgVtZDV3h1M9/8PVn7YfkSmS5qEbMqZFYZavv9x&#10;t/95v//1nZ2dZr1FrfM5Zd46yg3dG+goPcr17hrkF88sXNbCrtUFIrS1EiVRjC+To6cDju9BVu17&#10;KKmS2ASIQF2FpvePHGGETu3ZHdqjusAkXZ5ls1lKEUmhk2mWvoztS0T+8NihD28VGNZvCo7U/Qgu&#10;ttc+kAxKfUjpa1m40k0TJ6Cxf11QYn8Tyfd8B+ahW3WjGSsodyQDYRgo+k60qQG/cdbSMBXcf90I&#10;VJw17yxZEZnT9MXD7NXrKanA48jqOCKsJKiCB86G7WUYJnbjUK9rqjSYb+GC7Kt0lNb7PLAaedPA&#10;RMXjcPcTeXyOWX8+9O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4ZYDNUAAAAIAQAADwAAAAAA&#10;AAABACAAAAAiAAAAZHJzL2Rvd25yZXYueG1sUEsBAhQAFAAAAAgAh07iQIfWBcUWAgAAGAQAAA4A&#10;AAAAAAAAAQAgAAAAJAEAAGRycy9lMm9Eb2MueG1sUEsFBgAAAAAGAAYAWQEAAKw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优质优价费用计提与支付</w:t>
                      </w:r>
                    </w:p>
                  </w:txbxContent>
                </v:textbox>
              </v:shape>
            </w:pict>
          </mc:Fallback>
        </mc:AlternateContent>
      </w:r>
      <w:r>
        <w:rPr>
          <w:rFonts w:hint="eastAsia" w:ascii="仿宋" w:hAnsi="仿宋" w:eastAsia="仿宋" w:cs="仿宋"/>
          <w:color w:val="auto"/>
          <w:sz w:val="24"/>
          <w:szCs w:val="24"/>
          <w:highlight w:val="none"/>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 28 天内支付；超过约定时间后获得的，发包人有权不予支付。</w:t>
      </w:r>
    </w:p>
    <w:p>
      <w:pPr>
        <w:pStyle w:val="22"/>
        <w:tabs>
          <w:tab w:val="left" w:pos="348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17" w:name="_Toc469384053"/>
      <w:bookmarkStart w:id="518" w:name="_Toc13698"/>
      <w:bookmarkStart w:id="519" w:name="_Toc47694354"/>
      <w:bookmarkStart w:id="520" w:name="_Toc13863"/>
      <w:r>
        <w:rPr>
          <w:rFonts w:hint="eastAsia" w:ascii="仿宋" w:hAnsi="仿宋" w:eastAsia="仿宋" w:cs="仿宋"/>
          <w:bCs w:val="0"/>
          <w:color w:val="auto"/>
          <w:sz w:val="24"/>
          <w:szCs w:val="24"/>
          <w:highlight w:val="none"/>
        </w:rPr>
        <w:t>★78</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后继法律变化</w:t>
      </w:r>
      <w:bookmarkEnd w:id="517"/>
      <w:r>
        <w:rPr>
          <w:rFonts w:hint="eastAsia" w:ascii="仿宋" w:hAnsi="仿宋" w:eastAsia="仿宋" w:cs="仿宋"/>
          <w:bCs w:val="0"/>
          <w:color w:val="auto"/>
          <w:sz w:val="24"/>
          <w:szCs w:val="24"/>
          <w:highlight w:val="none"/>
        </w:rPr>
        <w:t>引起的价格调整</w:t>
      </w:r>
      <w:bookmarkEnd w:id="518"/>
      <w:bookmarkEnd w:id="519"/>
      <w:bookmarkEnd w:id="520"/>
    </w:p>
    <w:p>
      <w:pPr>
        <w:rPr>
          <w:rFonts w:ascii="仿宋" w:hAnsi="仿宋" w:eastAsia="仿宋" w:cs="仿宋"/>
          <w:b/>
          <w:bCs/>
          <w:color w:val="auto"/>
          <w:highlight w:val="none"/>
          <w:lang w:eastAsia="zh-CN"/>
        </w:rPr>
      </w:pPr>
      <w:bookmarkStart w:id="521" w:name="_Toc24565"/>
      <w:r>
        <w:rPr>
          <w:color w:val="auto"/>
          <w:highlight w:val="none"/>
          <w:lang w:eastAsia="zh-CN" w:bidi="ar-SA"/>
        </w:rPr>
        <mc:AlternateContent>
          <mc:Choice Requires="wps">
            <w:drawing>
              <wp:anchor distT="0" distB="0" distL="114300" distR="114300" simplePos="0" relativeHeight="252085248"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111" name="文本框 986"/>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026" o:spt="202" type="#_x0000_t202" style="position:absolute;left:0pt;margin-left:-10.5pt;margin-top:21.55pt;height:48.75pt;width:72pt;z-index:252085248;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Avr3IJFwIAABgEAAAOAAAAZHJzL2Uyb0RvYy54bWytU0tu&#10;2zAQ3RfoHQjua1mG48aC5SCNkaJA+gHSHoCmKIuoyGGHtKX0AO0Nsuqm+57L5+iQclw33WTRjUBy&#10;hm/ee3xaXPSmZTuFXoMteT4ac6ashErbTck/fbx+cc6ZD8JWogWrSn6nPL9YPn+26FyhJtBAWylk&#10;BGJ90bmSNyG4Isu8bJQRfgROWSrWgEYE2uImq1B0hG7abDIez7IOsHIIUnlPp6uhyA+I+BRAqGst&#10;1Qrk1igbBlRUrQgkyTfaeb5MbOtayfC+rr0KrC05KQ3pS0NovY7fbLkQxQaFa7Q8UBBPofBIkxHa&#10;0tAj1EoEwbao/4EyWiJ4qMNIgskGIckRUpGPH3lz2winkhay2ruj6f7/wcp3uw/IdEVJyHPOrDD0&#10;5Pv77/sfv/Y/v7H5+Sxa1DlfUOeto97Qv4Ke2pNc725AfvbMwlUj7EZdIkLXKFERxTzezE6uDjg+&#10;gqy7t1DRJLENkID6Gk30jxxhhE7Pc3d8HtUHJulwnk+nY6pIKs3yeT45SxNE8XDZoQ+vFRgWFyVH&#10;ev0ELnY3PkQyonhoibMsXOu2TQlo7V8H1BhPEvnId2Ae+nV/MGMN1R3JQBgCRb8TLRrAr5x1FKaS&#10;+y9bgYqz9o0lKxJzSl/aTM9eTkgFnlbWpxVhJUGVPHA2LK/CkNitQ71paNJgvoVLsq/WSVr0eWB1&#10;4E2BSYoP4Y6JPN2nrj8/9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3YAHNcAAAAKAQAADwAA&#10;AAAAAAABACAAAAAiAAAAZHJzL2Rvd25yZXYueG1sUEsBAhQAFAAAAAgAh07iQC+vcgkXAgAAGAQA&#10;AA4AAAAAAAAAAQAgAAAAJgEAAGRycy9lMm9Eb2MueG1sUEsFBgAAAAAGAAYAWQEAAK8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521"/>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合同履行期间，出现国家或省颁布的法律和政策在合同工程基准日期后发生变化，且因执行上述法律和政策引起除第 82 条约定以外的合同价格增减事项的，合同双方当事人应调整合同价格。</w:t>
      </w:r>
    </w:p>
    <w:p>
      <w:pPr>
        <w:spacing w:line="360" w:lineRule="auto"/>
        <w:rPr>
          <w:rFonts w:ascii="仿宋" w:hAnsi="仿宋" w:eastAsia="仿宋" w:cs="仿宋"/>
          <w:b/>
          <w:bCs/>
          <w:color w:val="auto"/>
          <w:highlight w:val="none"/>
          <w:u w:val="dotted"/>
          <w:lang w:eastAsia="zh-CN"/>
        </w:rPr>
      </w:pPr>
      <w:bookmarkStart w:id="522"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52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10" name="文本框 987"/>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026" o:spt="202" type="#_x0000_t202" style="position:absolute;left:0pt;margin-left:-9pt;margin-top:1.25pt;height:48.75pt;width:72pt;z-index:25199206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wMUxvBYCAAAYBAAADgAAAGRycy9lMm9Eb2MueG1srVPLjtMw&#10;FN0j8Q+W9zRN1Xk0ajoaphqENDykgQ9wHaexiH3NtdukfAD8ASs27PmufgfXTqeUYTMLNpHte33u&#10;Occn86vetGyr0GuwJc9HY86UlVBpuy75xw+3Ly4580HYSrRgVcl3yvOrxfNn884VagINtJVCRiDW&#10;F50reROCK7LMy0YZ4UfglKViDWhEoC2uswpFR+imzSbj8XnWAVYOQSrv6XQ5FPkBEZ8CCHWtpVqC&#10;3Bhlw4CKqhWBJPlGO88XiW1dKxne1bVXgbUlJ6UhfWkIrVfxmy3molijcI2WBwriKRQeaTJCWxp6&#10;hFqKINgG9T9QRksED3UYSTDZICQ5Qiry8SNv7hvhVNJCVnt3NN3/P1j5dvsema4oCTl5YoWhJ99/&#10;/7b/8Wv/8yubXV5EizrnC+q8d9Qb+pfQU3uS690dyE+eWbhphF2ra0ToGiUqopjHm9nJ1QHHR5BV&#10;9wYqmiQ2ARJQX6OJ/pEjjNCJyu74PKoPTNLhLJ9Ox1SRVDrPZ/nkLE0QxcNlhz68UmBYXJQc6fUT&#10;uNje+RDJiOKhJc6ycKvbNiWgtX8dUGM8SeQj34F56Ff9wYwVVDuSgTAEin4nWjSAXzjrKEwl9583&#10;AhVn7WtLViTmlL60mZ5dTEgFnlZWpxVhJUGVPHA2LG/CkNiNQ71uaNJgvoVrsq/WSVr0eWB14E2B&#10;SYoP4Y6JPN2nrj8/9O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8gMB9UAAAAJAQAADwAAAAAA&#10;AAABACAAAAAiAAAAZHJzL2Rvd25yZXYueG1sUEsBAhQAFAAAAAgAh07iQMDFMbwWAgAAGAQAAA4A&#10;AAAAAAAAAQAgAAAAJAEAAGRycy9lMm9Eb2MueG1sUEsFBgAAAAAGAAYAWQEAAKw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rPr>
        <w:t>发生第78</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款情况的，应根据合同工程实际情况，按照上述法律和政策规定计算调整的合同价格。</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23" w:name="_Toc26103"/>
      <w:bookmarkStart w:id="524" w:name="_Toc47694355"/>
      <w:bookmarkStart w:id="525" w:name="_Toc20666"/>
      <w:r>
        <w:rPr>
          <w:rFonts w:hint="eastAsia" w:ascii="仿宋" w:hAnsi="仿宋" w:eastAsia="仿宋" w:cs="仿宋"/>
          <w:bCs w:val="0"/>
          <w:color w:val="auto"/>
          <w:sz w:val="24"/>
          <w:szCs w:val="24"/>
          <w:highlight w:val="none"/>
        </w:rPr>
        <w:t>★79</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 xml:space="preserve"> 可调价变更定价</w:t>
      </w:r>
      <w:bookmarkEnd w:id="523"/>
      <w:bookmarkEnd w:id="524"/>
      <w:bookmarkEnd w:id="525"/>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2113920" behindDoc="0" locked="0" layoutInCell="1" allowOverlap="1">
                <wp:simplePos x="0" y="0"/>
                <wp:positionH relativeFrom="column">
                  <wp:posOffset>-133350</wp:posOffset>
                </wp:positionH>
                <wp:positionV relativeFrom="paragraph">
                  <wp:posOffset>266065</wp:posOffset>
                </wp:positionV>
                <wp:extent cx="1028700" cy="495300"/>
                <wp:effectExtent l="0" t="0" r="0" b="0"/>
                <wp:wrapNone/>
                <wp:docPr id="109"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026" o:spt="202" type="#_x0000_t202" style="position:absolute;left:0pt;margin-left:-10.5pt;margin-top:20.95pt;height:39pt;width:81pt;z-index:252113920;mso-width-relative:page;mso-height-relative:page;" filled="f" stroked="f" coordsize="21600,21600" o:gfxdata="UEsDBAoAAAAAAIdO4kAAAAAAAAAAAAAAAAAEAAAAZHJzL1BLAwQUAAAACACHTuJAwyKLedYAAAAK&#10;AQAADwAAAGRycy9kb3ducmV2LnhtbE2PzU7DMBCE70i8g7WVuLW2q4BIyKYHEFcQ5Ufi5sbbJGq8&#10;jmK3CW+Pc4Lb7s5o9ptyN7teXGgMnWcEvVEgiGtvO24QPt6f1/cgQjRsTe+ZEH4owK66vipNYf3E&#10;b3TZx0akEA6FQWhjHAopQ92SM2HjB+KkHf3oTEzr2Eg7mimFu15ulbqTznScPrRmoMeW6tP+7BA+&#10;X47fX5l6bZ7c7TD5WUl2uUS8WWn1ACLSHP/MsOAndKgS08Gf2QbRI6y3OnWJCJnOQSyGbDkc0qDz&#10;HGRVyv8Vql9QSwMEFAAAAAgAh07iQGwSoh0YAgAAGQQAAA4AAABkcnMvZTJvRG9jLnhtbK1TS27b&#10;MBDdF+gdCO5rya7dRILlII2RokD6AdIegKYoi6jEYYe0JfcAzQ266qb7nsvn6JByHDfdZNENMeQM&#10;37z3OJxf9G3DtgqdBlPw8SjlTBkJpTbrgn/+dP3inDPnhSlFA0YVfKccv1g8fzbvbK4mUENTKmQE&#10;Ylze2YLX3ts8SZysVSvcCKwylKwAW+Fpi+ukRNERetskkzR9lXSApUWQyjk6XQ5JfkDEpwBCVWmp&#10;liA3rTJ+QEXVCE+SXK2t44vItqqU9B+qyinPmoKTUh9XakLxKqzJYi7yNQpba3mgIJ5C4ZGmVmhD&#10;TY9QS+EF26D+B6rVEsFB5UcS2mQQEh0hFeP0kTe3tbAqaiGrnT2a7v4frHy//YhMlzQJacaZES09&#10;+f7H3f7n7/2v7yzLZsGizrqcKm8t1fr+NfRUHuU6ewPyi2MGrmph1uoSEbpaiZIojsPN5OTqgOMC&#10;yKp7ByV1EhsPEaivsA3+kSOM0Ol5dsfnUb1nMrRMJ+dnKaUk5abZ7CXFoYXI729bdP6NgpaFoOBI&#10;zx/RxfbG+aH0viQ0M3Ctm4bORd6Yvw4IM5xE9oHwQN33q56qg6QVlDvSgTBMFP0nCmrAb5x1NE0F&#10;d183AhVnzVtDXmTj6TSMX9xMZ2cT2uBpZnWaEUYSVME9Z0N45YeR3VjU65o6De4buCT/Kh2lPbA6&#10;8KaJieYcpjuM5Ok+Vj386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yKLedYAAAAKAQAADwAA&#10;AAAAAAABACAAAAAiAAAAZHJzL2Rvd25yZXYueG1sUEsBAhQAFAAAAAgAh07iQGwSoh0YAgAAGQQA&#10;AA4AAAAAAAAAAQAgAAAAJQEAAGRycy9lMm9Eb2MueG1sUEsFBgAAAAAGAAYAWQEAAK8FAAAAAA==&#10;">
                <v:fill on="f" focussize="0,0"/>
                <v:stroke on="f"/>
                <v:imagedata o:title=""/>
                <o:lock v:ext="edit" aspectratio="f"/>
                <v:textbo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可调价工程变更的价款调整</w:t>
                      </w:r>
                    </w:p>
                  </w:txbxContent>
                </v:textbox>
              </v:shape>
            </w:pict>
          </mc:Fallback>
        </mc:AlternateContent>
      </w:r>
      <w:r>
        <w:rPr>
          <w:rFonts w:hint="eastAsia" w:ascii="仿宋" w:hAnsi="仿宋" w:eastAsia="仿宋" w:cs="仿宋"/>
          <w:b/>
          <w:bCs/>
          <w:color w:val="auto"/>
          <w:sz w:val="24"/>
          <w:szCs w:val="24"/>
          <w:highlight w:val="none"/>
        </w:rPr>
        <w:t>79</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合同履行期间，出现第63条工程变更事项且符合第69.3款可调价条件的，合同双方当事人应调整合同价格。</w:t>
      </w:r>
    </w:p>
    <w:p>
      <w:pPr>
        <w:spacing w:line="360" w:lineRule="auto"/>
        <w:rPr>
          <w:rFonts w:ascii="仿宋" w:hAnsi="仿宋" w:eastAsia="仿宋" w:cs="仿宋"/>
          <w:b/>
          <w:bCs/>
          <w:color w:val="auto"/>
          <w:highlight w:val="none"/>
          <w:lang w:eastAsia="zh-CN"/>
        </w:rPr>
      </w:pPr>
      <w:bookmarkStart w:id="526" w:name="_Toc18705"/>
      <w:r>
        <w:rPr>
          <w:rFonts w:hint="eastAsia" w:ascii="仿宋" w:hAnsi="仿宋" w:eastAsia="仿宋" w:cs="仿宋"/>
          <w:b/>
          <w:bCs/>
          <w:color w:val="auto"/>
          <w:highlight w:val="none"/>
          <w:lang w:eastAsia="zh-CN"/>
        </w:rPr>
        <w:t>79.2</w:t>
      </w:r>
      <w:bookmarkEnd w:id="5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11289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108" name="文本框 1328"/>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026" o:spt="202" type="#_x0000_t202" style="position:absolute;left:0pt;margin-left:-9pt;margin-top:0.5pt;height:46.7pt;width:72pt;z-index:25211289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cM2S3RgCAAAZBAAADgAAAGRycy9lMm9Eb2MueG1srVPNbhMx&#10;EL4j8Q6W72Q3aQrNKpuqNCpCKj9S4QEcrzdrsfaYsZPd8ADwBpy4cOe58hyMvWkI5dIDF8v2jL/5&#10;vm/G88vetGyr0GuwJR+Pcs6UlVBpuy75xw83zy4480HYSrRgVcl3yvPLxdMn884VagINtJVCRiDW&#10;F50reROCK7LMy0YZ4UfglKVgDWhEoCOuswpFR+imzSZ5/jzrACuHIJX3dLscgvyAiI8BhLrWUi1B&#10;boyyYUBF1YpAknyjneeLxLaulQzv6tqrwNqSk9KQVipC+1Vcs8VcFGsUrtHyQEE8hsIDTUZoS0WP&#10;UEsRBNug/gfKaIngoQ4jCSYbhCRHSMU4f+DNXSOcSlrIau+Opvv/Byvfbt8j0xVNQk6Nt8JQy/ff&#10;v+1//Nr//MrGZ5OL6FHnfEGpd46SQ/8SespPer27BfnJMwvXjbBrdYUIXaNERRzH8WV28nTA8RFk&#10;1b2BikqJTYAE1NdoooFkCSN06s/u2B/VBybpcjaeTnOKSAqdz87yWepfJor7xw59eKXAsLgpOVL7&#10;E7jY3voQyYjiPiXWsnCj2zaNQGv/uqDEeJPIR74D89Cv+oMZK6h2JANhmCj6T7RpAL9w1tE0ldx/&#10;3ghUnLWvLVmRmNP4pcP0/MWEVOBpZHUaEVYSVMkDZ8P2Ogwju3Go1w1VGsy3cEX21TpJiz4PrA68&#10;aWKS4sN0x5E8PaesPz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Y4/81QAAAAgBAAAPAAAA&#10;AAAAAAEAIAAAACIAAABkcnMvZG93bnJldi54bWxQSwECFAAUAAAACACHTuJAcM2S3RgCAAAZBAAA&#10;DgAAAAAAAAABACAAAAAkAQAAZHJzL2Uyb0RvYy54bWxQSwUGAAAAAAYABgBZAQAArgUAAAAA&#10;">
                <v:fill on="f" focussize="0,0"/>
                <v:stroke on="f"/>
                <v:imagedata o:title=""/>
                <o:lock v:ext="edit" aspectratio="f"/>
                <v:textbo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可调价变更工作项目的定价</w:t>
                      </w:r>
                    </w:p>
                  </w:txbxContent>
                </v:textbox>
              </v:shape>
            </w:pict>
          </mc:Fallback>
        </mc:AlternateContent>
      </w:r>
      <w:r>
        <w:rPr>
          <w:rFonts w:hint="eastAsia" w:ascii="仿宋" w:hAnsi="仿宋" w:eastAsia="仿宋" w:cs="仿宋"/>
          <w:color w:val="auto"/>
          <w:sz w:val="24"/>
          <w:szCs w:val="24"/>
          <w:highlight w:val="none"/>
        </w:rPr>
        <w:t>除专用条款另有约定外，非承包人原因，工程勘察、工程设计、BIM 技术应用、设备及工器具购置等总承包工作内容发生变更，其增加或减少的工作项目单价按下列方法确定：</w:t>
      </w:r>
    </w:p>
    <w:p>
      <w:pPr>
        <w:pStyle w:val="22"/>
        <w:widowControl w:val="0"/>
        <w:numPr>
          <w:ilvl w:val="1"/>
          <w:numId w:val="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rPr>
      </w:pPr>
      <w:bookmarkStart w:id="527" w:name="OLE_LINK11"/>
      <w:bookmarkStart w:id="528" w:name="OLE_LINK10"/>
      <w:r>
        <w:rPr>
          <w:rFonts w:hint="eastAsia" w:ascii="仿宋" w:hAnsi="仿宋" w:eastAsia="仿宋" w:cs="仿宋"/>
          <w:color w:val="auto"/>
          <w:sz w:val="24"/>
          <w:szCs w:val="24"/>
          <w:highlight w:val="none"/>
        </w:rPr>
        <w:t>合同价格清单中已有相同清单项目的，按照相同清单项目的单价确定</w:t>
      </w:r>
      <w:r>
        <w:rPr>
          <w:rFonts w:ascii="仿宋" w:hAnsi="仿宋" w:eastAsia="仿宋" w:cs="仿宋"/>
          <w:color w:val="auto"/>
          <w:sz w:val="24"/>
          <w:szCs w:val="24"/>
          <w:highlight w:val="none"/>
        </w:rPr>
        <w:t>;</w:t>
      </w:r>
    </w:p>
    <w:p>
      <w:pPr>
        <w:pStyle w:val="22"/>
        <w:widowControl w:val="0"/>
        <w:numPr>
          <w:ilvl w:val="1"/>
          <w:numId w:val="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合同价格清单中没有相同、只有类似清单项目的，参照类似清单项目的单价调整确定</w:t>
      </w:r>
      <w:r>
        <w:rPr>
          <w:rFonts w:ascii="仿宋" w:hAnsi="仿宋" w:eastAsia="仿宋" w:cs="仿宋"/>
          <w:color w:val="auto"/>
          <w:sz w:val="24"/>
          <w:szCs w:val="24"/>
          <w:highlight w:val="none"/>
        </w:rPr>
        <w:t>;</w:t>
      </w:r>
    </w:p>
    <w:p>
      <w:pPr>
        <w:pStyle w:val="22"/>
        <w:widowControl w:val="0"/>
        <w:numPr>
          <w:ilvl w:val="1"/>
          <w:numId w:val="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527"/>
    <w:bookmarkEnd w:id="528"/>
    <w:p>
      <w:pPr>
        <w:pStyle w:val="22"/>
        <w:widowControl w:val="0"/>
        <w:numPr>
          <w:ilvl w:val="1"/>
          <w:numId w:val="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关于“类似清单项目”的认定原则在合同专用条款中约定。</w:t>
      </w:r>
    </w:p>
    <w:p>
      <w:pPr>
        <w:spacing w:line="360" w:lineRule="auto"/>
        <w:rPr>
          <w:rFonts w:ascii="仿宋" w:hAnsi="仿宋" w:eastAsia="仿宋" w:cs="仿宋"/>
          <w:b/>
          <w:bCs/>
          <w:color w:val="auto"/>
          <w:highlight w:val="none"/>
          <w:lang w:eastAsia="zh-CN"/>
        </w:rPr>
      </w:pPr>
      <w:bookmarkStart w:id="529" w:name="_Toc11960"/>
      <w:r>
        <w:rPr>
          <w:rFonts w:hint="eastAsia" w:ascii="仿宋" w:hAnsi="仿宋" w:eastAsia="仿宋" w:cs="仿宋"/>
          <w:b/>
          <w:bCs/>
          <w:color w:val="auto"/>
          <w:highlight w:val="none"/>
          <w:lang w:eastAsia="zh-CN"/>
        </w:rPr>
        <w:t>79.3</w:t>
      </w:r>
      <w:bookmarkEnd w:id="5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107"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026" o:spt="202" type="#_x0000_t202" style="position:absolute;left:0pt;margin-left:-9pt;margin-top:0.5pt;height:46.7pt;width:72pt;z-index:251993088;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CFsRlxcCAAAYBAAADgAAAGRycy9lMm9Eb2MueG1srVPNbhMx&#10;EL4j8Q6W72Q3IW3JKpuqNCpCKj9S4QEcrzdrsfaYsZPd8ADwBpy4cOe58hyMvWkI5dIDF8v2jL/5&#10;vm/G88vetGyr0GuwJR+Pcs6UlVBpuy75xw83z15w5oOwlWjBqpLvlOeXi6dP5p0r1AQaaCuFjECs&#10;LzpX8iYEV2SZl40ywo/AKUvBGtCIQEdcZxWKjtBNm03y/DzrACuHIJX3dLscgvyAiI8BhLrWUi1B&#10;boyyYUBF1YpAknyjneeLxLaulQzv6tqrwNqSk9KQVipC+1Vcs8VcFGsUrtHyQEE8hsIDTUZoS0WP&#10;UEsRBNug/gfKaIngoQ4jCSYbhCRHSMU4f+DNXSOcSlrIau+Opvv/Byvfbt8j0xVNQn7BmRWGWr7/&#10;/m3/49f+51c2m51HizrnC8q8c5Qb+pfQU3qS690tyE+eWbhuhF2rK0ToGiUqojiOL7OTpwOOjyCr&#10;7g1UVElsAiSgvkYT/SNHGKFTe3bH9qg+MEmXs/F0mlNEUuhs9jyfpfZlorh/7NCHVwoMi5uSI3U/&#10;gYvtrQ+RjCjuU2ItCze6bdMEtPavC0qMN4l85DswD/2qP5ixgmpHMhCGgaLvRJsG8AtnHQ1Tyf3n&#10;jUDFWfvakhWJOU1fOkzPLiakAk8jq9OIsJKgSh44G7bXYZjYjUO9bqjSYL6FK7Kv1kla9HlgdeBN&#10;A5MUH4Y7TuTpOWX9+dC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xjj/zVAAAACAEAAA8AAAAA&#10;AAAAAQAgAAAAIgAAAGRycy9kb3ducmV2LnhtbFBLAQIUABQAAAAIAIdO4kAIWxGXFwIAABgEAAAO&#10;AAAAAAAAAAEAIAAAACQ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可调价变更实体项目的定价</w:t>
                      </w:r>
                    </w:p>
                  </w:txbxContent>
                </v:textbox>
              </v:shape>
            </w:pict>
          </mc:Fallback>
        </mc:AlternateContent>
      </w:r>
      <w:r>
        <w:rPr>
          <w:rFonts w:hint="eastAsia" w:ascii="仿宋" w:hAnsi="仿宋" w:eastAsia="仿宋" w:cs="仿宋"/>
          <w:color w:val="auto"/>
          <w:sz w:val="24"/>
          <w:szCs w:val="24"/>
          <w:highlight w:val="none"/>
        </w:rPr>
        <w:t>除专用条款另有约定外，符合第69.3款约定可调价条件的实体项目变更，其增加或减少的实体项目单价按下列方法确定：</w:t>
      </w:r>
    </w:p>
    <w:p>
      <w:pPr>
        <w:pStyle w:val="22"/>
        <w:widowControl w:val="0"/>
        <w:numPr>
          <w:ilvl w:val="1"/>
          <w:numId w:val="9"/>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合同价格清单中已有相同清单项目的，按照相同清单项目的单价确定</w:t>
      </w:r>
      <w:r>
        <w:rPr>
          <w:rFonts w:ascii="仿宋" w:hAnsi="仿宋" w:eastAsia="仿宋" w:cs="仿宋"/>
          <w:color w:val="auto"/>
          <w:sz w:val="24"/>
          <w:szCs w:val="24"/>
          <w:highlight w:val="none"/>
        </w:rPr>
        <w:t>;</w:t>
      </w:r>
    </w:p>
    <w:p>
      <w:pPr>
        <w:pStyle w:val="22"/>
        <w:widowControl w:val="0"/>
        <w:numPr>
          <w:ilvl w:val="1"/>
          <w:numId w:val="9"/>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合同价格清单中没有相同、只有类似清单项目的，参照类似清单项目的单价调整确定</w:t>
      </w:r>
      <w:r>
        <w:rPr>
          <w:rFonts w:ascii="仿宋" w:hAnsi="仿宋" w:eastAsia="仿宋" w:cs="仿宋"/>
          <w:color w:val="auto"/>
          <w:sz w:val="24"/>
          <w:szCs w:val="24"/>
          <w:highlight w:val="none"/>
        </w:rPr>
        <w:t>;</w:t>
      </w:r>
    </w:p>
    <w:p>
      <w:pPr>
        <w:pStyle w:val="22"/>
        <w:widowControl w:val="0"/>
        <w:numPr>
          <w:ilvl w:val="1"/>
          <w:numId w:val="9"/>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pPr>
        <w:pStyle w:val="22"/>
        <w:widowControl w:val="0"/>
        <w:numPr>
          <w:ilvl w:val="1"/>
          <w:numId w:val="9"/>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关于“类似清单项目”的认定原则在合同专用条款中约定。</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79</w:t>
      </w:r>
      <w:r>
        <w:rPr>
          <w:rFonts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rPr>
        <w:t>4</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45720</wp:posOffset>
                </wp:positionV>
                <wp:extent cx="914400" cy="501650"/>
                <wp:effectExtent l="0" t="0" r="0" b="0"/>
                <wp:wrapNone/>
                <wp:docPr id="106" name="文本框 997"/>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a:noFill/>
                        </a:ln>
                      </wps:spPr>
                      <wps:txb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026" o:spt="202" type="#_x0000_t202" style="position:absolute;left:0pt;margin-left:-9pt;margin-top:3.6pt;height:39.5pt;width:72pt;z-index:251994112;mso-width-relative:page;mso-height-relative:page;" filled="f" stroked="f" coordsize="21600,21600" o:gfxdata="UEsDBAoAAAAAAIdO4kAAAAAAAAAAAAAAAAAEAAAAZHJzL1BLAwQUAAAACACHTuJA1kwVcdUAAAAI&#10;AQAADwAAAGRycy9kb3ducmV2LnhtbE2PwU7DMBBE75X6D9ZW4tbaiSCEkE0PIK4gWkDi5sbbJCJe&#10;R7HbhL/HPdHjaEYzb8rtbHtxptF3jhGSjQJBXDvTcYPwsX9Z5yB80Gx075gQfsnDtlouSl0YN/E7&#10;nXehEbGEfaER2hCGQkpft2S137iBOHpHN1odohwbaUY9xXLby1SpTFrdcVxo9UBPLdU/u5NF+Hw9&#10;fn/dqrfm2d4Nk5uVZPsgEW9WiXoEEWgO/2G44Ed0qCLTwZ3YeNEjrJM8fgkI9ymIi59mUR8Q8iwF&#10;WZXy+kD1B1BLAwQUAAAACACHTuJAbSk32RgCAAAYBAAADgAAAGRycy9lMm9Eb2MueG1srVPNjtMw&#10;EL4j8Q6W7zRJ1XZp1HS1bLUIafmRFh7AdZzGIvGYsdukPAC8wZ64cOe5+hyMnW4py2UPXCzbM/7m&#10;+74ZLy77tmE7hU6DKXg2SjlTRkKpzabgnz7evHjJmfPClKIBowq+V45fLp8/W3Q2V2OooSkVMgIx&#10;Lu9swWvvbZ4kTtaqFW4EVhkKVoCt8HTETVKi6Ai9bZJxms6SDrC0CFI5R7erIciPiPgUQKgqLdUK&#10;5LZVxg+oqBrhSZKrtXV8GdlWlZL+fVU55VlTcFLq40pFaL8Oa7JciHyDwtZaHimIp1B4pKkV2lDR&#10;E9RKeMG2qP+BarVEcFD5kYQ2GYRER0hFlj7y5q4WVkUtZLWzJ9Pd/4OV73YfkOmSJiGdcWZESy0/&#10;3H8//Ph1+PmNzecXwaLOupwy7yzl+v4V9JQe5Tp7C/KzYwaua2E26goRulqJkihm4WVy9nTAcQFk&#10;3b2FkiqJrYcI1FfYBv/IEUbo1J79qT2q90zS5TybTFKKSApN02w2je1LRP7w2KLzrxW0LGwKjtT9&#10;CC52t84HMiJ/SAm1DNzopokT0Ji/Ligx3ETyge/A3Pfr/mjGGso9yUAYBoq+E21qwK+cdTRMBXdf&#10;tgIVZ80bQ1ZE5jR98TCZXoxJBZ5H1ucRYSRBFdxzNmyv/TCxW4t6U1OlwXwDV2RfpaO04PPA6sib&#10;BiYqPg53mMjzc8z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TBVx1QAAAAgBAAAPAAAA&#10;AAAAAAEAIAAAACIAAABkcnMvZG93bnJldi54bWxQSwECFAAUAAAACACHTuJAbSk32RgCAAAYBAAA&#10;DgAAAAAAAAABACAAAAAkAQAAZHJzL2Uyb0RvYy54bWxQSwUGAAAAAAYABgBZAQAArgUAAAAA&#10;">
                <v:fill on="f" focussize="0,0"/>
                <v:stroke on="f"/>
                <v:imagedata o:title=""/>
                <o:lock v:ext="edit" aspectratio="f"/>
                <v:textbox>
                  <w:txbxContent>
                    <w:p>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可调价变更措施项目的定价</w:t>
                      </w:r>
                    </w:p>
                  </w:txbxContent>
                </v:textbox>
              </v:shape>
            </w:pict>
          </mc:Fallback>
        </mc:AlternateContent>
      </w:r>
      <w:r>
        <w:rPr>
          <w:rFonts w:hint="eastAsia" w:ascii="仿宋" w:hAnsi="仿宋" w:eastAsia="仿宋" w:cs="仿宋"/>
          <w:color w:val="auto"/>
          <w:sz w:val="24"/>
          <w:szCs w:val="24"/>
          <w:highlight w:val="none"/>
        </w:rPr>
        <w:t>除专用条款另有约定外，符合第 69.3 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pPr>
        <w:pStyle w:val="22"/>
        <w:adjustRightInd w:val="0"/>
        <w:snapToGrid w:val="0"/>
        <w:spacing w:line="360" w:lineRule="auto"/>
        <w:ind w:left="1850" w:leftChars="771"/>
        <w:rPr>
          <w:rFonts w:ascii="仿宋" w:hAnsi="仿宋" w:eastAsia="仿宋"/>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绿色施工安全防护费，执行政府的相关计费文件规定的单价或费率，按照实际发生变化的措施项目计算确定。</w:t>
      </w:r>
    </w:p>
    <w:p>
      <w:pPr>
        <w:pStyle w:val="22"/>
        <w:adjustRightInd w:val="0"/>
        <w:snapToGrid w:val="0"/>
        <w:spacing w:line="360" w:lineRule="auto"/>
        <w:ind w:left="1850" w:leftChars="771"/>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 xml:space="preserve"> 凡可计算工程量的措施项目，其单价按照第79.3款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确定。</w:t>
      </w:r>
    </w:p>
    <w:p>
      <w:pPr>
        <w:pStyle w:val="22"/>
        <w:adjustRightInd w:val="0"/>
        <w:snapToGrid w:val="0"/>
        <w:spacing w:line="360" w:lineRule="auto"/>
        <w:ind w:left="1850" w:leftChars="771"/>
        <w:rPr>
          <w:rFonts w:ascii="仿宋" w:hAnsi="仿宋" w:eastAsia="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 xml:space="preserve"> 凡按系数计算的措施项目费，除本款第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点情形外，执行合同价格清单中标明的计费基础和系数计算确定。</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如果不利一方当事人未按本款约定事先将拟实施的方案提交给另一方当事人，则认为工程变更不引起措施项目费的调整或不利一方当事人放弃调整措施项目费的权利。</w:t>
      </w:r>
    </w:p>
    <w:p>
      <w:pPr>
        <w:spacing w:line="360" w:lineRule="auto"/>
        <w:rPr>
          <w:rFonts w:ascii="仿宋" w:hAnsi="仿宋" w:eastAsia="仿宋"/>
          <w:b/>
          <w:bCs/>
          <w:color w:val="auto"/>
          <w:highlight w:val="none"/>
          <w:lang w:eastAsia="zh-CN"/>
        </w:rPr>
      </w:pPr>
      <w:bookmarkStart w:id="530"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5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105"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026" o:spt="202" type="#_x0000_t202" style="position:absolute;left:0pt;margin-left:-9pt;margin-top:3.6pt;height:31.2pt;width:72pt;z-index:251995136;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euW6khcCAAAYBAAADgAAAGRycy9lMm9Eb2MueG1srVPNbhMx&#10;EL4j8Q6W72Q3IS1klU1VGhUhlR+p8ACO15u1WHvM2MlueAD6Bpy4cOe58hyMvWkI5dIDF8v2jL/5&#10;vm/G84vetGyr0GuwJR+Pcs6UlVBpuy75p4/Xz15y5oOwlWjBqpLvlOcXi6dP5p0r1AQaaCuFjECs&#10;LzpX8iYEV2SZl40ywo/AKUvBGtCIQEdcZxWKjtBNm03y/DzrACuHIJX3dLscgvyAiI8BhLrWUi1B&#10;boyyYUBF1YpAknyjneeLxLaulQzv69qrwNqSk9KQVipC+1Vcs8VcFGsUrtHyQEE8hsIDTUZoS0WP&#10;UEsRBNug/gfKaIngoQ4jCSYbhCRHSMU4f+DNbSOcSlrIau+Opvv/ByvfbT8g0xVNQn7GmRWGWr7/&#10;frf/8Wv/8xubzWbRos75gjJvHeWG/hX0lJ7kencD8rNnFq4aYdfqEhG6RomKKI7jy+zk6YDjI8iq&#10;ewsVVRKbAAmor9FE/8gRRujUnt2xPaoPTNLlbDyd5hSRFHo+O59MU/syUdw/dujDawWGxU3Jkbqf&#10;wMX2xodIRhT3KbGWhWvdtmkCWvvXBSXGm0Q+8h2Yh37VH8xYQbUjGQjDQNF3ok0D+JWzjoap5P7L&#10;RqDirH1jyYrEnKYvHaZnLyakAk8jq9OIsJKgSh44G7ZXYZjYjUO9bqjSYL6FS7Kv1kla9HlgdeBN&#10;A5MUH4Y7TuTpOWX9+dC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U9LTfVAAAACAEAAA8AAAAA&#10;AAAAAQAgAAAAIgAAAGRycy9kb3ducmV2LnhtbFBLAQIUABQAAAAIAIdO4kB65bqSFwIAABgEAAAO&#10;AAAAAAAAAAEAIAAAACQ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31" w:name="_Toc7418"/>
      <w:bookmarkStart w:id="532" w:name="_Toc12185"/>
      <w:bookmarkStart w:id="533" w:name="_Toc47694356"/>
      <w:r>
        <w:rPr>
          <w:rFonts w:hint="eastAsia" w:ascii="仿宋" w:hAnsi="仿宋" w:eastAsia="仿宋" w:cs="仿宋"/>
          <w:bCs w:val="0"/>
          <w:color w:val="auto"/>
          <w:sz w:val="24"/>
          <w:szCs w:val="24"/>
          <w:highlight w:val="none"/>
        </w:rPr>
        <w:t>★80</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费用索赔</w:t>
      </w:r>
      <w:bookmarkEnd w:id="531"/>
      <w:bookmarkEnd w:id="532"/>
      <w:bookmarkEnd w:id="533"/>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255270</wp:posOffset>
                </wp:positionV>
                <wp:extent cx="914400" cy="396240"/>
                <wp:effectExtent l="0" t="0" r="0" b="0"/>
                <wp:wrapNone/>
                <wp:docPr id="104" name="文本框 100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026" o:spt="202" type="#_x0000_t202" style="position:absolute;left:0pt;margin-left:-9pt;margin-top:20.1pt;height:31.2pt;width:72pt;z-index:251996160;mso-width-relative:page;mso-height-relative:page;" filled="f" stroked="f" coordsize="21600,21600" o:gfxdata="UEsDBAoAAAAAAIdO4kAAAAAAAAAAAAAAAAAEAAAAZHJzL1BLAwQUAAAACACHTuJAvNY7a9cAAAAK&#10;AQAADwAAAGRycy9kb3ducmV2LnhtbE2PQW/CMAyF75P2HyJP4gZJK1ax0pTDpl2Hxtik3UJj2orG&#10;qZpAy7/HnLab7ff0/L1iM7lOXHAIrScNyUKBQKq8banWsP96n69AhGjIms4TarhigE35+FCY3PqR&#10;PvGyi7XgEAq50dDE2OdShqpBZ8LC90isHf3gTOR1qKUdzMjhrpOpUpl0piX+0JgeXxusTruz0/D9&#10;cfz9Wapt/eae+9FPSpJ7kVrPnhK1BhFxin9muOMzOpTMdPBnskF0GubJirtEDUuVgrgb0owPBx5U&#10;moEsC/m/QnkDUEsDBBQAAAAIAIdO4kDgy4S2GAIAABkEAAAOAAAAZHJzL2Uyb0RvYy54bWytU8Fu&#10;EzEQvSPxD5bvZDdpKO0qm6o0KkIqFKnwAY7Xm7VYe8zYyW74APoHnLhw57vyHYy9aQjl0gMXy/aM&#10;37z3Zjy76E3LNgq9Blvy8SjnTFkJlbarkn/6eP3ijDMfhK1EC1aVfKs8v5g/fzbrXKEm0EBbKWQE&#10;Yn3RuZI3Ibgiy7xslBF+BE5ZCtaARgQ64iqrUHSEbtpskuenWQdYOQSpvKfbxRDke0R8CiDUtZZq&#10;AXJtlA0DKqpWBJLkG+08nye2da1kuK1rrwJrS05KQ1qpCO2Xcc3mM1GsULhGyz0F8RQKjzQZoS0V&#10;PUAtRBBsjfofKKMlgoc6jCSYbBCSHCEV4/yRN3eNcCppIau9O5ju/x+sfL/5gExXNAn5lDMrDLV8&#10;9/1+9+PX7uc3Ns7zk+hR53xBqXeOkkP/GnrKT3q9uwH52TMLV42wK3WJCF2jREUcx/FldvR0wPER&#10;ZNm9g4pKiXWABNTXaKKBZAkjdOrP9tAf1Qcm6fJ8PJ3mFJEUOjk/nUxT/zJRPDx26MMbBYbFTcmR&#10;2p/AxebGh0hGFA8psZaFa922aQRa+9cFJcabRD7yHZiHftnvzVhCtSUZCMNE0X+iTQP4lbOOpqnk&#10;/staoOKsfWvJisScxi8dpi9fTUgFHkeWxxFhJUGVPHA2bK/CMLJrh3rVUKXBfAuXZF+tk7To88Bq&#10;z5smJineT3ccyeNzyvrzo+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zWO2vXAAAACgEAAA8A&#10;AAAAAAAAAQAgAAAAIgAAAGRycy9kb3ducmV2LnhtbFBLAQIUABQAAAAIAIdO4kDgy4S2GAIAABkE&#10;AAAOAAAAAAAAAAEAIAAAACYBAABkcnMvZTJvRG9jLnhtbFBLBQYAAAAABgAGAFkBAACw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rPr>
        <w:t>80</w:t>
      </w:r>
      <w:r>
        <w:rPr>
          <w:rFonts w:ascii="仿宋" w:hAnsi="仿宋" w:eastAsia="仿宋" w:cs="仿宋"/>
          <w:b/>
          <w:bCs/>
          <w:color w:val="auto"/>
          <w:sz w:val="24"/>
          <w:szCs w:val="24"/>
          <w:highlight w:val="none"/>
        </w:rPr>
        <w:t>.1</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合同履行期间，出现费用索赔事项的，合同双方当事人应调整合同价格。</w:t>
      </w:r>
    </w:p>
    <w:p>
      <w:pPr>
        <w:spacing w:line="360" w:lineRule="auto"/>
        <w:rPr>
          <w:rFonts w:ascii="仿宋" w:hAnsi="仿宋" w:eastAsia="仿宋" w:cs="仿宋"/>
          <w:b/>
          <w:bCs/>
          <w:color w:val="auto"/>
          <w:highlight w:val="none"/>
          <w:lang w:eastAsia="zh-CN"/>
        </w:rPr>
      </w:pPr>
      <w:bookmarkStart w:id="534"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5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03"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026" o:spt="202" type="#_x0000_t202" style="position:absolute;left:0pt;margin-left:-9pt;margin-top:1.25pt;height:31.2pt;width:72pt;z-index:2519971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S+b85xgCAAAZBAAADgAAAGRycy9lMm9Eb2MueG1srVPBbhMx&#10;EL0j8Q+W72Q3aSjtKpuqNCpCKhSp8AGO15u1WHvM2Mlu+AD6B5y4cOe78h2MvWkI5dIDF8v2jN+8&#10;92Y8u+hNyzYKvQZb8vEo50xZCZW2q5J/+nj94owzH4StRAtWlXyrPL+YP38261yhJtBAWylkBGJ9&#10;0bmSNyG4Isu8bJQRfgROWQrWgEYEOuIqq1B0hG7abJLnp1kHWDkEqbyn28UQ5HtEfAog1LWWagFy&#10;bZQNAyqqVgSS5BvtPJ8ntnWtZLita68Ca0tOSkNaqQjtl3HN5jNRrFC4Rss9BfEUCo80GaEtFT1A&#10;LUQQbI36HyijJYKHOowkmGwQkhwhFeP8kTd3jXAqaSGrvTuY7v8frHy/+YBMVzQJ+QlnVhhq+e77&#10;/e7Hr93Pb2yc59PoUed8Qal3jpJD/xp6yk96vbsB+dkzC1eNsCt1iQhdo0RFHMfxZXb0dMDxEWTZ&#10;vYOKSol1gATU12iigWQJI3Tqz/bQH9UHJunyfDyd5hSRFDo5P51MU/8yUTw8dujDGwWGxU3Jkdqf&#10;wMXmxodIRhQPKbGWhWvdtmkEWvvXBSXGm0Q+8h2Yh37Z781YQrUlGQjDRNF/ok0D+JWzjqap5P7L&#10;WqDirH1ryYrEnMYvHaYvX01IBR5HlscRYSVBlTxwNmyvwjCya4d61VClwXwLl2RfrZO06PPAas+b&#10;JiYp3k93HMnjc8r686P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z/Bw1QAAAAgBAAAPAAAA&#10;AAAAAAEAIAAAACIAAABkcnMvZG93bnJldi54bWxQSwECFAAUAAAACACHTuJAS+b85xgCAAAZBAAA&#10;DgAAAAAAAAABACAAAAAkAQAAZHJzL2Uyb0RvYy54bWxQSwUGAAAAAAYABgBZAQAAr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rPr>
        <w:t>如果承包人根据合同约定提出任何费用或其它形式的损失索赔时，应在该索赔事项发生之后的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天内向监理人、造价咨询人发出索赔意向书，并抄送发包人。</w:t>
      </w:r>
    </w:p>
    <w:p>
      <w:pPr>
        <w:spacing w:line="360" w:lineRule="auto"/>
        <w:rPr>
          <w:rFonts w:ascii="仿宋" w:hAnsi="仿宋" w:eastAsia="仿宋"/>
          <w:b/>
          <w:bCs/>
          <w:color w:val="auto"/>
          <w:highlight w:val="none"/>
          <w:lang w:eastAsia="zh-CN"/>
        </w:rPr>
      </w:pPr>
      <w:bookmarkStart w:id="535"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5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102" name="文本框 1005"/>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026" o:spt="202" type="#_x0000_t202" style="position:absolute;left:0pt;margin-left:-9pt;margin-top:0.05pt;height:41.15pt;width:72pt;z-index:251998208;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J8TSvYXAgAAGQQAAA4AAABkcnMvZTJvRG9jLnhtbK1Ty47TMBTd&#10;I/EPlvc0adQOEDUdDVMNQhoe0sAHuI7TWCS+5tptMnwA/MGs2LDnu/odXNudUobNLNhEtu/1uecc&#10;nyzOx75jO4VOg6n4dJJzpoyEWptNxT99vHr2gjPnhalFB0ZV/FY5fr58+mQx2FIV0EJXK2QEYlw5&#10;2Iq33tsyy5xsVS/cBKwyVGwAe+Fpi5usRjEQet9lRZ6fZQNgbRGkco5OV6nID4j4GEBoGi3VCuS2&#10;V8YnVFSd8CTJtdo6voxsm0ZJ/75pnPKsqzgp9fFLQ2i9Dt9suRDlBoVttTxQEI+h8EBTL7ShoUeo&#10;lfCCbVH/A9VrieCg8RMJfZaEREdIxTR/4M1NK6yKWshqZ4+mu/8HK9/tPiDTNSUhLzgzoqcn3999&#10;3//4tf/5jU3zfB48GqwrqfXGUrMfX8FI/VGvs9cgPztm4LIVZqMuEGFolaiJ4zTczE6uJhwXQNbD&#10;W6hplNh6iEBjg30wkCxhhE7vc3t8HzV6Junw5XQ2y6kiqTQvirPELRPl/WWLzr9W0LOwqDjS80dw&#10;sbt2PpAR5X1LmGXgSnddjEBn/jqgxnASyQe+ibkf1+PBjDXUtyQDISWK/idatIBfORsoTRV3X7YC&#10;FWfdG0NWROYUv7iZzZ8XpAJPK+vTijCSoCruOUvLS58iu7WoNy1NSuYbuCD7Gh2lBZ8TqwNvSkxU&#10;fEh3iOTpPnb9+aO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TZAp0wAAAAcBAAAPAAAAAAAA&#10;AAEAIAAAACIAAABkcnMvZG93bnJldi54bWxQSwECFAAUAAAACACHTuJAnxNK9hcCAAAZBAAADgAA&#10;AAAAAAABACAAAAAiAQAAZHJzL2Uyb0RvYy54bWxQSwUGAAAAAAYABgBZAQAAqw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101" name="文本框 1006"/>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w:pict>
              <v:shape id="文本框 1006" o:spid="_x0000_s1026" o:spt="202" type="#_x0000_t202" style="position:absolute;left:0pt;margin-left:-9pt;margin-top:0.4pt;height:37.8pt;width:81pt;z-index:251999232;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I4CSuwYAgAAGgQAAA4AAABkcnMvZTJvRG9jLnhtbK1TzY7TMBC+&#10;I/EOlu80SVXYJWq6WrZahLT8SAsP4DpOYxF7zNhtUh4A3mBPXLjzXH0Oxk63lOWyBy6W7Rl/833f&#10;jOcXg+nYVqHXYCteTHLOlJVQa7uu+KeP18/OOfNB2Fp0YFXFd8rzi8XTJ/PelWoKLXS1QkYg1pe9&#10;q3gbgiuzzMtWGeEn4JSlYANoRKAjrrMaRU/opsumef4i6wFrhyCV93S7HIP8gIiPAYSm0VItQW6M&#10;smFERdWJQJJ8q53ni8S2aZQM75vGq8C6ipPSkFYqQvtVXLPFXJRrFK7V8kBBPIbCA01GaEtFj1BL&#10;EQTboP4HymiJ4KEJEwkmG4UkR0hFkT/w5rYVTiUtZLV3R9P9/4OV77YfkOmaJiEvOLPCUMv3d9/3&#10;P37tf35jBTUsetQ7X1LqraPkMLyCgfKTXu9uQH72zMJVK+xaXSJC3ypRE8civsxOno44PoKs+rdQ&#10;UymxCZCAhgZNNJAsYYRO/dkd+6OGwGQsmU/Pz3IKSYrNzolbamAmyvvXDn14rcCwuKk4Uv8Tutje&#10;+BDZiPI+JRazcK27Ls1AZ/+6oMR4k9hHwiP1MKyGgxsrqHekA2EcKfpQtGkBv3LW0zhV3H/ZCFSc&#10;dW8sefGymM3i/KXD7PnZlA54GlmdRoSVBFXxwNm4vQrjzG4c6nVLlUb3LVySf41O0qLRI6sDbxqZ&#10;pPgw3nEmT88p68+X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GayXNMAAAAHAQAADwAAAAAA&#10;AAABACAAAAAiAAAAZHJzL2Rvd25yZXYueG1sUEsBAhQAFAAAAAgAh07iQI4CSuwYAgAAGgQAAA4A&#10;AAAAAAAAAQAgAAAAIgEAAGRycy9lMm9Eb2MueG1sUEsFBgAAAAAGAAYAWQEAAKwFA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ascii="仿宋" w:hAnsi="仿宋" w:eastAsia="仿宋" w:cs="仿宋"/>
          <w:color w:val="auto"/>
          <w:sz w:val="24"/>
          <w:szCs w:val="24"/>
          <w:highlight w:val="none"/>
        </w:rPr>
        <w:t>在发出索赔意向书后的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天内，承包人应向造价咨询人提交费用索赔报告和有关资料。如果索赔事项持续进行，承包人应每隔 7 天向造价咨询人发出索赔意向书，在索赔事项终结后的 14 天内，提交最终费用索赔报告和有关资料。</w:t>
      </w:r>
    </w:p>
    <w:p>
      <w:pPr>
        <w:spacing w:line="360" w:lineRule="auto"/>
        <w:rPr>
          <w:rFonts w:ascii="仿宋" w:hAnsi="仿宋" w:eastAsia="仿宋"/>
          <w:b/>
          <w:bCs/>
          <w:color w:val="auto"/>
          <w:highlight w:val="none"/>
          <w:lang w:eastAsia="zh-CN"/>
        </w:rPr>
      </w:pPr>
      <w:bookmarkStart w:id="536" w:name="_Toc1734"/>
      <w:r>
        <w:rPr>
          <w:rFonts w:ascii="仿宋" w:hAnsi="仿宋" w:eastAsia="仿宋" w:cs="仿宋"/>
          <w:b/>
          <w:bCs/>
          <w:color w:val="auto"/>
          <w:highlight w:val="none"/>
          <w:lang w:eastAsia="zh-CN" w:bidi="ar-SA"/>
        </w:rPr>
        <mc:AlternateContent>
          <mc:Choice Requires="wps">
            <w:drawing>
              <wp:anchor distT="0" distB="0" distL="114300" distR="114300" simplePos="0" relativeHeight="252086272"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100"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026" o:spt="202" type="#_x0000_t202" style="position:absolute;left:0pt;margin-left:-9pt;margin-top:19.75pt;height:25.55pt;width:63pt;z-index:252086272;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C9WNcUXAgAAGQQAAA4AAABkcnMvZTJvRG9jLnhtbK1TzW4T&#10;MRC+I/EOlu9kNyGlYZVNVRoVIZUfqfAAjtebtVh7zNjJbngA+gacuHDnufIcjL1pCOXSAxfLnhl/&#10;832fx/OL3rRsq9BrsCUfj3LOlJVQabsu+aeP189mnPkgbCVasKrkO+X5xeLpk3nnCjWBBtpKISMQ&#10;64vOlbwJwRVZ5mWjjPAjcMpSsgY0ItAR11mFoiN002aTPH+RdYCVQ5DKe4ouhyQ/IOJjAKGutVRL&#10;kBujbBhQUbUikCTfaOf5IrGtayXD+7r2KrC25KQ0pJWa0H4V12wxF8UahWu0PFAQj6HwQJMR2lLT&#10;I9RSBME2qP+BMloieKjDSILJBiHJEVIxzh94c9sIp5IWstq7o+n+/8HKd9sPyHRFk5CTJ1YYevL9&#10;97v9j1/7n98YBc+jR53zBZXeOioO/SvoqT7p9e4G5GfPLFw1wq7VJSJ0jRIVcRzHm9nJ1QHHR5BV&#10;9xYqaiU2ARJQX6OJBpIljNCJy+74PqoPTFJwlpNHlJGUej6ZTmdnqYMo7i879OG1AsPipuRIz5/A&#10;xfbGh0hGFPclsZeFa922aQRa+1eACmMkkY98B+ahX/UHM1ZQ7UgGwjBR9J9o0wB+5ayjaSq5/7IR&#10;qDhr31iy4uV4OiXiIR2mZ+cTOuBpZnWaEVYSVMkDZ8P2Kgwju3Go1w11Gsy3cEn21TpJiz4PrA68&#10;aWKS4sN0x5E8PaeqPz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NXai1gAAAAkBAAAPAAAA&#10;AAAAAAEAIAAAACIAAABkcnMvZG93bnJldi54bWxQSwECFAAUAAAACACHTuJAL1Y1xRcCAAAZBAAA&#10;DgAAAAAAAAABACAAAAAlAQAAZHJzL2Uyb0RvYy54bWxQSwUGAAAAAAYABgBZAQAAr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5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如果承包人提出的索赔未能遵守第80</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款至第80</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，则承包人无权获得索赔或只限于获得由造价咨询人按照提供记录予以核实的部分款额。</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99" name="文本框 1008"/>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026" o:spt="202" type="#_x0000_t202" style="position:absolute;left:0pt;margin-left:-9pt;margin-top:0.65pt;height:34.55pt;width:72pt;z-index:252000256;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wGzaExgCAAAYBAAADgAAAGRycy9lMm9Eb2MueG1srVPLjtMw&#10;FN0j8Q+W9zRp6TBt1HQ0TDUIaXhIAx/gOk5jEfuaa7fJ8AHwB6zYsOe7+h1cO51Shs0s2ES27/W5&#10;5xyfLC5607KdQq/Blnw8yjlTVkKl7abkHz9cP5tx5oOwlWjBqpLfKc8vlk+fLDpXqAk00FYKGYFY&#10;X3Su5E0IrsgyLxtlhB+BU5aKNaARgba4ySoUHaGbNpvk+YusA6wcglTe0+lqKPIDIj4GEOpaS7UC&#10;uTXKhgEVVSsCSfKNdp4vE9u6VjK8q2uvAmtLTkpD+tIQWq/jN1suRLFB4RotDxTEYyg80GSEtjT0&#10;CLUSQbAt6n+gjJYIHuowkmCyQUhyhFSM8wfe3DbCqaSFrPbuaLr/f7Dy7e49Ml2VfD7nzApDL77/&#10;/m3/49f+51c2zvNZtKhzvqDOW0e9oX8JPQUnyfXuBuQnzyxcNcJu1CUidI0SFVEcx5vZydUBx0eQ&#10;dfcGKholtgESUF+jif6RI4zQ6Xnujs+j+sAkHc7H02lOFUml6fPZ+ewsTRDF/WWHPrxSYFhclBzp&#10;9RO42N34EMmI4r4lzrJwrds2JaC1fx1QYzxJ5CPfgXno1/3BjDVUdyQDYQgU/U60aAC/cNZRmEru&#10;P28FKs7a15asSMwpfWkzPTufkAo8raxPK8JKgip54GxYXoUhsVuHetPQpMF8C5dkX62TtOjzwOrA&#10;mwKTFB/CHRN5uk9df37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00F1QAAAAgBAAAPAAAA&#10;AAAAAAEAIAAAACIAAABkcnMvZG93bnJldi54bWxQSwECFAAUAAAACACHTuJAwGzaExgCAAAYBAAA&#10;DgAAAAAAAAABACAAAAAkAQAAZHJzL2Uyb0RvYy54bWxQSwUGAAAAAAYABgBZAQAAr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ascii="仿宋" w:hAnsi="仿宋" w:eastAsia="仿宋" w:cs="仿宋"/>
          <w:color w:val="auto"/>
          <w:sz w:val="24"/>
          <w:szCs w:val="24"/>
          <w:highlight w:val="none"/>
        </w:rPr>
        <w:t>造价咨询人应在收到承包人提交的费用索赔报告和有关资料后的 28 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98" name="文本框 1009"/>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026" o:spt="202" type="#_x0000_t202" style="position:absolute;left:0pt;margin-left:-9pt;margin-top:3.05pt;height:27.55pt;width:63pt;z-index:252001280;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AOIO+cZAgAAGAQAAA4AAABkcnMvZTJvRG9jLnhtbK1TzW4TMRC+&#10;I/EOlu9kNyGFZJVNVRoVIZUfqfAAjtebtVh7zNjJbnkA+gacuHDnufIcjL1pCOXSAxfL9oy/+b5v&#10;xovz3rRsp9BrsCUfj3LOlJVQabsp+aePV89mnPkgbCVasKrkt8rz8+XTJ4vOFWoCDbSVQkYg1hed&#10;K3kTgiuyzMtGGeFH4JSlYA1oRKAjbrIKRUfops0mef4i6wArhyCV93S7GoL8gIiPAYS61lKtQG6N&#10;smFARdWKQJJ8o53ny8S2rpUM7+vaq8DakpPSkFYqQvt1XLPlQhQbFK7R8kBBPIbCA01GaEtFj1Ar&#10;EQTbov4HymiJ4KEOIwkmG4QkR0jFOH/gzU0jnEpayGrvjqb7/wcr3+0+INNVyefUdysMdXz//W7/&#10;49f+5zc2zvN5tKhzvqDMG0e5oX8FPQ1OkuvdNcjPnlm4bITdqAtE6BolKqI4ji+zk6cDjo8g6+4t&#10;VFRKbAMkoL5GE/0jRxihU3tuj+1RfWCSLmc5WUQRSaHn0/lsdpYqiOL+sUMfXiswLG5KjtT9BC52&#10;1z5EMqK4T4m1LFzptk0T0Nq/Ligx3iTyke/APPTr/mDGGqpbkoEwDBR9J9o0gF8562iYSu6/bAUq&#10;zto3lqyYj6fTOH3pMD17OaEDnkbWpxFhJUGVPHA2bC/DMLFbh3rTUKXBfAsXZF+tk7To88DqwJsG&#10;Jik+DHecyNNzyvrzoZ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rekmnTAAAACAEAAA8AAAAA&#10;AAAAAQAgAAAAIgAAAGRycy9kb3ducmV2LnhtbFBLAQIUABQAAAAIAIdO4kADiDvnGQIAABgEAAAO&#10;AAAAAAAAAAEAIAAAACI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rPr>
        <w:t>承包人未能按照合同约定履行各项义务或发生错误，给发包人造成损失，发包人可按照本条规定的时限和要求向承包人提出索赔。</w:t>
      </w:r>
    </w:p>
    <w:p>
      <w:pPr>
        <w:spacing w:line="360" w:lineRule="auto"/>
        <w:rPr>
          <w:rFonts w:ascii="仿宋" w:hAnsi="仿宋" w:eastAsia="仿宋"/>
          <w:b/>
          <w:bCs/>
          <w:color w:val="auto"/>
          <w:highlight w:val="none"/>
          <w:lang w:eastAsia="zh-CN"/>
        </w:rPr>
      </w:pPr>
      <w:bookmarkStart w:id="537"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5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97" name="文本框 1010"/>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026" o:spt="202" type="#_x0000_t202" style="position:absolute;left:0pt;margin-left:-9pt;margin-top:1.45pt;height:49pt;width:72pt;z-index:252002304;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NrLgH0WAgAAGAQAAA4AAABkcnMvZTJvRG9jLnhtbK1TzW4T&#10;MRC+I/EOlu9kkxBausqmKo2KkMqPVHiAidebtdj1mLGT3fIA8AacuHDnufIcjL1pGsqlBy6r8cz4&#10;m+/7PDs/79tGbDV5g7aQk9FYCm0VlsauC/np49Wzl1L4ALaEBq0u5K328nzx9Mm8c7meYo1NqUkw&#10;iPV55wpZh+DyLPOq1i34ETptuVghtRD4SOusJOgYvW2y6Xh8knVIpSNU2nvOLoei3CPSYwCxqozS&#10;S1SbVtswoJJuILAkXxvn5SKxrSqtwvuq8jqIppCsNKQvD+F4Fb/ZYg75msDVRu0pwGMoPNDUgrE8&#10;9AC1hABiQ+YfqNYoQo9VGClss0FIcoRVTMYPvLmpwemkha327mC6/3+w6t32AwlTFvLsVAoLLb/4&#10;7sf33c/fu1/fxIQ5RYs653PuvHHcG/pX2PPiJLneXaP67IXFyxrsWl8QYVdrKJniJN7Mjq4OOD6C&#10;rLq3WPIo2ARMQH1FbfSPHRGMzs9ze3ge3QehOHk2mc3GXFFcOplOn3McJ0B+d9mRD681tiIGhSR+&#10;/QQO22sfhta7ljjL4pVpGs5D3ti/EowZM4l85DswD/2q5+6oaIXlLcsgHBaKfycOaqSvUnS8TIX0&#10;XzZAWormjWUrEnPevnSYvTidsgo6rqyOK2AVQxUySDGEl2HY2I0js6550mC+xQu2rzJJ2j2rPW9e&#10;mGTOfrnjRh6fU9f9D73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uumvWAAAACQEAAA8AAAAA&#10;AAAAAQAgAAAAIgAAAGRycy9kb3ducmV2LnhtbFBLAQIUABQAAAAIAIdO4kDay4B9FgIAABgEAAAO&#10;AAAAAAAAAAEAIAAAACU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rPr>
        <w:t>费用索赔报告被认可，则表明该事项已索赔成功，合同双方当事人应确认由此引起调整的合同价格，并作为追加（减）合同价格，与工程进度款或结算款同期支付。</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38" w:name="_Toc16416"/>
      <w:bookmarkStart w:id="539" w:name="_Toc47694357"/>
      <w:bookmarkStart w:id="540" w:name="_Toc15291"/>
      <w:r>
        <w:rPr>
          <w:rFonts w:hint="eastAsia" w:ascii="仿宋" w:hAnsi="仿宋" w:eastAsia="仿宋" w:cs="仿宋"/>
          <w:bCs w:val="0"/>
          <w:color w:val="auto"/>
          <w:sz w:val="24"/>
          <w:szCs w:val="24"/>
          <w:highlight w:val="none"/>
        </w:rPr>
        <w:t>★81</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现场签证价格的确定</w:t>
      </w:r>
      <w:bookmarkEnd w:id="538"/>
      <w:bookmarkEnd w:id="539"/>
      <w:bookmarkEnd w:id="540"/>
    </w:p>
    <w:p>
      <w:pPr>
        <w:widowControl w:val="0"/>
        <w:rPr>
          <w:rFonts w:ascii="仿宋" w:hAnsi="仿宋" w:eastAsia="仿宋"/>
          <w:b/>
          <w:bCs/>
          <w:color w:val="auto"/>
          <w:highlight w:val="none"/>
          <w:u w:val="dotted"/>
          <w:lang w:eastAsia="zh-CN"/>
        </w:rPr>
      </w:pPr>
      <w:bookmarkStart w:id="541"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541"/>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69850</wp:posOffset>
                </wp:positionV>
                <wp:extent cx="914400" cy="361950"/>
                <wp:effectExtent l="0" t="0" r="0" b="0"/>
                <wp:wrapNone/>
                <wp:docPr id="96" name="文本框 1011"/>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txbxContent>
                      </wps:txbx>
                      <wps:bodyPr rot="0" vert="horz" wrap="square" lIns="91440" tIns="45720" rIns="91440" bIns="45720" anchor="t" anchorCtr="0" upright="1">
                        <a:noAutofit/>
                      </wps:bodyPr>
                    </wps:wsp>
                  </a:graphicData>
                </a:graphic>
              </wp:anchor>
            </w:drawing>
          </mc:Choice>
          <mc:Fallback>
            <w:pict>
              <v:shape id="文本框 1011" o:spid="_x0000_s1026" o:spt="202" type="#_x0000_t202" style="position:absolute;left:0pt;margin-left:-9pt;margin-top:5.5pt;height:28.5pt;width:72pt;z-index:252003328;mso-width-relative:page;mso-height-relative:page;" filled="f" stroked="f" coordsize="21600,21600" o:gfxdata="UEsDBAoAAAAAAIdO4kAAAAAAAAAAAAAAAAAEAAAAZHJzL1BLAwQUAAAACACHTuJAxO+ekdUAAAAJ&#10;AQAADwAAAGRycy9kb3ducmV2LnhtbE2PT0/DMAzF70h8h8hIu21OJ6hGaboDiCsT44/ELWu8tqJx&#10;qiZby7fHO8HJtn5Pz++V29n36kxj7AIbyFYaFHEdXMeNgfe35+UGVEyWne0Dk4EfirCtrq9KW7gw&#10;8Sud96lRYsKxsAbalIYCMdYteRtXYSAWdgyjt0nOsUE32knMfY9rrXP0tmP50NqBHluqv/cnb+Dj&#10;5fj1eat3zZO/G6Ywa2R/j8YsbjL9ACrRnP7EcIkv0aGSTIdwYhdVb2CZbaRLEpDJvAjWuSwHA7kA&#10;rEr836D6BVBLAwQUAAAACACHTuJARYYbdhcCAAAYBAAADgAAAGRycy9lMm9Eb2MueG1srVPBjtMw&#10;EL0j8Q+W7zRJ6ZZt1HS1bLUIaWGRFj7AdZzGIvaYsdukfAD7B5y4cOe7+h1MnG4py2UPXCzbM37z&#10;3pvx/KIzDdsq9BpswbNRypmyEkpt1wX/9PH6xTlnPghbigasKvhOeX6xeP5s3rpcjaGGplTICMT6&#10;vHUFr0NweZJ4WSsj/AicshSsAI0IdMR1UqJoCd00yThNp0kLWDoEqbyn2+UQ5AdEfAogVJWWagly&#10;Y5QNAyqqRgSS5GvtPF9EtlWlZLitKq8CawpOSkNcqQjtV/2aLOYiX6NwtZYHCuIpFB5pMkJbKnqE&#10;Woog2Ab1P1BGSwQPVRhJMMkgJDpCKrL0kTd3tXAqaiGrvTua7v8frHy//YBMlwWfTTmzwlDH99/v&#10;9z9+7X9+Y1maZb1FrfM5Zd45yg3da+hocKJc725AfvbMwlUt7FpdIkJbK1ESxfgyOXk64PgeZNW+&#10;g5JKiU2ACNRVaHr/yBFG6NSe3bE9qgtM0uUsm0xSikgKvZxms7PYvkTkD48d+vBGgWH9puBI3Y/g&#10;YnvjA8mg1IeUvpaFa900cQIa+9cFJfY3kXzPd2AeulV3MGMF5Y5kIAwDRd+JNjXgV85aGqaC+y8b&#10;gYqz5q0lKyJzmr54mJy9GpMKPI2sTiPCSoIqeOBs2F6FYWI3DvW6pkqD+RYuyb5KR2m9zwOrA28a&#10;mKj4MNz9RJ6eY9af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vnpHVAAAACQEAAA8AAAAA&#10;AAAAAQAgAAAAIgAAAGRycy9kb3ducmV2LnhtbFBLAQIUABQAAAAIAIdO4kBFhht2FwIAABgEAAAO&#10;AAAAAAAAAAEAIAAAACQ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txbxContent>
                </v:textbox>
              </v:shape>
            </w:pict>
          </mc:Fallback>
        </mc:AlternateContent>
      </w:r>
      <w:r>
        <w:rPr>
          <w:rFonts w:hint="eastAsia" w:ascii="仿宋" w:hAnsi="仿宋" w:eastAsia="仿宋" w:cs="仿宋"/>
          <w:color w:val="auto"/>
          <w:sz w:val="24"/>
          <w:szCs w:val="24"/>
          <w:highlight w:val="none"/>
        </w:rPr>
        <w:t>合同履行期间，由于非承包人责任产生的现场签证费用，合同双方当事人应调整合同价格。</w:t>
      </w:r>
    </w:p>
    <w:p>
      <w:pPr>
        <w:spacing w:line="360" w:lineRule="auto"/>
        <w:rPr>
          <w:rFonts w:ascii="仿宋" w:hAnsi="仿宋" w:eastAsia="仿宋"/>
          <w:b/>
          <w:bCs/>
          <w:color w:val="auto"/>
          <w:highlight w:val="none"/>
          <w:lang w:eastAsia="zh-CN"/>
        </w:rPr>
      </w:pPr>
      <w:bookmarkStart w:id="542"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5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48" w:leftChars="770" w:firstLine="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95" name="文本框 1012"/>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pPr>
                              <w:pStyle w:val="17"/>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026" o:spt="202" type="#_x0000_t202" style="position:absolute;left:0pt;margin-left:-9pt;margin-top:1.45pt;height:40.2pt;width:72pt;z-index:252004352;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cCrUcRcCAAAYBAAADgAAAGRycy9lMm9Eb2MueG1srVPNjtMw&#10;EL4j8Q6W7zRJ1QIbNV0tWy1CWn6khQdwHaexiD1m7DZZHgDeYE9cuPNcfQ7GTreU5bIHLpbtGX/z&#10;fd+MF+eD6dhOoddgK15Mcs6UlVBru6n4p49Xz15y5oOwtejAqorfKs/Pl0+fLHpXqim00NUKGYFY&#10;X/au4m0IrswyL1tlhJ+AU5aCDaARgY64yWoUPaGbLpvm+fOsB6wdglTe0+1qDPIDIj4GEJpGS7UC&#10;uTXKhhEVVScCSfKtdp4vE9umUTK8bxqvAusqTkpDWqkI7ddxzZYLUW5QuFbLAwXxGAoPNBmhLRU9&#10;Qq1EEGyL+h8ooyWChyZMJJhsFJIcIRVF/sCbm1Y4lbSQ1d4dTff/D1a+231ApuuKn805s8JQx/d3&#10;3/c/fu1/fmNFXkyjRb3zJWXeOMoNwysYaHCSXO+uQX72zMJlK+xGXSBC3ypRE8UivsxOno44PoKs&#10;+7dQUymxDZCAhgZN9I8cYYRO7bk9tkcNgUm6PCtms5wikkLzIp/PUvsyUd4/dujDawWGxU3Fkbqf&#10;wMXu2odIRpT3KbGWhSvddWkCOvvXBSXGm0Q+8h2Zh2E9HMxYQ31LMhDGgaLvRJsW8CtnPQ1Txf2X&#10;rUDFWffGkhWJOU1fOszmL6akAk8j69OIsJKgKh44G7eXYZzYrUO9aanSaL6FC7Kv0Ula9HlkdeBN&#10;A5MUH4Y7TuTpOWX9+dD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GXnnfVAAAACAEAAA8AAAAA&#10;AAAAAQAgAAAAIgAAAGRycy9kb3ducmV2LnhtbFBLAQIUABQAAAAIAIdO4kBwKtRxFwIAABgEAAAO&#10;AAAAAAAAAAEAIAAAACQBAABkcnMvZTJvRG9jLnhtbFBLBQYAAAAABgAGAFkBAACtBQAAAAA=&#10;">
                <v:fill on="f" focussize="0,0"/>
                <v:stroke on="f"/>
                <v:imagedata o:title=""/>
                <o:lock v:ext="edit" aspectratio="f"/>
                <v:textbox>
                  <w:txbxContent>
                    <w:p>
                      <w:pPr>
                        <w:pStyle w:val="1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rPr>
        <w:t>承包人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pPr>
        <w:spacing w:line="360" w:lineRule="auto"/>
        <w:rPr>
          <w:rFonts w:ascii="仿宋" w:hAnsi="仿宋" w:eastAsia="仿宋"/>
          <w:b/>
          <w:bCs/>
          <w:color w:val="auto"/>
          <w:highlight w:val="none"/>
          <w:lang w:eastAsia="zh-CN"/>
        </w:rPr>
      </w:pPr>
      <w:bookmarkStart w:id="543"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5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94"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pPr>
                              <w:pStyle w:val="17"/>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026" o:spt="202" type="#_x0000_t202" style="position:absolute;left:0pt;margin-left:-9pt;margin-top:0.4pt;height:40.2pt;width:72pt;z-index:2520053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AiQLKMXAgAAGAQAAA4AAABkcnMvZTJvRG9jLnhtbK1TzY7TMBC+&#10;I/EOlu80SWmBjZqulq0WIS0/0sIDuI7TWMQeM3abLA8Ab8CJC3eeq8/B2OmWslz2wMWyPeNvvu+b&#10;8eJ8MB3bKfQabMWLSc6ZshJqbTcV//jh6skLznwQthYdWFXxW+X5+fLxo0XvSjWFFrpaISMQ68ve&#10;VbwNwZVZ5mWrjPATcMpSsAE0ItARN1mNoid002XTPH+W9YC1Q5DKe7pdjUF+QMSHAELTaKlWILdG&#10;2TCioupEIEm+1c7zZWLbNEqGd03jVWBdxUlpSCsVof06rtlyIcoNCtdqeaAgHkLhniYjtKWiR6iV&#10;CIJtUf8DZbRE8NCEiQSTjUKSI6SiyO95c9MKp5IWstq7o+n+/8HKt7v3yHRd8bMZZ1YY6vj++7f9&#10;j1/7n19ZkRdPo0W98yVl3jjKDcNLGGhwklzvrkF+8szCZSvsRl0gQt8qURPFIr7MTp6OOD6CrPs3&#10;UFMpsQ2QgIYGTfSPHGGETu25PbZHDYFJujwrZrOcIpJC8yKfz1L7MlHePXbowysFhsVNxZG6n8DF&#10;7tqHSEaUdymxloUr3XVpAjr71wUlxptEPvIdmYdhPRzMWEN9SzIQxoGi70SbFvALZz0NU8X9561A&#10;xVn32pIViTlNXzrM5s+npAJPI+vTiLCSoCoeOBu3l2Gc2K1DvWmp0mi+hQuyr9FJWvR5ZHXgTQOT&#10;FB+GO07k6Tll/fnQ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bjX+0wAAAAcBAAAPAAAAAAAA&#10;AAEAIAAAACIAAABkcnMvZG93bnJldi54bWxQSwECFAAUAAAACACHTuJACJAsoxcCAAAYBAAADgAA&#10;AAAAAAABACAAAAAiAQAAZHJzL2Uyb0RvYy54bWxQSwUGAAAAAAYABgBZAQAAqwUAAAAA&#10;">
                <v:fill on="f" focussize="0,0"/>
                <v:stroke on="f"/>
                <v:imagedata o:title=""/>
                <o:lock v:ext="edit" aspectratio="f"/>
                <v:textbox>
                  <w:txbxContent>
                    <w:p>
                      <w:pPr>
                        <w:pStyle w:val="1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rPr>
        <w:t>除专用条款另有约定外，承包人应在收到监理人书面通知后的 7 天内，向发包人提交现场签证报告，并抄送监理人、造价咨询人。发包人在收到承包人的现场签证报告后，应通知监理人、造价咨询人对报告内容予以核实，并在收到现场签证报告后的 48 小时内予以确认或提出修改意见。发包人在收到承包人现场签证报告后的 48 小时内未确认也未提出修改意见的，视为承包人提交的现场签证报告已被认可。</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93" name="文本框 1014"/>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pPr>
                              <w:pStyle w:val="17"/>
                              <w:spacing w:line="200" w:lineRule="exact"/>
                            </w:pPr>
                            <w:r>
                              <w:rPr>
                                <w:rFonts w:hint="eastAsia" w:ascii="楷体_GB2312" w:hAnsi="宋体" w:eastAsia="楷体_GB2312" w:cs="楷体_GB2312"/>
                                <w:b/>
                                <w:bCs/>
                                <w:color w:val="000000"/>
                                <w:sz w:val="18"/>
                                <w:szCs w:val="18"/>
                              </w:rPr>
                              <w:t>现场签证的要求</w:t>
                            </w:r>
                          </w:p>
                          <w:p/>
                        </w:txbxContent>
                      </wps:txbx>
                      <wps:bodyPr rot="0" vert="horz" wrap="square" lIns="91440" tIns="45720" rIns="91440" bIns="45720" anchor="t" anchorCtr="0" upright="1">
                        <a:noAutofit/>
                      </wps:bodyPr>
                    </wps:wsp>
                  </a:graphicData>
                </a:graphic>
              </wp:anchor>
            </w:drawing>
          </mc:Choice>
          <mc:Fallback>
            <w:pict>
              <v:shape id="文本框 1014" o:spid="_x0000_s1026" o:spt="202" type="#_x0000_t202" style="position:absolute;left:0pt;margin-left:-9pt;margin-top:2.7pt;height:37.8pt;width:72pt;z-index:252006400;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nQHkyBcCAAAYBAAADgAAAGRycy9lMm9Eb2MueG1srVPLjtMw&#10;FN0j8Q+W9zRJKTATNR0NUw1CGh7SwAe4jtNYxL7m2m1SPgD+gBUb9nxXv4Nrp1PKsJkFm8j2tc89&#10;59yT+cVgOrZV6DXYiheTnDNlJdTariv+8cP1kzPOfBC2Fh1YVfGd8vxi8fjRvHelmkILXa2QEYj1&#10;Ze8q3obgyizzslVG+Ak4ZanYABoRaIvrrEbRE7rpsmmeP896wNohSOU9nS7HIj8g4kMAoWm0VEuQ&#10;G6NsGFFRdSKQJN9q5/kisW0aJcO7pvEqsK7ipDSkLzWh9Sp+s8VclGsUrtXyQEE8hMI9TUZoS02P&#10;UEsRBNug/gfKaIngoQkTCSYbhSRHSEWR3/PmthVOJS1ktXdH0/3/g5Vvt++R6bri5085s8LQxPff&#10;v+1//Nr//MqKvJhFi3rnS7p56+huGF7CQMFJcr27AfnJMwtXrbBrdYkIfatETRSL+DI7eTri+Aiy&#10;6t9ATa3EJkACGho00T9yhBE6jWd3HI8aApN0eF7MZjlVJJVmZxSlNL5MlHePHfrwSoFhcVFxpOkn&#10;cLG98SGSEeXdldjLwrXuupSAzv51QBfjSSIf+Y7Mw7AaDmasoN6RDIQxUPQ70aIF/MJZT2GquP+8&#10;Eag4615bsiIxp/SlzezZiympwNPK6rQirCSoigfOxuVVGBO7cajXLXUazbdwSfY1OkmLPo+sDrwp&#10;MEnxIdwxkaf7dOvP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cztPfVAAAACAEAAA8AAAAA&#10;AAAAAQAgAAAAIgAAAGRycy9kb3ducmV2LnhtbFBLAQIUABQAAAAIAIdO4kCdAeTIFwIAABgEAAAO&#10;AAAAAAAAAAEAIAAAACQBAABkcnMvZTJvRG9jLnhtbFBLBQYAAAAABgAGAFkBAACtBQAAAAA=&#10;">
                <v:fill on="f" focussize="0,0"/>
                <v:stroke on="f"/>
                <v:imagedata o:title=""/>
                <o:lock v:ext="edit" aspectratio="f"/>
                <v:textbox>
                  <w:txbxContent>
                    <w:p>
                      <w:pPr>
                        <w:pStyle w:val="17"/>
                        <w:spacing w:line="200" w:lineRule="exact"/>
                      </w:pPr>
                      <w:r>
                        <w:rPr>
                          <w:rFonts w:hint="eastAsia" w:ascii="楷体_GB2312" w:hAnsi="宋体" w:eastAsia="楷体_GB2312" w:cs="楷体_GB2312"/>
                          <w:b/>
                          <w:bCs/>
                          <w:color w:val="000000"/>
                          <w:sz w:val="18"/>
                          <w:szCs w:val="18"/>
                        </w:rPr>
                        <w:t>现场签证的要求</w:t>
                      </w:r>
                    </w:p>
                    <w:p/>
                  </w:txbxContent>
                </v:textbox>
              </v:shape>
            </w:pict>
          </mc:Fallback>
        </mc:AlternateContent>
      </w:r>
      <w:r>
        <w:rPr>
          <w:rFonts w:hint="eastAsia" w:ascii="仿宋" w:hAnsi="仿宋" w:eastAsia="仿宋" w:cs="仿宋"/>
          <w:color w:val="auto"/>
          <w:sz w:val="24"/>
          <w:szCs w:val="24"/>
          <w:highlight w:val="none"/>
        </w:rPr>
        <w:t>计日工有相应单价或合同中有适用单价的项目，合同双方当事人仅在现场签证报告中列明完成该类项目所需的人工、工程材料、工程设备和施工设备机械台班的数量。</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计日工没有相应单价或合同中没有适用单价的项目，合同双方当事人应在现场签证报告中列明完成这类项目所需的人工、工程材料、工程设备和施工设备机械台班的数量和单价。</w:t>
      </w:r>
    </w:p>
    <w:p>
      <w:pPr>
        <w:spacing w:line="360" w:lineRule="auto"/>
        <w:rPr>
          <w:rFonts w:ascii="仿宋" w:hAnsi="仿宋" w:eastAsia="仿宋"/>
          <w:b/>
          <w:bCs/>
          <w:color w:val="auto"/>
          <w:highlight w:val="none"/>
          <w:lang w:eastAsia="zh-CN"/>
        </w:rPr>
      </w:pPr>
      <w:bookmarkStart w:id="544"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5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92" name="文本框 1015"/>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txbxContent>
                      </wps:txbx>
                      <wps:bodyPr rot="0" vert="horz" wrap="square" lIns="91440" tIns="45720" rIns="91440" bIns="45720" anchor="t" anchorCtr="0" upright="1">
                        <a:noAutofit/>
                      </wps:bodyPr>
                    </wps:wsp>
                  </a:graphicData>
                </a:graphic>
              </wp:anchor>
            </w:drawing>
          </mc:Choice>
          <mc:Fallback>
            <w:pict>
              <v:shape id="文本框 1015" o:spid="_x0000_s1026" o:spt="202" type="#_x0000_t202" style="position:absolute;left:0pt;margin-left:-9pt;margin-top:6.1pt;height:37.8pt;width:72pt;z-index:25200742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W7HBoXAgAAGAQAAA4AAABkcnMvZTJvRG9jLnhtbK1Ty47T&#10;MBTdI/EPlvc0SdWBmajpaJhqENLwkAY+wHWcxiL2Ndduk/IB8Aes2LDnu/odXDudUobNLNhEtq99&#10;7jnnnswvB9OxrUKvwVa8mOScKSuh1nZd8Y8fbp6dc+aDsLXowKqK75Tnl4unT+a9K9UUWuhqhYxA&#10;rC97V/E2BFdmmZetMsJPwClLxQbQiEBbXGc1ip7QTZdN8/x51gPWDkEq7+l0ORb5AREfAwhNo6Va&#10;gtwYZcOIiqoTgST5VjvPF4lt0ygZ3jWNV4F1FSelIX2pCa1X8Zst5qJco3CtlgcK4jEUHmgyQltq&#10;eoRaiiDYBvU/UEZLBA9NmEgw2SgkOUIqivyBN3etcCppIau9O5ru/x+sfLt9j0zXFb+YcmaFoYnv&#10;v3/b//i1//mVFXlxFi3qnS/p5p2ju2F4CQMFJ8n17hbkJ88sXLfCrtUVIvStEjVRLOLL7OTpiOMj&#10;yKp/AzW1EpsACWho0ET/yBFG6DSe3XE8aghM0uFFMZvlVJFUmp1TlNL4MlHeP3bowysFhsVFxZGm&#10;n8DF9taHSEaU91diLws3uutSAjr71wFdjCeJfOQ7Mg/DajiYsYJ6RzIQxkDR70SLFvALZz2FqeL+&#10;80ag4qx7bcmKxJzSlzazsxdTUoGnldVpRVhJUBUPnI3L6zAmduNQr1vqNJpv4Yrsa3SSFn0eWR14&#10;U2CS4kO4YyJP9+nWnx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bHp6c1gAAAAkBAAAPAAAA&#10;AAAAAAEAIAAAACIAAABkcnMvZG93bnJldi54bWxQSwECFAAUAAAACACHTuJA5bscGhcCAAAYBAAA&#10;DgAAAAAAAAABACAAAAAlAQAAZHJzL2Uyb0RvYy54bWxQSwUGAAAAAAYABgBZAQAArgUAAAAA&#10;">
                <v:fill on="f" focussize="0,0"/>
                <v:stroke on="f"/>
                <v:imagedata o:title=""/>
                <o:lock v:ext="edit" aspectratio="f"/>
                <v:textbox>
                  <w:txbxContent>
                    <w:p>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txbxContent>
                </v:textbox>
              </v:shape>
            </w:pict>
          </mc:Fallback>
        </mc:AlternateContent>
      </w:r>
      <w:r>
        <w:rPr>
          <w:rFonts w:hint="eastAsia" w:ascii="仿宋" w:hAnsi="仿宋" w:eastAsia="仿宋" w:cs="仿宋"/>
          <w:color w:val="auto"/>
          <w:sz w:val="24"/>
          <w:szCs w:val="24"/>
          <w:highlight w:val="none"/>
        </w:rPr>
        <w:t>承包人应在发包人确认现场签证报告后的 48 小时内，按照监理人发出的工作指令及时组织实施相关工作。否则，由此引起的损失和（或）延误的工期由承包人承担。</w:t>
      </w:r>
    </w:p>
    <w:p>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91" name="文本框 1016"/>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026" o:spt="202" type="#_x0000_t202" style="position:absolute;left:0pt;margin-left:-9pt;margin-top:6.1pt;height:37.8pt;width:72pt;z-index:25200844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CxzZLYXAgAAGAQAAA4AAABkcnMvZTJvRG9jLnhtbK1Ty47T&#10;MBTdI/EPlvc0SVWGmajpaJhqENLwkAY+wHWcxiL2Ndduk/IB8Aes2LDnu/odXDudUobNLNhEtq99&#10;7jnnnswvB9OxrUKvwVa8mOScKSuh1nZd8Y8fbp6dc+aDsLXowKqK75Tnl4unT+a9K9UUWuhqhYxA&#10;rC97V/E2BFdmmZetMsJPwClLxQbQiEBbXGc1ip7QTZdN8/ws6wFrhyCV93S6HIv8gIiPAYSm0VIt&#10;QW6MsmFERdWJQJJ8q53ni8S2aZQM75rGq8C6ipPSkL7UhNar+M0Wc1GuUbhWywMF8RgKDzQZoS01&#10;PUItRRBsg/ofKKMlgocmTCSYbBSSHCEVRf7Am7tWOJW0kNXeHU33/w9Wvt2+R6bril8UnFlhaOL7&#10;79/2P37tf35lRV6cRYt650u6eefobhhewkDBSXK9uwX5yTML162wa3WFCH2rRE0Ui/gyO3k64vgI&#10;surfQE2txCZAAhoaNNE/coQROo1ndxyPGgKTdHhRzGY5VSSVZucUpTS+TJT3jx368EqBYXFRcaTp&#10;J3CxvfUhkhHl/ZXYy8KN7rqUgM7+dUAX40kiH/mOzMOwGg5mrKDekQyEMVD0O9GiBfzCWU9hqrj/&#10;vBGoOOteW7IiMaf0pc3s+YspqcDTyuq0IqwkqIoHzsbldRgTu3Go1y11Gs23cEX2NTpJiz6PrA68&#10;KTBJ8SHcMZGn+3Trz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bHp6c1gAAAAkBAAAPAAAA&#10;AAAAAAEAIAAAACIAAABkcnMvZG93bnJldi54bWxQSwECFAAUAAAACACHTuJALHNkthcCAAAYBAAA&#10;DgAAAAAAAAABACAAAAAlAQAAZHJzL2Uyb0RvYy54bWxQSwUGAAAAAAYABgBZAQAArgUAAAAA&#10;">
                <v:fill on="f" focussize="0,0"/>
                <v:stroke on="f"/>
                <v:imagedata o:title=""/>
                <o:lock v:ext="edit" aspectratio="f"/>
                <v:textbox>
                  <w:txbxContent>
                    <w:p>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rPr>
        <w:t>合同工程发生现场签证事项，未经发包人签证、确认，承包人便擅自实施相关工作的，除非征得发包人同意，否则发生的费用由承包人承担。</w:t>
      </w:r>
    </w:p>
    <w:p>
      <w:pPr>
        <w:spacing w:line="360" w:lineRule="auto"/>
        <w:rPr>
          <w:rFonts w:ascii="仿宋" w:hAnsi="仿宋" w:eastAsia="仿宋" w:cs="仿宋"/>
          <w:b/>
          <w:bCs/>
          <w:color w:val="auto"/>
          <w:highlight w:val="none"/>
          <w:u w:val="dotted"/>
          <w:lang w:eastAsia="zh-CN"/>
        </w:rPr>
      </w:pPr>
      <w:bookmarkStart w:id="545"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5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90"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pPr>
                              <w:pStyle w:val="22"/>
                              <w:adjustRightInd w:val="0"/>
                              <w:snapToGrid w:val="0"/>
                              <w:rPr>
                                <w:rFonts w:ascii="Times New Roman" w:hAnsi="Times New Roman" w:eastAsia="楷体_GB2312"/>
                                <w:b/>
                                <w:bCs/>
                                <w:sz w:val="18"/>
                                <w:szCs w:val="18"/>
                              </w:rPr>
                            </w:pPr>
                          </w:p>
                          <w:p>
                            <w:pPr>
                              <w:pStyle w:val="22"/>
                              <w:adjustRightInd w:val="0"/>
                              <w:snapToGrid w:val="0"/>
                              <w:spacing w:line="360" w:lineRule="auto"/>
                              <w:rPr>
                                <w:rFonts w:ascii="Times New Roman" w:hAnsi="Times New Roman" w:eastAsia="楷体_GB2312"/>
                                <w:b/>
                                <w:bCs/>
                                <w:sz w:val="18"/>
                                <w:szCs w:val="18"/>
                              </w:rPr>
                            </w:pPr>
                          </w:p>
                          <w:p/>
                        </w:txbxContent>
                      </wps:txbx>
                      <wps:bodyPr rot="0" vert="horz" wrap="square" lIns="91440" tIns="45720" rIns="91440" bIns="45720" anchor="t" anchorCtr="0" upright="1">
                        <a:noAutofit/>
                      </wps:bodyPr>
                    </wps:wsp>
                  </a:graphicData>
                </a:graphic>
              </wp:anchor>
            </w:drawing>
          </mc:Choice>
          <mc:Fallback>
            <w:pict>
              <v:shape id="文本框 1017" o:spid="_x0000_s1026" o:spt="202" type="#_x0000_t202" style="position:absolute;left:0pt;margin-left:-9pt;margin-top:6.1pt;height:37.8pt;width:72pt;z-index:2520094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FTJnGQWAgAAGAQAAA4AAABkcnMvZTJvRG9jLnhtbK1Ty47T&#10;MBTdI/EPlvc0SVWYmajpaJhqENLwkAY+wHWcxiL2Ndduk/IB8Aes2LDnu/odXDudUobNLNhEtu/1&#10;ueccn8wvB9OxrUKvwVa8mOScKSuh1nZd8Y8fbp6dc+aDsLXowKqK75Tnl4unT+a9K9UUWuhqhYxA&#10;rC97V/E2BFdmmZetMsJPwClLxQbQiEBbXGc1ip7QTZdN8/xF1gPWDkEq7+l0ORb5AREfAwhNo6Va&#10;gtwYZcOIiqoTgST5VjvPF4lt0ygZ3jWNV4F1FSelIX1pCK1X8Zst5qJco3CtlgcK4jEUHmgyQlsa&#10;eoRaiiDYBvU/UEZLBA9NmEgw2SgkOUIqivyBN3etcCppIau9O5ru/x+sfLt9j0zXFb8gS6ww9OL7&#10;79/2P37tf35lRV6cRYt650vqvHPUG4aXMFBwklzvbkF+8szCdSvsWl0hQt8qURPFIt7MTq6OOD6C&#10;rPo3UNMosQmQgIYGTfSPHGGETlx2x+dRQ2CSDi+K2SyniqTS7JyilJ4vE+X9ZYc+vFJgWFxUHOn1&#10;E7jY3voQyYjyviXOsnCjuy4loLN/HVBjPEnkI9+ReRhWw8GMFdQ7koEwBop+J1q0gF846ylMFfef&#10;NwIVZ91rS1Yk5pS+tJk9P5uSCjytrE4rwkqCqnjgbFxehzGxG4d63dKk0XwLV2Rfo5O06PPI6sCb&#10;ApMUH8IdE3m6T11/fuj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senpzWAAAACQEAAA8AAAAA&#10;AAAAAQAgAAAAIgAAAGRycy9kb3ducmV2LnhtbFBLAQIUABQAAAAIAIdO4kBUyZxkFgIAABgEAAAO&#10;AAAAAAAAAAEAIAAAACUBAABkcnMvZTJvRG9jLnhtbFBLBQYAAAAABgAGAFkBAACt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pPr>
                        <w:pStyle w:val="22"/>
                        <w:adjustRightInd w:val="0"/>
                        <w:snapToGrid w:val="0"/>
                        <w:rPr>
                          <w:rFonts w:ascii="Times New Roman" w:hAnsi="Times New Roman" w:eastAsia="楷体_GB2312"/>
                          <w:b/>
                          <w:bCs/>
                          <w:sz w:val="18"/>
                          <w:szCs w:val="18"/>
                        </w:rPr>
                      </w:pPr>
                    </w:p>
                    <w:p>
                      <w:pPr>
                        <w:pStyle w:val="22"/>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仿宋" w:hAnsi="仿宋" w:eastAsia="仿宋" w:cs="仿宋"/>
          <w:color w:val="auto"/>
          <w:sz w:val="24"/>
          <w:szCs w:val="24"/>
          <w:highlight w:val="none"/>
        </w:rPr>
        <w:t>现场签证工作完成后的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小时内，合同双方当事人应确认由此引起调整的合同价格，并作为追加合同价格，与工程进度款同期支付。</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46" w:name="_Toc7250"/>
      <w:bookmarkStart w:id="547" w:name="_Toc47694358"/>
      <w:bookmarkStart w:id="548" w:name="_Toc32077"/>
      <w:r>
        <w:rPr>
          <w:rFonts w:hint="eastAsia" w:ascii="仿宋" w:hAnsi="仿宋" w:eastAsia="仿宋" w:cs="仿宋"/>
          <w:bCs w:val="0"/>
          <w:color w:val="auto"/>
          <w:sz w:val="24"/>
          <w:szCs w:val="24"/>
          <w:highlight w:val="none"/>
        </w:rPr>
        <w:t>★82</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物价涨落的价格调整</w:t>
      </w:r>
      <w:bookmarkEnd w:id="546"/>
      <w:bookmarkEnd w:id="547"/>
      <w:bookmarkEnd w:id="548"/>
    </w:p>
    <w:p>
      <w:pPr>
        <w:pStyle w:val="22"/>
        <w:widowControl w:val="0"/>
        <w:adjustRightInd w:val="0"/>
        <w:snapToGrid w:val="0"/>
        <w:spacing w:line="360" w:lineRule="auto"/>
        <w:rPr>
          <w:rFonts w:ascii="仿宋" w:hAnsi="仿宋" w:eastAsia="仿宋" w:cs="仿宋"/>
          <w:b/>
          <w:bCs/>
          <w:color w:val="auto"/>
          <w:sz w:val="24"/>
          <w:szCs w:val="24"/>
          <w:highlight w:val="none"/>
        </w:rPr>
      </w:pPr>
      <w:r>
        <w:rPr>
          <w:b/>
          <w:color w:val="auto"/>
          <w:highlight w:val="none"/>
          <w:lang w:val="en-US"/>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89" name="文本框 1018"/>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026" o:spt="202" type="#_x0000_t202" style="position:absolute;left:0pt;margin-left:-9pt;margin-top:21.6pt;height:46.55pt;width:72pt;z-index:252087296;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CnhGcFGAIAABgEAAAOAAAAZHJzL2Uyb0RvYy54bWytU0tu&#10;2zAQ3RfoHQjua0mG3dqC5SCNkaJA+gGSHoCmKIuoxGGHtCX3AO0Nuuqm+57L58iQclw33WTRjUBy&#10;hm/ee3xaXPRtw3YKnQZT8GyUcqaMhFKbTcE/3V2/mHHmvDClaMCogu+V4xfL588Wnc3VGGpoSoWM&#10;QIzLO1vw2nubJ4mTtWqFG4FVhooVYCs8bXGTlCg6Qm+bZJymL5MOsLQIUjlHp6uhyI+I+BRAqCot&#10;1QrktlXGD6ioGuFJkqu1dXwZ2VaVkv5DVTnlWVNwUurjl4bQeh2+yXIh8g0KW2t5pCCeQuGRplZo&#10;Q0NPUCvhBdui/geq1RLBQeVHEtpkEBIdIRVZ+sib21pYFbWQ1c6eTHf/D1a+331EpsuCz+acGdHS&#10;ix9+fD/8/H349Y1laTYLFnXW5dR5a6nX96+hp+BEuc7egPzsmIGrWpiNukSErlaiJIpZuJmcXR1w&#10;XABZd++gpFFi6yEC9RW2wT9yhBE6Pc/+9Dyq90zS4TybTFKqSCpN51k2m8YJIn+4bNH5NwpaFhYF&#10;R3r9CC52N84HMiJ/aAmzDFzrpokJaMxfB9QYTiL5wHdg7vt1fzRjDeWeZCAMgaLfiRY14FfOOgpT&#10;wd2XrUDFWfPWkBWROaUvbibTV2NSgeeV9XlFGElQBfecDcsrPyR2a1Fvapo0mG/gkuyrdJQWfB5Y&#10;HXlTYKLiY7hDIs/3sevPD72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yqi3XAAAACgEAAA8A&#10;AAAAAAAAAQAgAAAAIgAAAGRycy9kb3ducmV2LnhtbFBLAQIUABQAAAAIAIdO4kCnhGcFGAIAABgE&#10;AAAOAAAAAAAAAAEAIAAAACYBAABkcnMvZTJvRG9jLnhtbFBLBQYAAAAABgAGAFkBAACw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rPr>
        <w:t>82</w:t>
      </w:r>
      <w:r>
        <w:rPr>
          <w:rFonts w:ascii="仿宋" w:hAnsi="仿宋" w:eastAsia="仿宋" w:cs="仿宋"/>
          <w:b/>
          <w:bCs/>
          <w:color w:val="auto"/>
          <w:sz w:val="24"/>
          <w:szCs w:val="24"/>
          <w:highlight w:val="none"/>
        </w:rPr>
        <w:t>.1</w:t>
      </w:r>
    </w:p>
    <w:p>
      <w:pPr>
        <w:pStyle w:val="22"/>
        <w:widowControl w:val="0"/>
        <w:adjustRightInd w:val="0"/>
        <w:snapToGrid w:val="0"/>
        <w:spacing w:line="420" w:lineRule="exact"/>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 82.3 款选择一种方式对合同价格进行调整。</w:t>
      </w:r>
    </w:p>
    <w:p>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lang w:val="en-US"/>
        </w:rPr>
        <mc:AlternateContent>
          <mc:Choice Requires="wps">
            <w:drawing>
              <wp:anchor distT="0" distB="0" distL="114300" distR="114300" simplePos="0" relativeHeight="252088320"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88" name="文本框 1019"/>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026" o:spt="202" type="#_x0000_t202" style="position:absolute;left:0pt;margin-left:-10.5pt;margin-top:19.5pt;height:48.75pt;width:72pt;z-index:252088320;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VjpKVGAIAABgEAAAOAAAAZHJzL2Uyb0RvYy54bWytU0tu&#10;2zAQ3RfoHQjua0mGk8aC5SCNkaJA+gHSHoCmKIuoxGGHtCX3AO0Nsuqm+57L5+iQUlw33WTRDUFy&#10;hm/eezNcXPZtw3YKnQZT8GyScqaMhFKbTcE/fbx5ccGZ88KUogGjCr5Xjl8unz9bdDZXU6ihKRUy&#10;AjEu72zBa+9tniRO1qoVbgJWGQpWgK3wdMRNUqLoCL1tkmmanicdYGkRpHKObldDkI+I+BRAqCot&#10;1QrktlXGD6ioGuFJkqu1dXwZ2VaVkv59VTnlWVNwUurjSkVovw5rslyIfIPC1lqOFMRTKDzS1Apt&#10;qOgRaiW8YFvU/0C1WiI4qPxEQpsMQqIjpCJLH3lzVwurohay2tmj6e7/wcp3uw/IdFnwC+q7ES11&#10;/HD//fDj1+HnN5al2TxY1FmXU+adpVzfv4KeBifKdfYW5GfHDFzXwmzUFSJ0tRIlUczCy+Tk6YDj&#10;Asi6ewsllRJbDxGor7AN/pEjjNCpPftje1TvmaTLeTabpRSRFDrP5tn0LFYQ+cNji86/VtCysCk4&#10;UvcjuNjdOh/IiPwhJdQycKObJk5AY/66oMRwE8kHvgNz36/70Yw1lHuSgTAMFH0n2tSAXznraJgK&#10;7r5sBSrOmjeGrIjMafriYXb2ckoq8DSyPo0IIwmq4J6zYXvth4ndWtSbmioN5hu4IvsqHaUFnwdW&#10;I28amKh4HO4wkafnmPXn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nPrZfXAAAACgEAAA8A&#10;AAAAAAAAAQAgAAAAIgAAAGRycy9kb3ducmV2LnhtbFBLAQIUABQAAAAIAIdO4kAVjpKVGAIAABgE&#10;AAAOAAAAAAAAAAEAIAAAACYBAABkcnMvZTJvRG9jLnhtbFBLBQYAAAAABgAGAFkBAACwBQ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rPr>
        <w:t>82</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420" w:lineRule="exact"/>
        <w:ind w:left="1850" w:leftChars="771"/>
        <w:jc w:val="both"/>
        <w:rPr>
          <w:color w:val="auto"/>
          <w:highlight w:val="none"/>
        </w:rPr>
      </w:pPr>
      <w:r>
        <w:rPr>
          <w:rFonts w:hint="eastAsia" w:ascii="仿宋" w:hAnsi="仿宋" w:eastAsia="仿宋" w:cs="仿宋"/>
          <w:color w:val="auto"/>
          <w:sz w:val="24"/>
          <w:szCs w:val="24"/>
          <w:highlight w:val="none"/>
        </w:rPr>
        <w:t>执行第82</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款“第 1 种方式：采用本地造价管理机构发布的价格指导文件进行价格调整”约定的，合同当事人应按文件规定调整合同价格，但承包人对人工费或人工单价的报价高于发布价格的除外；或由合同当事人在专用条款中约定人工费、人工单价调整条件。</w:t>
      </w:r>
    </w:p>
    <w:p>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hint="eastAsia" w:ascii="仿宋" w:hAnsi="仿宋" w:eastAsia="仿宋" w:cs="仿宋"/>
          <w:b/>
          <w:bCs/>
          <w:color w:val="auto"/>
          <w:sz w:val="24"/>
          <w:szCs w:val="24"/>
          <w:highlight w:val="none"/>
        </w:rPr>
        <w:t>82</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rPr>
        <w:t xml:space="preserve">                                                                      </w:t>
      </w:r>
    </w:p>
    <w:p>
      <w:pPr>
        <w:widowControl w:val="0"/>
        <w:spacing w:line="360" w:lineRule="auto"/>
        <w:ind w:left="1850" w:leftChars="771"/>
        <w:jc w:val="both"/>
        <w:rPr>
          <w:rFonts w:ascii="仿宋" w:hAnsi="仿宋" w:eastAsia="仿宋" w:cs="仿宋"/>
          <w:color w:val="auto"/>
          <w:highlight w:val="none"/>
          <w:lang w:val="zh-CN" w:eastAsia="zh-CN" w:bidi="ar-SA"/>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87" name="文本框 1020"/>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wps:spPr>
                      <wps:txb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w:t>
                            </w:r>
                            <w:r>
                              <w:rPr>
                                <w:rFonts w:hint="eastAsia" w:ascii="楷体_GB2312" w:hAnsi="宋体" w:eastAsia="楷体_GB2312" w:cs="楷体_GB2312"/>
                                <w:b/>
                                <w:bCs/>
                                <w:color w:val="000000"/>
                                <w:sz w:val="18"/>
                                <w:szCs w:val="18"/>
                                <w:lang w:val="en-US"/>
                              </w:rPr>
                              <w:t>工程</w:t>
                            </w:r>
                            <w:r>
                              <w:rPr>
                                <w:rFonts w:hint="eastAsia" w:ascii="楷体_GB2312" w:hAnsi="宋体" w:eastAsia="楷体_GB2312" w:cs="楷体_GB2312"/>
                                <w:b/>
                                <w:bCs/>
                                <w:color w:val="000000"/>
                                <w:sz w:val="18"/>
                                <w:szCs w:val="18"/>
                              </w:rPr>
                              <w:t>材料和工程设备的材料设备费、施工机具</w:t>
                            </w:r>
                            <w:r>
                              <w:rPr>
                                <w:rFonts w:hint="eastAsia" w:ascii="楷体_GB2312" w:hAnsi="宋体" w:eastAsia="楷体_GB2312" w:cs="楷体_GB2312"/>
                                <w:b/>
                                <w:bCs/>
                                <w:color w:val="000000"/>
                                <w:sz w:val="18"/>
                                <w:szCs w:val="18"/>
                                <w:lang w:val="en-US"/>
                              </w:rPr>
                              <w:t>使用</w:t>
                            </w:r>
                            <w:r>
                              <w:rPr>
                                <w:rFonts w:hint="eastAsia" w:ascii="楷体_GB2312" w:hAnsi="宋体" w:eastAsia="楷体_GB2312" w:cs="楷体_GB2312"/>
                                <w:b/>
                                <w:bCs/>
                                <w:color w:val="000000"/>
                                <w:sz w:val="18"/>
                                <w:szCs w:val="18"/>
                              </w:rPr>
                              <w:t>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026" o:spt="202" type="#_x0000_t202" style="position:absolute;left:0pt;margin-left:-9pt;margin-top:1.25pt;height:79pt;width:72pt;z-index:252010496;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KWBMpwXAgAAGQQAAA4AAABkcnMvZTJvRG9jLnhtbK1TzW4T&#10;MRC+I/EOlu9kd9NAyyqbqjQqQio/UuEBHK83a7H2mLGT3fIA8AacuHDnufIcjL1pGsqlBy6W7Rl/&#10;833fjOfng+nYVqHXYCteTHLOlJVQa7uu+KePV8/OOPNB2Fp0YFXFb5Xn54unT+a9K9UUWuhqhYxA&#10;rC97V/E2BFdmmZetMsJPwClLwQbQiEBHXGc1ip7QTZdN8/xF1gPWDkEq7+l2OQb5HhEfAwhNo6Va&#10;gtwYZcOIiqoTgST5VjvPF4lt0ygZ3jeNV4F1FSelIa1UhParuGaLuSjXKFyr5Z6CeAyFB5qM0JaK&#10;HqCWIgi2Qf0PlNESwUMTJhJMNgpJjpCKIn/gzU0rnEpayGrvDqb7/wcr320/INN1xc9OObPCUMd3&#10;P77vfv7e/frGinyaLOqdLynzxlFuGF7BQIOT5Hp3DfKzZxYuW2HX6gIR+laJmigW0dzs6Glsii99&#10;BFn1b6GmUmITIAENDZroHznCCJ3ac3tojxoCk3T5spjNcopIChV5fnJCh1hClHevHfrwWoFhcVNx&#10;pPYndLG99mFMvUuJxSxc6a5LI9DZvy4IM94k9pHwSD0Mq4Gyo4oV1LekA2GcKPpPtGkBv3LW0zRV&#10;3H/ZCFScdW8seZGo0/ilw+z5KdnK8DiyOo4IKwmq4oGzcXsZxpHdONTrliqN7lu4IP8anaTds9rz&#10;polJ5uynO47k8Tll3f/o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QLvP1gAAAAkBAAAPAAAA&#10;AAAAAAEAIAAAACIAAABkcnMvZG93bnJldi54bWxQSwECFAAUAAAACACHTuJApYEynBcCAAAZBAAA&#10;DgAAAAAAAAABACAAAAAlAQAAZHJzL2Uyb0RvYy54bWxQSwUGAAAAAAYABgBZAQAArgUAAAAA&#10;">
                <v:fill on="f" focussize="0,0"/>
                <v:stroke on="f"/>
                <v:imagedata o:title=""/>
                <o:lock v:ext="edit" aspectratio="f"/>
                <v:textbox>
                  <w:txbxContent>
                    <w:p>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w:t>
                      </w:r>
                      <w:r>
                        <w:rPr>
                          <w:rFonts w:hint="eastAsia" w:ascii="楷体_GB2312" w:hAnsi="宋体" w:eastAsia="楷体_GB2312" w:cs="楷体_GB2312"/>
                          <w:b/>
                          <w:bCs/>
                          <w:color w:val="000000"/>
                          <w:sz w:val="18"/>
                          <w:szCs w:val="18"/>
                          <w:lang w:val="en-US"/>
                        </w:rPr>
                        <w:t>工程</w:t>
                      </w:r>
                      <w:r>
                        <w:rPr>
                          <w:rFonts w:hint="eastAsia" w:ascii="楷体_GB2312" w:hAnsi="宋体" w:eastAsia="楷体_GB2312" w:cs="楷体_GB2312"/>
                          <w:b/>
                          <w:bCs/>
                          <w:color w:val="000000"/>
                          <w:sz w:val="18"/>
                          <w:szCs w:val="18"/>
                        </w:rPr>
                        <w:t>材料和工程设备的材料设备费、施工机具</w:t>
                      </w:r>
                      <w:r>
                        <w:rPr>
                          <w:rFonts w:hint="eastAsia" w:ascii="楷体_GB2312" w:hAnsi="宋体" w:eastAsia="楷体_GB2312" w:cs="楷体_GB2312"/>
                          <w:b/>
                          <w:bCs/>
                          <w:color w:val="000000"/>
                          <w:sz w:val="18"/>
                          <w:szCs w:val="18"/>
                          <w:lang w:val="en-US"/>
                        </w:rPr>
                        <w:t>使用</w:t>
                      </w:r>
                      <w:r>
                        <w:rPr>
                          <w:rFonts w:hint="eastAsia" w:ascii="楷体_GB2312" w:hAnsi="宋体" w:eastAsia="楷体_GB2312" w:cs="楷体_GB2312"/>
                          <w:b/>
                          <w:bCs/>
                          <w:color w:val="000000"/>
                          <w:sz w:val="18"/>
                          <w:szCs w:val="18"/>
                        </w:rPr>
                        <w:t>费调整方法</w:t>
                      </w:r>
                    </w:p>
                  </w:txbxContent>
                </v:textbox>
              </v:shape>
            </w:pict>
          </mc:Fallback>
        </mc:AlternateContent>
      </w:r>
      <w:r>
        <w:rPr>
          <w:rFonts w:hint="eastAsia" w:ascii="仿宋" w:hAnsi="仿宋" w:eastAsia="仿宋" w:cs="仿宋"/>
          <w:color w:val="auto"/>
          <w:highlight w:val="none"/>
          <w:lang w:val="zh-CN" w:eastAsia="zh-CN" w:bidi="ar-SA"/>
        </w:rPr>
        <w:t>第1种方式：采用本地造价管理机构发布的价格指导文件进行价格调整。</w:t>
      </w:r>
    </w:p>
    <w:p>
      <w:pPr>
        <w:widowControl w:val="0"/>
        <w:spacing w:line="360" w:lineRule="auto"/>
        <w:ind w:left="1850" w:leftChars="771"/>
        <w:jc w:val="both"/>
        <w:rPr>
          <w:rFonts w:ascii="仿宋" w:hAnsi="仿宋" w:eastAsia="仿宋" w:cs="仿宋"/>
          <w:color w:val="auto"/>
          <w:highlight w:val="none"/>
          <w:lang w:val="zh-CN" w:eastAsia="zh-CN" w:bidi="ar-SA"/>
        </w:rPr>
      </w:pPr>
      <w:r>
        <w:rPr>
          <w:rFonts w:hint="eastAsia" w:ascii="仿宋" w:hAnsi="仿宋" w:eastAsia="仿宋" w:cs="仿宋"/>
          <w:color w:val="auto"/>
          <w:highlight w:val="none"/>
          <w:lang w:val="zh-CN" w:eastAsia="zh-CN" w:bidi="ar-SA"/>
        </w:rPr>
        <w:t>合同履行期间，因人工、工程材料、工程设备和施工机具台班价格波动影响合同价格时，人工、施工机具使用费按照文件规定进行调整；需要进行价格调整的工程材料、工程设备，其单价和采购数量应由发包人审批，审批文件作为调整合同价格的依据。</w:t>
      </w:r>
    </w:p>
    <w:p>
      <w:pPr>
        <w:widowControl w:val="0"/>
        <w:spacing w:line="360" w:lineRule="auto"/>
        <w:ind w:left="1850" w:leftChars="771"/>
        <w:jc w:val="both"/>
        <w:rPr>
          <w:rFonts w:ascii="仿宋" w:hAnsi="仿宋" w:eastAsia="仿宋" w:cs="仿宋"/>
          <w:color w:val="auto"/>
          <w:highlight w:val="none"/>
          <w:lang w:val="zh-CN" w:eastAsia="zh-CN" w:bidi="ar-SA"/>
        </w:rPr>
      </w:pPr>
      <w:r>
        <w:rPr>
          <w:rFonts w:hint="eastAsia" w:ascii="仿宋" w:hAnsi="仿宋" w:eastAsia="仿宋" w:cs="仿宋"/>
          <w:color w:val="auto"/>
          <w:highlight w:val="none"/>
          <w:lang w:val="zh-CN" w:eastAsia="zh-CN" w:bidi="ar-SA"/>
        </w:rPr>
        <w:t>（1）工程材料、工程设备价格调整按照发包人提供的基准价格，按以下约定:</w:t>
      </w:r>
    </w:p>
    <w:p>
      <w:pPr>
        <w:widowControl w:val="0"/>
        <w:spacing w:line="360" w:lineRule="auto"/>
        <w:ind w:left="1850" w:leftChars="771"/>
        <w:jc w:val="both"/>
        <w:rPr>
          <w:rFonts w:ascii="仿宋" w:hAnsi="仿宋" w:eastAsia="仿宋" w:cs="仿宋"/>
          <w:color w:val="auto"/>
          <w:highlight w:val="none"/>
          <w:lang w:val="zh-CN" w:eastAsia="zh-CN" w:bidi="ar-SA"/>
        </w:rPr>
      </w:pPr>
      <w:r>
        <w:rPr>
          <w:rFonts w:hint="eastAsia" w:ascii="仿宋" w:hAnsi="仿宋" w:eastAsia="仿宋" w:cs="仿宋"/>
          <w:color w:val="auto"/>
          <w:highlight w:val="none"/>
          <w:lang w:val="zh-CN" w:eastAsia="zh-CN" w:bidi="ar-SA"/>
        </w:rPr>
        <w:t>①承包人在合同价格清单中载明工程材料、工程设备单价低于基准价格的：除专用合同条款另有约定外，合同履行期间工程材料、工程设备单价涨幅以基准价格为基础超 5%时，或工程材料、工程设备单价跌幅以在合同价格清单中载明工程材料单价、工程设备为基础超过 5%时，其超过 5%以上的部分据实调整（示例：涨跌幅为 6%的，据实调整的部分为 1%，下同）。</w:t>
      </w:r>
    </w:p>
    <w:p>
      <w:pPr>
        <w:spacing w:line="360" w:lineRule="auto"/>
        <w:ind w:left="1850" w:leftChars="771"/>
        <w:jc w:val="both"/>
        <w:rPr>
          <w:rFonts w:ascii="仿宋" w:hAnsi="仿宋" w:eastAsia="仿宋" w:cs="仿宋"/>
          <w:color w:val="auto"/>
          <w:highlight w:val="none"/>
          <w:lang w:val="zh-CN" w:eastAsia="zh-CN" w:bidi="ar-SA"/>
        </w:rPr>
      </w:pPr>
      <w:r>
        <w:rPr>
          <w:rFonts w:hint="eastAsia" w:ascii="仿宋" w:hAnsi="仿宋" w:eastAsia="仿宋" w:cs="仿宋"/>
          <w:color w:val="auto"/>
          <w:highlight w:val="none"/>
          <w:lang w:val="zh-CN" w:eastAsia="zh-CN" w:bidi="ar-SA"/>
        </w:rPr>
        <w:t>②承包人在合同价格清单中载明工程材料、工程设备单价高于基准价格的：除专用合同条款另有约定外，合同履行期间工程材料、工程设备单价跌幅以基准价格为基础超过 5%时，或工程材料、工程设备单价涨幅以在合同价格清单中载明工程材料单价、工程设备为基础超过 5%时，其超过 5%以上的部分据实调整。</w:t>
      </w:r>
    </w:p>
    <w:p>
      <w:pPr>
        <w:widowControl w:val="0"/>
        <w:spacing w:line="360" w:lineRule="auto"/>
        <w:ind w:left="1850" w:leftChars="771"/>
        <w:jc w:val="both"/>
        <w:rPr>
          <w:rFonts w:ascii="仿宋" w:hAnsi="仿宋" w:eastAsia="仿宋" w:cs="仿宋"/>
          <w:color w:val="auto"/>
          <w:highlight w:val="none"/>
          <w:lang w:val="zh-CN" w:eastAsia="zh-CN" w:bidi="ar-SA"/>
        </w:rPr>
      </w:pPr>
      <w:r>
        <w:rPr>
          <w:rFonts w:hint="eastAsia" w:ascii="仿宋" w:hAnsi="仿宋" w:eastAsia="仿宋" w:cs="仿宋"/>
          <w:color w:val="auto"/>
          <w:highlight w:val="none"/>
          <w:lang w:val="zh-CN" w:eastAsia="zh-CN" w:bidi="ar-SA"/>
        </w:rPr>
        <w:t>③承包人在合同价格清单中载明工程材料、工程设备单价等于基准价格的：除专用合同条款另有约定外，合同履行期间工程材料、工程设备单价涨跌幅以基准价格为基础超过±5%时，其超过±5%以上的部分据实调整。</w:t>
      </w:r>
    </w:p>
    <w:p>
      <w:pPr>
        <w:spacing w:line="360" w:lineRule="auto"/>
        <w:ind w:left="1850" w:leftChars="771"/>
        <w:jc w:val="both"/>
        <w:rPr>
          <w:rFonts w:ascii="仿宋" w:hAnsi="仿宋" w:eastAsia="仿宋" w:cs="仿宋"/>
          <w:color w:val="auto"/>
          <w:highlight w:val="none"/>
          <w:lang w:val="zh-CN" w:eastAsia="zh-CN" w:bidi="ar-SA"/>
        </w:rPr>
      </w:pPr>
      <w:r>
        <w:rPr>
          <w:rFonts w:hint="eastAsia" w:ascii="仿宋" w:hAnsi="仿宋" w:eastAsia="仿宋" w:cs="仿宋"/>
          <w:color w:val="auto"/>
          <w:highlight w:val="none"/>
          <w:lang w:val="zh-CN" w:eastAsia="zh-CN" w:bidi="ar-SA"/>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pPr>
        <w:spacing w:line="360" w:lineRule="auto"/>
        <w:ind w:left="1850" w:leftChars="771"/>
        <w:jc w:val="both"/>
        <w:rPr>
          <w:rFonts w:ascii="仿宋" w:hAnsi="仿宋" w:eastAsia="仿宋" w:cs="仿宋"/>
          <w:color w:val="auto"/>
          <w:highlight w:val="none"/>
          <w:lang w:val="zh-CN" w:eastAsia="zh-CN" w:bidi="ar-SA"/>
        </w:rPr>
      </w:pPr>
      <w:r>
        <w:rPr>
          <w:rFonts w:hint="eastAsia" w:ascii="仿宋" w:hAnsi="仿宋" w:eastAsia="仿宋" w:cs="仿宋"/>
          <w:color w:val="auto"/>
          <w:highlight w:val="none"/>
          <w:lang w:val="zh-CN" w:eastAsia="zh-CN" w:bidi="ar-SA"/>
        </w:rPr>
        <w:t>（2）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pPr>
        <w:spacing w:line="360" w:lineRule="auto"/>
        <w:ind w:left="1850" w:leftChars="771"/>
        <w:jc w:val="both"/>
        <w:rPr>
          <w:color w:val="auto"/>
          <w:highlight w:val="none"/>
          <w:lang w:eastAsia="zh-CN"/>
        </w:rPr>
      </w:pPr>
      <w:r>
        <w:rPr>
          <w:rFonts w:hint="eastAsia" w:ascii="仿宋" w:hAnsi="仿宋" w:eastAsia="仿宋" w:cs="仿宋"/>
          <w:color w:val="auto"/>
          <w:highlight w:val="none"/>
          <w:lang w:val="zh-CN" w:eastAsia="zh-CN" w:bidi="ar-SA"/>
        </w:rPr>
        <w:t>第2种方式：专用合同条款约定的其他方式</w:t>
      </w:r>
      <w:r>
        <w:rPr>
          <w:rFonts w:hint="eastAsia" w:ascii="仿宋" w:hAnsi="仿宋" w:eastAsia="仿宋" w:cs="仿宋"/>
          <w:color w:val="auto"/>
          <w:highlight w:val="none"/>
          <w:lang w:eastAsia="zh-CN"/>
        </w:rPr>
        <w:t>。</w:t>
      </w:r>
    </w:p>
    <w:p>
      <w:pPr>
        <w:pStyle w:val="22"/>
        <w:widowControl w:val="0"/>
        <w:tabs>
          <w:tab w:val="left" w:pos="540"/>
        </w:tabs>
        <w:adjustRightInd w:val="0"/>
        <w:snapToGrid w:val="0"/>
        <w:spacing w:line="360" w:lineRule="auto"/>
        <w:rPr>
          <w:rFonts w:ascii="仿宋" w:hAnsi="仿宋" w:eastAsia="仿宋" w:cs="仿宋"/>
          <w:color w:val="auto"/>
          <w:sz w:val="24"/>
          <w:szCs w:val="24"/>
          <w:highlight w:val="none"/>
          <w:u w:val="dotted"/>
        </w:rPr>
      </w:pPr>
      <w:r>
        <w:rPr>
          <w:rFonts w:hint="eastAsia" w:ascii="仿宋" w:hAnsi="仿宋" w:eastAsia="仿宋" w:cs="仿宋"/>
          <w:b/>
          <w:bCs/>
          <w:color w:val="auto"/>
          <w:sz w:val="24"/>
          <w:szCs w:val="24"/>
          <w:highlight w:val="none"/>
        </w:rPr>
        <w:t>82</w:t>
      </w:r>
      <w:r>
        <w:rPr>
          <w:rFonts w:ascii="仿宋" w:hAnsi="仿宋" w:eastAsia="仿宋" w:cs="仿宋"/>
          <w:b/>
          <w:bCs/>
          <w:color w:val="auto"/>
          <w:sz w:val="24"/>
          <w:szCs w:val="24"/>
          <w:highlight w:val="none"/>
        </w:rPr>
        <w:t>.4</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widowControl w:val="0"/>
        <w:adjustRightInd w:val="0"/>
        <w:snapToGrid w:val="0"/>
        <w:spacing w:line="360" w:lineRule="auto"/>
        <w:ind w:left="1850" w:leftChars="771"/>
        <w:rPr>
          <w:rFonts w:ascii="仿宋" w:hAnsi="仿宋" w:eastAsia="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114944" behindDoc="0" locked="0" layoutInCell="1" allowOverlap="1">
                <wp:simplePos x="0" y="0"/>
                <wp:positionH relativeFrom="column">
                  <wp:posOffset>-26035</wp:posOffset>
                </wp:positionH>
                <wp:positionV relativeFrom="paragraph">
                  <wp:posOffset>69850</wp:posOffset>
                </wp:positionV>
                <wp:extent cx="768985" cy="685165"/>
                <wp:effectExtent l="0" t="0" r="0" b="0"/>
                <wp:wrapNone/>
                <wp:docPr id="86"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768985" cy="685165"/>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承包人采购</w:t>
                            </w:r>
                            <w:r>
                              <w:rPr>
                                <w:rFonts w:hint="eastAsia" w:ascii="楷体_GB2312" w:hAnsi="宋体" w:cs="楷体_GB2312"/>
                                <w:sz w:val="18"/>
                                <w:szCs w:val="18"/>
                                <w:lang w:val="en-US"/>
                              </w:rPr>
                              <w:t>工程</w:t>
                            </w:r>
                            <w:r>
                              <w:rPr>
                                <w:rFonts w:hint="eastAsia" w:ascii="楷体_GB2312" w:hAnsi="宋体" w:cs="楷体_GB2312"/>
                                <w:sz w:val="18"/>
                                <w:szCs w:val="18"/>
                              </w:rPr>
                              <w:t>材料</w:t>
                            </w:r>
                            <w:r>
                              <w:rPr>
                                <w:rFonts w:hint="eastAsia" w:ascii="楷体_GB2312" w:hAnsi="宋体" w:cs="楷体_GB2312"/>
                                <w:sz w:val="18"/>
                                <w:szCs w:val="18"/>
                                <w:lang w:val="en-US"/>
                              </w:rPr>
                              <w:t>和工程</w:t>
                            </w:r>
                            <w:r>
                              <w:rPr>
                                <w:rFonts w:hint="eastAsia" w:ascii="楷体_GB2312" w:hAnsi="宋体" w:cs="楷体_GB2312"/>
                                <w:sz w:val="18"/>
                                <w:szCs w:val="18"/>
                              </w:rPr>
                              <w:t>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2.05pt;margin-top:5.5pt;height:53.95pt;width:60.55pt;z-index:252114944;mso-width-relative:page;mso-height-relative:page;" filled="f" stroked="f" coordsize="21600,21600" o:gfxdata="UEsDBAoAAAAAAIdO4kAAAAAAAAAAAAAAAAAEAAAAZHJzL1BLAwQUAAAACACHTuJA59vu+dQAAAAJ&#10;AQAADwAAAGRycy9kb3ducmV2LnhtbE1PQU7DMBC8I/EHa5F6a22jQtsQpwdQryDagsTNjbdJRLyO&#10;YrcJv2dzgtvMzmh2Jt+OvhVX7GMTyIBeKBBIZXANVQaOh918DSImS862gdDAD0bYFrc3uc1cGOgd&#10;r/tUCQ6hmFkDdUpdJmUsa/Q2LkKHxNo59N4mpn0lXW8HDvetvFfqUXrbEH+obYfPNZbf+4s38PF6&#10;/vpcqrfqxT90QxiVJL+RxszutHoCkXBMf2aY6nN1KLjTKVzIRdEamC81O/muedKk6xWD0wTWG5BF&#10;Lv8vKH4BUEsDBBQAAAAIAIdO4kBEWOFzGwIAABgEAAAOAAAAZHJzL2Uyb0RvYy54bWytU0tu2zAQ&#10;3RfoHQjua1mG7TiC5SCNkaJA+gHSHoCmKIuoxGGHtCX3AO0Nuuqm+57L5+iQUlw33WTRjUByhm/e&#10;e3xaXnVNzfYKnQaT83Q05kwZCYU225x//HD7YsGZ88IUogajcn5Qjl+tnj9btjZTE6igLhQyAjEu&#10;a23OK+9tliROVqoRbgRWGSqWgI3wtMVtUqBoCb2pk8l4PE9awMIiSOUcna77Ih8Q8SmAUJZaqjXI&#10;XaOM71FR1cKTJFdp6/gqsi1LJf27snTKszrnpNTHLw2h9SZ8k9VSZFsUttJyoCCeQuGRpkZoQ0NP&#10;UGvhBduh/geq0RLBQelHEpqkFxIdIRXp+JE395WwKmohq509me7+H6x8u3+PTBc5X8w5M6KhFz9+&#10;/3b88ev48ytLx5NJsKi1LqPOe0u9vnsJHQUnynX2DuQnxwzcVMJs1TUitJUSBVFMw83k7GqP4wLI&#10;pn0DBY0SOw8RqCuxCf6RI4zQ6XkOp+dRnWeSDi/mi8vFjDNJpflils5ncYLIHi5bdP6VgoaFRc6R&#10;Xj+Ci/2d84GMyB5awiwDt7quYwJq89cBNYaTSD7w7Zn7btMNZmygOJAMhD5Q9DvRogL8wllLYcq5&#10;+7wTqDirXxuy4jKdTkP64mY6u5jQBs8rm/OKMJKgcu4565c3vk/szqLeVjSpN9/ANdlX6igt+Nyz&#10;GnhTYKLiIdwhkef72PXnh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fb7vnUAAAACQEAAA8A&#10;AAAAAAAAAQAgAAAAIgAAAGRycy9kb3ducmV2LnhtbFBLAQIUABQAAAAIAIdO4kBEWOFzGwIAABgE&#10;AAAOAAAAAAAAAAEAIAAAACMBAABkcnMvZTJvRG9jLnhtbFBLBQYAAAAABgAGAFkBAACwBQ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承包人采购</w:t>
                      </w:r>
                      <w:r>
                        <w:rPr>
                          <w:rFonts w:hint="eastAsia" w:ascii="楷体_GB2312" w:hAnsi="宋体" w:cs="楷体_GB2312"/>
                          <w:sz w:val="18"/>
                          <w:szCs w:val="18"/>
                          <w:lang w:val="en-US"/>
                        </w:rPr>
                        <w:t>工程</w:t>
                      </w:r>
                      <w:r>
                        <w:rPr>
                          <w:rFonts w:hint="eastAsia" w:ascii="楷体_GB2312" w:hAnsi="宋体" w:cs="楷体_GB2312"/>
                          <w:sz w:val="18"/>
                          <w:szCs w:val="18"/>
                        </w:rPr>
                        <w:t>材料</w:t>
                      </w:r>
                      <w:r>
                        <w:rPr>
                          <w:rFonts w:hint="eastAsia" w:ascii="楷体_GB2312" w:hAnsi="宋体" w:cs="楷体_GB2312"/>
                          <w:sz w:val="18"/>
                          <w:szCs w:val="18"/>
                          <w:lang w:val="en-US"/>
                        </w:rPr>
                        <w:t>和工程</w:t>
                      </w:r>
                      <w:r>
                        <w:rPr>
                          <w:rFonts w:hint="eastAsia" w:ascii="楷体_GB2312" w:hAnsi="宋体" w:cs="楷体_GB2312"/>
                          <w:sz w:val="18"/>
                          <w:szCs w:val="18"/>
                        </w:rPr>
                        <w:t>设备的调价限制</w:t>
                      </w:r>
                    </w:p>
                  </w:txbxContent>
                </v:textbox>
              </v:shape>
            </w:pict>
          </mc:Fallback>
        </mc:AlternateContent>
      </w:r>
      <w:r>
        <w:rPr>
          <w:rFonts w:hint="eastAsia" w:ascii="仿宋" w:hAnsi="仿宋" w:eastAsia="仿宋" w:cs="仿宋"/>
          <w:color w:val="auto"/>
          <w:sz w:val="24"/>
          <w:szCs w:val="24"/>
          <w:highlight w:val="none"/>
        </w:rPr>
        <w:t>执行第82</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工本地造价管理机构发布的价格指导文件进行价格调整”约定的，承包人应在采购工程材料前将采购数量和新的工程材料单价报发包人核对，发包人确认用于工程时，发包人应确认采购工程材料的数量和单价。发包人在收到承包人报送的确认资料后 7 天内不予答复的视为认可，作为调整合同价格的依据。未经发包人事先核对，承包人自行采购工程材料的，发包人有权不予调整合同价格。</w:t>
      </w:r>
    </w:p>
    <w:p>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hint="eastAsia" w:ascii="仿宋" w:hAnsi="仿宋" w:eastAsia="仿宋" w:cs="仿宋"/>
          <w:b/>
          <w:bCs/>
          <w:color w:val="auto"/>
          <w:sz w:val="24"/>
          <w:szCs w:val="24"/>
          <w:highlight w:val="none"/>
        </w:rPr>
        <w:t>82</w:t>
      </w:r>
      <w:r>
        <w:rPr>
          <w:rFonts w:ascii="仿宋" w:hAnsi="仿宋" w:eastAsia="仿宋" w:cs="仿宋"/>
          <w:b/>
          <w:bCs/>
          <w:color w:val="auto"/>
          <w:sz w:val="24"/>
          <w:szCs w:val="24"/>
          <w:highlight w:val="none"/>
        </w:rPr>
        <w:t xml:space="preserve">.5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420" w:lineRule="exact"/>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85"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9pt;margin-top:1.25pt;height:48.75pt;width:72pt;z-index:25201152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R7JjIhgCAAAYBAAADgAAAGRycy9lMm9Eb2MueG1srVNLbtsw&#10;EN0X6B0I7mt9YKeJYDlIY6QokH6AtAegKcoiKnHYIW3JPUB7g6y66b7n8jk6pBzXTTdZdCOQnOGb&#10;9x6f5pdD17KtQqfBlDybpJwpI6HSZl3yTx9vXpxz5rwwlWjBqJLvlOOXi+fP5r0tVA4NtJVCRiDG&#10;Fb0teeO9LZLEyUZ1wk3AKkPFGrATnra4TioUPaF3bZKn6VnSA1YWQSrn6HQ5FvkBEZ8CCHWtpVqC&#10;3HTK+BEVVSs8SXKNto4vItu6VtK/r2unPGtLTkp9/NIQWq/CN1nMRbFGYRstDxTEUyg80tQJbWjo&#10;EWopvGAb1P9AdVoiOKj9REKXjEKiI6QiSx95c9cIq6IWstrZo+nu/8HKd9sPyHRV8vMZZ0Z09OL7&#10;++/7H7/2P7+xLM3zYFFvXUGdd5Z6/fAKBgpOlOvsLcjPjhm4boRZqytE6BslKqKYhZvJydURxwWQ&#10;Vf8WKholNh4i0FBjF/wjRxih0/Psjs+jBs8kHV5k02lKFUmls+wiy2dxgigeLlt0/rWCjoVFyZFe&#10;P4KL7a3zgYwoHlrCLAM3um1jAlrz1wE1hpNIPvAdmfthNRzMWEG1IxkIY6Dod6JFA/iVs57CVHL3&#10;ZSNQcda+MWRFZE7pi5vp7GVOKvC0sjqtCCMJquSes3F57cfEbizqdUOTRvMNXJF9tY7Sgs8jqwNv&#10;CkxUfAh3SOTpPnb9+a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yAwH1QAAAAkBAAAPAAAA&#10;AAAAAAEAIAAAACIAAABkcnMvZG93bnJldi54bWxQSwECFAAUAAAACACHTuJAR7JjIhgCAAAYBAAA&#10;DgAAAAAAAAABACAAAAAkAQAAZHJzL2Uyb0RvYy54bWxQSwUGAAAAAAYABgBZAQAArgU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发包人供应材料设备的价格调整</w:t>
                      </w:r>
                    </w:p>
                  </w:txbxContent>
                </v:textbox>
              </v:shape>
            </w:pict>
          </mc:Fallback>
        </mc:AlternateContent>
      </w:r>
      <w:r>
        <w:rPr>
          <w:rFonts w:hint="eastAsia" w:ascii="仿宋" w:hAnsi="仿宋" w:eastAsia="仿宋" w:cs="仿宋"/>
          <w:color w:val="auto"/>
          <w:sz w:val="24"/>
          <w:szCs w:val="24"/>
          <w:highlight w:val="none"/>
        </w:rPr>
        <w:t>发包人供应</w:t>
      </w:r>
      <w:r>
        <w:rPr>
          <w:rFonts w:hint="eastAsia" w:ascii="仿宋" w:hAnsi="仿宋" w:eastAsia="仿宋" w:cs="仿宋"/>
          <w:color w:val="auto"/>
          <w:sz w:val="24"/>
          <w:szCs w:val="24"/>
          <w:highlight w:val="none"/>
          <w:lang w:val="en-US"/>
        </w:rPr>
        <w:t>工程</w:t>
      </w:r>
      <w:r>
        <w:rPr>
          <w:rFonts w:hint="eastAsia" w:ascii="仿宋" w:hAnsi="仿宋" w:eastAsia="仿宋" w:cs="仿宋"/>
          <w:color w:val="auto"/>
          <w:sz w:val="24"/>
          <w:szCs w:val="24"/>
          <w:highlight w:val="none"/>
        </w:rPr>
        <w:t>材料和工程设备的，由发包人按照实际变化调整，列入合同工程的建筑安装工程费内。</w:t>
      </w:r>
    </w:p>
    <w:p>
      <w:pPr>
        <w:pStyle w:val="22"/>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49" w:name="_Toc24285"/>
      <w:bookmarkStart w:id="550" w:name="_Toc25476"/>
      <w:bookmarkStart w:id="551" w:name="_Toc47694359"/>
      <w:r>
        <w:rPr>
          <w:rFonts w:hint="eastAsia" w:ascii="仿宋" w:hAnsi="仿宋" w:eastAsia="仿宋" w:cs="仿宋"/>
          <w:bCs w:val="0"/>
          <w:color w:val="auto"/>
          <w:sz w:val="24"/>
          <w:szCs w:val="24"/>
          <w:highlight w:val="none"/>
        </w:rPr>
        <w:t>★83</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支付事项</w:t>
      </w:r>
      <w:bookmarkEnd w:id="549"/>
      <w:bookmarkEnd w:id="550"/>
      <w:bookmarkEnd w:id="551"/>
    </w:p>
    <w:p>
      <w:pPr>
        <w:pStyle w:val="22"/>
        <w:widowControl w:val="0"/>
        <w:adjustRightInd w:val="0"/>
        <w:snapToGrid w:val="0"/>
        <w:spacing w:line="360" w:lineRule="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83</w:t>
      </w:r>
      <w:r>
        <w:rPr>
          <w:rFonts w:ascii="仿宋" w:hAnsi="仿宋" w:eastAsia="仿宋" w:cs="仿宋"/>
          <w:b/>
          <w:bCs/>
          <w:color w:val="auto"/>
          <w:sz w:val="24"/>
          <w:szCs w:val="24"/>
          <w:highlight w:val="none"/>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84"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9pt;margin-top:1.7pt;height:24.75pt;width:90pt;z-index:25201254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iNf10xkCAAAZBAAADgAAAGRycy9lMm9Eb2MueG1srVPNjtMw&#10;EL4j8Q6W7zRJtwslarpatlqEtPxICw/gOk5jkXjM2G1SHoB9A05cuPNcfQ7GTraU5bIHLpbHM/7m&#10;+z6PFxd927CdQqfBFDybpJwpI6HUZlPwTx+vn805c16YUjRgVMH3yvGL5dMni87mago1NKVCRiDG&#10;5Z0teO29zZPEyVq1wk3AKkPJCrAVnkLcJCWKjtDbJpmm6fOkAywtglTO0elqSPIRER8DCFWlpVqB&#10;3LbK+AEVVSM8SXK1to4vI9uqUtK/ryqnPGsKTkp9XKkJ7ddhTZYLkW9Q2FrLkYJ4DIUHmlqhDTU9&#10;Qq2EF2yL+h+oVksEB5WfSGiTQUh0hFRk6QNvbmthVdRCVjt7NN39P1j5bvcBmS4LPp9xZkRLL374&#10;fnf48evw8xvL0uk8WNRZl1PlraVa37+CngYnynX2BuRnxwxc1cJs1CUidLUSJVHMws3k5OqA4wLI&#10;unsLJbUSWw8RqK+wDf6RI4zQ6Xn2x+dRvWcytMxmZ2lKKUm5Mwqm57GFyO9vW3T+tYKWhU3BkZ4/&#10;oovdjfOBjcjvS0IzA9e6aeIINOavAyoMJ5F9IDxQ9/26H91YQ7knHQjDRNF/ok0N+JWzjqap4O7L&#10;VqDirHljyIuX2WwWxi8Gs/MXUwrwNLM+zQgjCargnrNhe+WHkd1a1JuaOg3uG7gk/yodpQWjB1Yj&#10;b5qYqHic7jCSp3Gs+vOj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oX0y9UAAAAIAQAADwAA&#10;AAAAAAABACAAAAAiAAAAZHJzL2Rvd25yZXYueG1sUEsBAhQAFAAAAAgAh07iQIjX9dMZAgAAGQQA&#10;AA4AAAAAAAAAAQAgAAAAJAEAAGRycy9lMm9Eb2MueG1sUEsFBgAAAAAGAAYAWQEAAK8FA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发包人人应按照下列约定向承包人支付工程勘察费、工程设计费、BIM 技术应用费、设备及工器具购置费、建筑安装工程费及其他各种款项：</w:t>
      </w:r>
    </w:p>
    <w:p>
      <w:pPr>
        <w:widowControl w:val="0"/>
        <w:numPr>
          <w:ilvl w:val="1"/>
          <w:numId w:val="10"/>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pPr>
        <w:widowControl w:val="0"/>
        <w:numPr>
          <w:ilvl w:val="1"/>
          <w:numId w:val="10"/>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pPr>
        <w:widowControl w:val="0"/>
        <w:numPr>
          <w:ilvl w:val="1"/>
          <w:numId w:val="10"/>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pPr>
        <w:widowControl w:val="0"/>
        <w:numPr>
          <w:ilvl w:val="1"/>
          <w:numId w:val="10"/>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pPr>
        <w:widowControl w:val="0"/>
        <w:numPr>
          <w:ilvl w:val="1"/>
          <w:numId w:val="10"/>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pPr>
        <w:widowControl w:val="0"/>
        <w:numPr>
          <w:ilvl w:val="1"/>
          <w:numId w:val="10"/>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pPr>
        <w:spacing w:line="360" w:lineRule="auto"/>
        <w:rPr>
          <w:rFonts w:ascii="仿宋" w:hAnsi="仿宋" w:eastAsia="仿宋"/>
          <w:b/>
          <w:bCs/>
          <w:color w:val="auto"/>
          <w:highlight w:val="none"/>
          <w:lang w:eastAsia="zh-CN"/>
        </w:rPr>
      </w:pPr>
      <w:bookmarkStart w:id="552"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5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val="en-US"/>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83"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026" o:spt="202" type="#_x0000_t202" style="position:absolute;left:0pt;margin-left:-9pt;margin-top:3.45pt;height:31.35pt;width:72pt;z-index:25201356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CTiZ09GAIAABgEAAAOAAAAZHJzL2Uyb0RvYy54bWytU0GO0zAU&#10;3SNxB8t7mqTTgTZqOhqmGoQ0wEgDB3Adp7FI/M2326QcAG7Aig37OVfPwbfTKWXYzIJNZPt/v//e&#10;88v8om8btlXoNJiCZ6OUM2UklNqsC/7p4/WLKWfOC1OKBowq+E45frF4/mze2VyNoYamVMgIxLi8&#10;swWvvbd5kjhZq1a4EVhlqFgBtsLTFtdJiaIj9LZJxmn6MukAS4sglXN0uhyK/ICITwGEqtJSLUFu&#10;WmX8gIqqEZ4kuVpbxxeRbVUp6T9UlVOeNQUnpT5+aQitV+GbLOYiX6OwtZYHCuIpFB5paoU2NPQI&#10;tRResA3qf6BaLREcVH4koU0GIdERUpGlj7y5q4VVUQtZ7ezRdPf/YOX77S0yXRZ8esaZES29+P7H&#10;9/3P+/2vbyxLx7NgUWddTp13lnp9/xp6Ck6U6+wNyM+OGbiqhVmrS0ToaiVKopiFm8nJ1QHHBZBV&#10;9w5KGiU2HiJQX2Eb/CNHGKHT8+yOz6N6zyQdzrLJJKWKpNLZbJpNzuMEkT9ctuj8GwUtC4uCI71+&#10;BBfbG+cDGZE/tIRZBq5108QENOavA2oMJ5F84Dsw9/2qP5ixgnJHMhCGQNHvRIsa8CtnHYWp4O7L&#10;RqDirHlryIrInNIXN5PzV2NSgaeV1WlFGElQBfecDcsrPyR2Y1Gva5o0mG/gkuyrdJQWfB5YHXhT&#10;YKLiQ7hDIk/3sevP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rgnaPUAAAACAEAAA8AAAAA&#10;AAAAAQAgAAAAIgAAAGRycy9kb3ducmV2LnhtbFBLAQIUABQAAAAIAIdO4kCTiZ09GAIAABgEAAAO&#10;AAAAAAAAAAEAIAAAACMBAABkcnMvZTJvRG9jLnhtbFBLBQYAAAAABgAGAFkBAACtBQ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w:t>
      </w:r>
      <w:r>
        <w:rPr>
          <w:rFonts w:hint="eastAsia" w:ascii="仿宋" w:hAnsi="仿宋" w:eastAsia="仿宋" w:cs="仿宋"/>
          <w:color w:val="auto"/>
          <w:sz w:val="24"/>
          <w:szCs w:val="24"/>
          <w:highlight w:val="none"/>
          <w:lang w:val="en-US"/>
        </w:rPr>
        <w:t>计算。</w:t>
      </w:r>
    </w:p>
    <w:p>
      <w:pPr>
        <w:widowControl w:val="0"/>
        <w:spacing w:line="360" w:lineRule="auto"/>
        <w:rPr>
          <w:rFonts w:ascii="仿宋" w:hAnsi="仿宋" w:eastAsia="仿宋"/>
          <w:b/>
          <w:bCs/>
          <w:color w:val="auto"/>
          <w:highlight w:val="none"/>
          <w:lang w:eastAsia="zh-CN"/>
        </w:rPr>
      </w:pPr>
      <w:bookmarkStart w:id="553"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5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82"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9pt;margin-top:0.35pt;height:34.5pt;width:72pt;z-index:25201459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DSJqXPGAIAABgEAAAOAAAAZHJzL2Uyb0RvYy54bWytU82O0zAQ&#10;viPxDpbvNEm3CyVqulq2WoS0/EgLD+A4TmOReMzYbVIeAN6AExfuPFefg7HT7Zblsgculu0Zf/N9&#10;34wXF0PXsq1Cp8EUPJuknCkjodJmXfBPH6+fzTlzXphKtGBUwXfK8Yvl0yeL3uZqCg20lUJGIMbl&#10;vS14473Nk8TJRnXCTcAqQ8EasBOejrhOKhQ9oXdtMk3T50kPWFkEqZyj29UY5AdEfAwg1LWWagVy&#10;0ynjR1RUrfAkyTXaOr6MbOtaSf++rp3yrC04KfVxpSK0L8OaLBciX6OwjZYHCuIxFB5o6oQ2VPQI&#10;tRJesA3qf6A6LREc1H4ioUtGIdERUpGlD7y5bYRVUQtZ7ezRdPf/YOW77Qdkuir4fMqZER11fP/j&#10;+/7n7/2vbyxLz6JFvXU5Zd5ayvXDKxhocKJcZ29AfnbMwFUjzFpdIkLfKFERxSyYm5w8DU1xuQsg&#10;Zf8WKiolNh4i0FBjF/wjRxihU3t2x/aowTNJly+z2SyliKTQ7GyenUduicjvHlt0/rWCjoVNwZG6&#10;H8HF9sb5QEbkdymhloFr3bZxAlrz1wUlhptIPvAdmfuhHCg7iCih2pEMhHGg6DvRpgH8yllPw1Rw&#10;92UjUHHWvjFkRWRO0xcPs/MXU1KBp5HyNCKMJKiCe87G7ZUfJ3ZjUa8bqjSab+CS7Kt1lHbP6sCb&#10;BiYqPgx3mMjTc8y6/9D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qru6LUAAAABwEAAA8AAAAA&#10;AAAAAQAgAAAAIgAAAGRycy9kb3ducmV2LnhtbFBLAQIUABQAAAAIAIdO4kDSJqXPGAIAABgEAAAO&#10;AAAAAAAAAAEAIAAAACMBAABkcnMvZTJvRG9jLnhtbFBLBQYAAAAABgAGAFkBAACtBQ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pPr>
        <w:pStyle w:val="22"/>
        <w:widowControl w:val="0"/>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83</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81"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026" o:spt="202" type="#_x0000_t202" style="position:absolute;left:0pt;margin-left:-9pt;margin-top:1.75pt;height:39.7pt;width:72pt;z-index:25201561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62pmdhcCAAAYBAAADgAAAGRycy9lMm9Eb2MueG1srVPBctMw&#10;EL0zwz9odCe2QwqtJ06nNFOGmUKZKXyAIsuxBksrVkrs8AH0Dzhx4d7vynewlt0QyqUHLhpJu3r7&#10;3tvV/LwzDdsq9BpswbNJypmyEkpt1wX//OnqxSlnPghbigasKvhOeX6+eP5s3rpcTaGGplTICMT6&#10;vHUFr0NweZJ4WSsj/AScshSsAI0IdMR1UqJoCd00yTRNXyUtYOkQpPKebpdDkI+I+BRAqCot1RLk&#10;xigbBlRUjQgkydfaeb6IbKtKyXBTVV4F1hSclIa4UhHar/o1WcxFvkbhai1HCuIpFB5pMkJbKnqA&#10;Woog2Ab1P1BGSwQPVZhIMMkgJDpCKrL0kTe3tXAqaiGrvTuY7v8frPyw/YhMlwU/zTizwlDH9z/u&#10;9j/v97++syx9mfUWtc7nlHnrKDd0b6CjwYlyvbsG+cUzC5e1sGt1gQhtrURJFOPL5OjpgON7kFX7&#10;HkoqJTYBIlBXoen9I0cYoVN7dof2qC4wSZdn2WyWUkRS6CSdZWexfYnIHx479OGtAsP6TcGRuh/B&#10;xfbaB5JBqQ8pfS0LV7pp4gQ09q8LSuxvIvme78A8dKtuNGMF5Y5kIAwDRd+JNjXgN85aGqaC+68b&#10;gYqz5p0lKyJzmr54mJ28npIKPI6sjiPCSoIqeOBs2F6GYWI3DvW6pkqD+RYuyL5KR2m9zwOrkTcN&#10;TFQ8Dnc/kcfnmPXn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VJ7KfVAAAACAEAAA8AAAAA&#10;AAAAAQAgAAAAIgAAAGRycy9kb3ducmV2LnhtbFBLAQIUABQAAAAIAIdO4kDramZ2FwIAABgEAAAO&#10;AAAAAAAAAAEAIAAAACQBAABkcnMvZTJvRG9jLnhtbFBLBQYAAAAABgAGAFkBAACtBQ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ascii="仿宋" w:hAnsi="仿宋" w:eastAsia="仿宋" w:cs="仿宋"/>
          <w:color w:val="auto"/>
          <w:sz w:val="24"/>
          <w:szCs w:val="24"/>
          <w:highlight w:val="none"/>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 7 天内，承包人仍未采取措施补救的，发包人可在不损害承包人其他权利的前提下，实施下列工作：</w:t>
      </w:r>
    </w:p>
    <w:p>
      <w:pPr>
        <w:pStyle w:val="22"/>
        <w:widowControl w:val="0"/>
        <w:numPr>
          <w:ilvl w:val="0"/>
          <w:numId w:val="1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立即停止向承包人支付应付的款项；</w:t>
      </w:r>
    </w:p>
    <w:p>
      <w:pPr>
        <w:pStyle w:val="22"/>
        <w:widowControl w:val="0"/>
        <w:numPr>
          <w:ilvl w:val="0"/>
          <w:numId w:val="11"/>
        </w:numPr>
        <w:tabs>
          <w:tab w:val="left" w:pos="2160"/>
        </w:tabs>
        <w:adjustRightInd w:val="0"/>
        <w:snapToGrid w:val="0"/>
        <w:spacing w:line="360" w:lineRule="auto"/>
        <w:ind w:left="1849" w:leftChars="770" w:hanging="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在相应支付期应付的工程款范围内，直接向雇员、分包人和工程材料供应商、工程设备供应商支付承包人应付的款项。</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发包人在实施上述工作后的 14 天内应以书面形式通知承包人，抄送造价咨询人。造价咨询人在签发下期支付证书时，应扣除已由发包人直接支付的款项。由于上述工作原因发生的费用由承包人承担；给发包人造成损失的，承包人应予赔偿。</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54" w:name="_Toc47694360"/>
      <w:bookmarkStart w:id="555" w:name="_Toc30509"/>
      <w:bookmarkStart w:id="556" w:name="_Toc20619"/>
      <w:r>
        <w:rPr>
          <w:rFonts w:hint="eastAsia" w:ascii="仿宋" w:hAnsi="仿宋" w:eastAsia="仿宋" w:cs="仿宋"/>
          <w:bCs w:val="0"/>
          <w:color w:val="auto"/>
          <w:sz w:val="24"/>
          <w:szCs w:val="24"/>
          <w:highlight w:val="none"/>
        </w:rPr>
        <w:t>★84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预付款</w:t>
      </w:r>
      <w:bookmarkEnd w:id="554"/>
      <w:bookmarkEnd w:id="555"/>
      <w:bookmarkEnd w:id="556"/>
    </w:p>
    <w:p>
      <w:pPr>
        <w:pStyle w:val="22"/>
        <w:widowControl w:val="0"/>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2089344"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80"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预付款的约定</w:t>
                            </w:r>
                          </w:p>
                        </w:txbxContent>
                      </wps:txbx>
                      <wps:bodyPr rot="0" vert="horz" wrap="square" lIns="91440" tIns="45720" rIns="91440" bIns="45720" anchor="t" anchorCtr="0" upright="1">
                        <a:noAutofit/>
                      </wps:bodyPr>
                    </wps:wsp>
                  </a:graphicData>
                </a:graphic>
              </wp:anchor>
            </w:drawing>
          </mc:Choice>
          <mc:Fallback>
            <w:pict>
              <v:shape id="文本框 1032" o:spid="_x0000_s1026" o:spt="202" type="#_x0000_t202" style="position:absolute;left:0pt;margin-left:-9pt;margin-top:17.85pt;height:44.15pt;width:108pt;z-index:252089344;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D4L0hqGgIAABkEAAAOAAAAZHJzL2Uyb0RvYy54bWytU0tu&#10;2zAQ3RfoHQjua0mO7aSC5SCNkaJA+gHSHoCmKIuoxGGHtCX3AM0Nuuqm+57L5+iQclw33WTRDTHk&#10;DN+89zicX/Ztw7YKnQZT8GyUcqaMhFKbdcE/fbx5ccGZ88KUogGjCr5Tjl8unj+bdzZXY6ihKRUy&#10;AjEu72zBa+9tniRO1qoVbgRWGUpWgK3wtMV1UqLoCL1tknGazpIOsLQIUjlHp8shyQ+I+BRAqCot&#10;1RLkplXGD6ioGuFJkqu1dXwR2VaVkv59VTnlWVNwUurjSk0oXoU1WcxFvkZhay0PFMRTKDzS1Apt&#10;qOkRaim8YBvU/0C1WiI4qPxIQpsMQqIjpCJLH3lzVwurohay2tmj6e7/wcp32w/IdFnwC7LEiJZe&#10;fP/9fv/j1/7nN5alZ+NgUWddTpV3lmp9/wp6Gpwo19lbkJ8dM3BdC7NWV4jQ1UqURDELN5OTqwOO&#10;CyCr7i2U1EpsPESgvsI2+EeOMEInLrvj86jeMxlanp1ns5RSknLTWXqeTmMLkT/ctuj8awUtC0HB&#10;kZ4/oovtrfOBjcgfSkIzAze6aeIINOavAyoMJ5F9IDxQ9/2qP7ixgnJHOhCGiaL/REEN+JWzjqap&#10;4O7LRqDirHljyIuX2WRCxH3cTKbnY9rgaWZ1mhFGElTBPWdDeO2Hkd1Y1OuaOg3uG7gi/yodpQWj&#10;B1YH3jQxUfFhusNInu5j1Z8fv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ho/39cAAAAKAQAA&#10;DwAAAAAAAAABACAAAAAiAAAAZHJzL2Rvd25yZXYueG1sUEsBAhQAFAAAAAgAh07iQPgvSGoaAgAA&#10;GQQAAA4AAAAAAAAAAQAgAAAAJgEAAGRycy9lMm9Eb2MueG1sUEsFBgAAAAAGAAYAWQEAALIFAAAA&#10;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预付款的约定</w:t>
                      </w:r>
                    </w:p>
                  </w:txbxContent>
                </v:textbox>
              </v:shape>
            </w:pict>
          </mc:Fallback>
        </mc:AlternateContent>
      </w:r>
      <w:r>
        <w:rPr>
          <w:rFonts w:hint="eastAsia" w:ascii="仿宋" w:hAnsi="仿宋" w:eastAsia="仿宋" w:cs="仿宋"/>
          <w:b/>
          <w:bCs/>
          <w:color w:val="auto"/>
          <w:sz w:val="24"/>
          <w:szCs w:val="24"/>
          <w:highlight w:val="none"/>
        </w:rPr>
        <w:t>84</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除专用条款另有约定外，合同双方当事人应约定预付款，并在专用条款中明确预付款金额、支付办法和抵扣方式。</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预付款专款专用，承包人应在财务账目中表明专用于合同工程勘察（如果有）、设计、BIM 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 10%，不高于（含本数）合同价格（扣除暂列金额、暂估价、绿色安全防护措施费等）的 30%。</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79"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026" o:spt="202" type="#_x0000_t202" style="position:absolute;left:0pt;margin-left:-9pt;margin-top:1.55pt;height:46.55pt;width:72pt;z-index:252016640;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PoLABRkCAAAYBAAADgAAAGRycy9lMm9Eb2MueG1srVNLbtsw&#10;EN0X6B0I7mtJjt3EguUgjZGiQPoB0h6ApiiLqMRhh7Ql9wDNDbrqpvuey+fokHJcN91k0Y1AcoZv&#10;3nt8ml/2bcO2Cp0GU/BslHKmjIRSm3XBP328eXHBmfPClKIBowq+U45fLp4/m3c2V2OooSkVMgIx&#10;Lu9swWvvbZ4kTtaqFW4EVhkqVoCt8LTFdVKi6Ai9bZJxmr5MOsDSIkjlHJ0uhyI/IOJTAKGqtFRL&#10;kJtWGT+gomqEJ0mu1tbxRWRbVUr691XllGdNwUmpj18aQutV+CaLucjXKGyt5YGCeAqFR5paoQ0N&#10;PUIthRdsg/ofqFZLBAeVH0lok0FIdIRUZOkjb+5qYVXUQlY7ezTd/T9Y+W77AZkuC34+48yIll58&#10;//1+/+PX/uc3lqVnZ8GizrqcOu8s9fr+FfQUnCjX2VuQnx0zcF0Ls1ZXiNDVSpREMQs3k5OrA44L&#10;IKvuLZQ0Smw8RKC+wjb4R44wQqfn2R2fR/WeSTqcZZNJShVJpeksyy6mcYLIHy5bdP61gpaFRcGR&#10;Xj+Ci+2t84GMyB9awiwDN7ppYgIa89cBNYaTSD7wHZj7ftUfzFhBuSMZCEOg6HeiRQ34lbOOwlRw&#10;92UjUHHWvDFkRWRO6YubyfR8TCrwtLI6rQgjCargnrNhee2HxG4s6nVNkwbzDVyRfZWO0oLPA6sD&#10;bwpMVHwId0jk6T52/fmh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eJ85NUAAAAIAQAADwAA&#10;AAAAAAABACAAAAAiAAAAZHJzL2Rvd25yZXYueG1sUEsBAhQAFAAAAAgAh07iQD6CwAUZAgAAGAQA&#10;AA4AAAAAAAAAAQAgAAAAJAEAAGRycy9lMm9Eb2MueG1sUEsFBgAAAAAGAAYAWQEAAK8FA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ascii="仿宋" w:hAnsi="仿宋" w:eastAsia="仿宋" w:cs="仿宋"/>
          <w:color w:val="auto"/>
          <w:sz w:val="24"/>
          <w:szCs w:val="24"/>
          <w:highlight w:val="none"/>
        </w:rPr>
        <w:t>承包人在完成下列工作后，应在专用条款约定的期限内向造价咨询人提交预付款支付申请，并抄送发包人。</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）签订本合同；</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）按照第32</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提供履约担保；</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）向发包人提供与预付款等额的预付款保函的正本。</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造价咨询人应对支付申请进行核实，并在收到支付申请后的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天内报发包人确认后向发包人发出支付证书，同时抄送承包人。</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发包人在造价咨询人签发支付证书后的28天内向承包人支付预付款，并通知造价咨询人。</w:t>
      </w:r>
    </w:p>
    <w:p>
      <w:pPr>
        <w:spacing w:line="360" w:lineRule="auto"/>
        <w:rPr>
          <w:rFonts w:ascii="仿宋" w:hAnsi="仿宋" w:eastAsia="仿宋"/>
          <w:b/>
          <w:bCs/>
          <w:color w:val="auto"/>
          <w:highlight w:val="none"/>
          <w:lang w:eastAsia="zh-CN"/>
        </w:rPr>
      </w:pPr>
      <w:bookmarkStart w:id="557"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5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78"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026" o:spt="202" type="#_x0000_t202" style="position:absolute;left:0pt;margin-left:-9pt;margin-top:0.85pt;height:31.55pt;width:72pt;z-index:252017664;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CWEt3BcCAAAYBAAADgAAAGRycy9lMm9Eb2MueG1srVPNjtMw&#10;EL4j8Q6W7zRp6f4QNV0tWy1CWmClhQdwHaexiD1m7DYpDwBvwIkL932uPgdjp1vKctkDl2jsGX/z&#10;fd9MZhe9adlGoddgSz4e5ZwpK6HSdlXyTx+vX5xz5oOwlWjBqpJvlecX8+fPZp0r1AQaaCuFjECs&#10;LzpX8iYEV2SZl40ywo/AKUvJGtCIQEdcZRWKjtBNm03y/DTrACuHIJX3dLsYknyPiE8BhLrWUi1A&#10;ro2yYUBF1YpAknyjnefzxLaulQwf6tqrwNqSk9KQvtSE4mX8ZvOZKFYoXKPlnoJ4CoVHmozQlpoe&#10;oBYiCLZG/Q+U0RLBQx1GEkw2CEmOkIpx/sibu0Y4lbSQ1d4dTPf/D1a+39wi01XJz2juVhia+O7H&#10;993P+92vb2ycv5xGizrnC6q8c1Qb+tfQ0+Ikud7dgPzsmYWrRtiVukSErlGiIorj+DI7ejrg+Aiy&#10;7N5BRa3EOkAC6ms00T9yhBE6jWd7GI/qA5N0+Wo8neaUkZSi4PT8JHUQxcNjhz68UWBYDEqONP0E&#10;LjY3PkQyongoib0sXOu2TRvQ2r8uqDDeJPKR78A89Mt+b8YSqi3JQBgWin4nChrAr5x1tEwl91/W&#10;AhVn7VtLViTmtH3pMD05m5AKPM4sjzPCSoIqeeBsCK/CsLFrh3rVUKfBfAuXZF+tk7To88Bqz5sW&#10;JineL3fcyONzqvrzQ8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zf4wzVAAAACAEAAA8AAAAA&#10;AAAAAQAgAAAAIgAAAGRycy9kb3ducmV2LnhtbFBLAQIUABQAAAAIAIdO4kAJYS3cFwIAABgEAAAO&#10;AAAAAAAAAAEAIAAAACQBAABkcnMvZTJvRG9jLnhtbFBLBQYAAAAABgAGAFkBAACtBQ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rPr>
        <w:t>发包人没有按时支付预付款的，承包人应在付款期满后的 7 天内向发包人发出要求支付的通知；发包人收到通知后仍不按要求支付，承包人可在发出通知 14 天后暂停勘察（如果有）、设计、BIM 技术应用、设备及工器具购置（如果有）或施工。发包人可与承包人协商签订延期支付协议，经承包人同意后可延期支付，承包人有权按照第 83.2 款约定获得延期支付的利息。发包人承担由此增加的费用和（或）延误的工期，并向承包人支付合理利润。</w:t>
      </w:r>
    </w:p>
    <w:p>
      <w:pPr>
        <w:pStyle w:val="22"/>
        <w:tabs>
          <w:tab w:val="left" w:pos="132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84</w:t>
      </w:r>
      <w:r>
        <w:rPr>
          <w:rFonts w:ascii="仿宋" w:hAnsi="仿宋" w:eastAsia="仿宋" w:cs="仿宋"/>
          <w:b/>
          <w:bCs/>
          <w:color w:val="auto"/>
          <w:sz w:val="24"/>
          <w:szCs w:val="24"/>
          <w:highlight w:val="none"/>
        </w:rPr>
        <w:t xml:space="preserve">.4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77"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026" o:spt="202" type="#_x0000_t202" style="position:absolute;left:0pt;margin-left:-9pt;margin-top:3.65pt;height:23.95pt;width:81pt;z-index:252018688;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Mm9GpMaAgAAGQQAAA4AAABkcnMvZTJvRG9jLnhtbK1TQW7b&#10;MBC8F+gfCN5rSY4Tp4LlII2RokDaFEj7AJqiLKISl13SltwHND/oqZfe8y6/o0vKcd30kkMvAsld&#10;zs4MR7OLvm3YRqHTYAqejVLOlJFQarMq+OdP16/OOXNemFI0YFTBt8rxi/nLF7PO5moMNTSlQkYg&#10;xuWdLXjtvc2TxMlatcKNwCpDxQqwFZ62uEpKFB2ht00yTtOzpAMsLYJUztHpYijyPSI+BxCqSku1&#10;ALlulfEDKqpGeJLkam0dn0e2VaWkv60qpzxrCk5KffzSEFovwzeZz0S+QmFrLfcUxHMoPNHUCm1o&#10;6AFqIbxga9T/QLVaIjio/EhCmwxCoiOkIkufeHNXC6uiFrLa2YPp7v/Byg+bj8h0WfDplDMjWnrx&#10;3Y/73c+H3a/vLEtPToNFnXU5dd5Z6vX9G+gpOFGuszcgvzhm4KoWZqUuEaGrlSiJYhZuJkdXBxwX&#10;QJbdeyhplFh7iEB9hW3wjxxhhE7Psz08j+o9k2FkOj6fplSSVDtJJ9lZJJeI/PG2ReffKmhZWBQc&#10;6fkjutjcOB/YiPyxJQwzcK2bJkagMX8dUGM4iewD4YG675f93o0llFvSgTAkiv4nWtSA3zjrKE0F&#10;d1/XAhVnzTtDXrzOJpMQv7iZnE7HtMHjyvK4IowkqIJ7zobllR8iu7aoVzVNGtw3cEn+VTpKC0YP&#10;rPa8KTFR8T7dIZLH+9j154+e/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5cRdx1gAAAAgBAAAP&#10;AAAAAAAAAAEAIAAAACIAAABkcnMvZG93bnJldi54bWxQSwECFAAUAAAACACHTuJAyb0akxoCAAAZ&#10;BAAADgAAAAAAAAABACAAAAAlAQAAZHJzL2Uyb0RvYy54bWxQSwUGAAAAAAYABgBZAQAAsQU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pPr>
        <w:spacing w:line="360" w:lineRule="auto"/>
        <w:rPr>
          <w:rFonts w:ascii="仿宋" w:hAnsi="仿宋" w:eastAsia="仿宋"/>
          <w:b/>
          <w:bCs/>
          <w:color w:val="auto"/>
          <w:highlight w:val="none"/>
          <w:lang w:eastAsia="zh-CN"/>
        </w:rPr>
      </w:pPr>
      <w:bookmarkStart w:id="558"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5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13335</wp:posOffset>
                </wp:positionV>
                <wp:extent cx="914400" cy="497840"/>
                <wp:effectExtent l="0" t="0" r="0" b="0"/>
                <wp:wrapNone/>
                <wp:docPr id="76" name="文本框 1036"/>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026" o:spt="202" type="#_x0000_t202" style="position:absolute;left:0pt;margin-left:-9pt;margin-top:1.05pt;height:39.2pt;width:72pt;z-index:252019712;mso-width-relative:page;mso-height-relative:page;" filled="f" stroked="f" coordsize="21600,21600" o:gfxdata="UEsDBAoAAAAAAIdO4kAAAAAAAAAAAAAAAAAEAAAAZHJzL1BLAwQUAAAACACHTuJAFmBLNdUAAAAI&#10;AQAADwAAAGRycy9kb3ducmV2LnhtbE2PwW7CMBBE75X6D9ZW6g3sRAWlIRsOoF5blQJSbyZekoh4&#10;HcWGpH9fc2qPoxnNvCnWk+3EjQbfOkZI5goEceVMyzXC/uttloHwQbPRnWNC+CEP6/LxodC5cSN/&#10;0m0XahFL2OcaoQmhz6X0VUNW+7nriaN3doPVIcqhlmbQYyy3nUyVWkqrW44Lje5p01B12V0twuH9&#10;/H18UR/11i760U1Ksn2ViM9PiVqBCDSFvzDc8SM6lJHp5K5svOgQZkkWvwSENAFx99Nl1CeETC1A&#10;loX8f6D8BVBLAwQUAAAACACHTuJA5XVUThgCAAAYBAAADgAAAGRycy9lMm9Eb2MueG1srVPNbhMx&#10;EL4j8Q6W72Q3IaTtKpuqNCpCKj9S4QEcrzdrsfaYsZPd8ADwBpy4cOe58hyMvWkI5dIDF8v2jL/5&#10;vm/G88vetGyr0GuwJR+Pcs6UlVBpuy75xw83z84580HYSrRgVcl3yvPLxdMn884VagINtJVCRiDW&#10;F50reROCK7LMy0YZ4UfglKVgDWhEoCOuswpFR+imzSZ5Pss6wMohSOU93S6HID8g4mMAoa61VEuQ&#10;G6NsGFBRtSKQJN9o5/kisa1rJcO7uvYqsLbkpDSklYrQfhXXbDEXxRqFa7Q8UBCPofBAkxHaUtEj&#10;1FIEwTao/4EyWiJ4qMNIgskGIckRUjHOH3hz1winkhay2ruj6f7/wcq32/fIdFXysxlnVhjq+P77&#10;t/2PX/ufX9k4fz6LFnXOF5R55yg39C+hp8FJcr27BfnJMwvXjbBrdYUIXaNERRTH8WV28nTA8RFk&#10;1b2BikqJTYAE1Ndoon/kCCN0as/u2B7VBybp8mI8neYUkRSaXpydT1P7MlHcP3bowysFhsVNyZG6&#10;n8DF9taHSEYU9ymxloUb3bZpAlr71wUlxptEPvIdmId+1R/MWEG1IxkIw0DRd6JNA/iFs46GqeT+&#10;80ag4qx9bcmKxJymLx2mL84mpAJPI6vTiLCSoEoeOBu212GY2I1DvW6o0mC+hSuyr9ZJWvR5YHXg&#10;TQOTFB+GO07k6Tll/fnQ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YEs11QAAAAgBAAAPAAAA&#10;AAAAAAEAIAAAACIAAABkcnMvZG93bnJldi54bWxQSwECFAAUAAAACACHTuJA5XVUThgCAAAYBAAA&#10;DgAAAAAAAAABACAAAAAkAQAAZHJzL2Uyb0RvYy54bWxQSwUGAAAAAAYABgBZAQAArgU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ascii="仿宋" w:hAnsi="仿宋" w:eastAsia="仿宋" w:cs="仿宋"/>
          <w:color w:val="auto"/>
          <w:sz w:val="24"/>
          <w:szCs w:val="24"/>
          <w:highlight w:val="none"/>
        </w:rPr>
        <w:t>承包人应保持预付款保函在预付款全部扣回之前一直有效。发包人应在预付款扣完后的 14 天内将预付款保函退还承包人，并不得向承包人收取预付款的任何利息。</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59" w:name="_Toc21375"/>
      <w:bookmarkStart w:id="560" w:name="_Toc47694361"/>
      <w:bookmarkStart w:id="561" w:name="_Toc19349"/>
      <w:r>
        <w:rPr>
          <w:rFonts w:hint="eastAsia" w:ascii="仿宋" w:hAnsi="仿宋" w:eastAsia="仿宋" w:cs="仿宋"/>
          <w:bCs w:val="0"/>
          <w:color w:val="auto"/>
          <w:sz w:val="24"/>
          <w:szCs w:val="24"/>
          <w:highlight w:val="none"/>
        </w:rPr>
        <w:t>★85</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绿色施工安全防护费</w:t>
      </w:r>
      <w:bookmarkEnd w:id="559"/>
      <w:bookmarkEnd w:id="560"/>
      <w:bookmarkEnd w:id="561"/>
    </w:p>
    <w:p>
      <w:pPr>
        <w:widowControl w:val="0"/>
        <w:rPr>
          <w:rFonts w:ascii="仿宋" w:hAnsi="仿宋" w:eastAsia="仿宋" w:cs="仿宋"/>
          <w:b/>
          <w:bCs/>
          <w:color w:val="auto"/>
          <w:highlight w:val="none"/>
          <w:lang w:eastAsia="zh-CN"/>
        </w:rPr>
      </w:pPr>
      <w:bookmarkStart w:id="562"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562"/>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75"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026" o:spt="202" type="#_x0000_t202" style="position:absolute;left:0pt;margin-left:-9pt;margin-top:1.4pt;height:34.65pt;width:81pt;z-index:252020736;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BN6vZpGgIAABkEAAAOAAAAZHJzL2Uyb0RvYy54bWytU8uO0zAU&#10;3SPxD5b3NGlp6RA1HQ1TDUIaHtLAB7iO01jEvubabTJ8APMHrNiw57v6HVw7nVKGzSzYRLbv9bnn&#10;HJ8sznvTsp1Cr8GWfDzKOVNWQqXtpuSfPl49O+PMB2Er0YJVJb9Vnp8vnz5ZdK5QE2igrRQyArG+&#10;6FzJmxBckWVeNsoIPwKnLBVrQCMCbXGTVSg6QjdtNsnzF1kHWDkEqbyn09VQ5AdEfAwg1LWWagVy&#10;a5QNAyqqVgSS5BvtPF8mtnWtZHhf114F1paclIb0pSG0XsdvtlyIYoPCNVoeKIjHUHigyQhtaegR&#10;aiWCYFvU/0AZLRE81GEkwWSDkOQIqRjnD7y5aYRTSQtZ7d3RdP//YOW73Qdkuir5fMaZFYZefP/9&#10;bv/j1/7nNzbOn8+jRZ3zBXXeOOoN/SvoKThJrnfXID97ZuGyEXajLhCha5SoiOI43sxOrg44PoKs&#10;u7dQ0SixDZCA+hpN9I8cYYROz3N7fB7VBybjyHxyNs+pJKk2neb5bJZGiOL+tkMfXiswLC5KjvT8&#10;CV3srn2IbERx3xKHWbjSbZsi0Nq/DqgxniT2kfBAPfTr/uDGGqpb0oEwJIr+J1o0gF856yhNJfdf&#10;tgIVZ+0bS168HBNfil/aTGfzCW3wtLI+rQgrCarkgbNheRmGyG4d6k1Dkwb3LVyQf7VO0qLRA6sD&#10;b0pMUnxId4zk6T51/fmj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tsiLdQAAAAIAQAADwAA&#10;AAAAAAABACAAAAAiAAAAZHJzL2Rvd25yZXYueG1sUEsBAhQAFAAAAAgAh07iQE3q9mkaAgAAGQQA&#10;AA4AAAAAAAAAAQAgAAAAIwEAAGRycy9lMm9Eb2MueG1sUEsFBgAAAAAGAAYAWQEAAK8FA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rPr>
        <w:t>合同双方当事人应在专用条款中约定绿色施工安全防护费的内容、范围和金额，并按照第 52 条约定实施绿色施工安全防护。除专用条款另有约定外，绿色施工安全防护费的内容和范围，应以省、市建设行政主管部门的相关文件规定为准。</w:t>
      </w:r>
    </w:p>
    <w:p>
      <w:pPr>
        <w:spacing w:line="360" w:lineRule="auto"/>
        <w:rPr>
          <w:rFonts w:ascii="仿宋" w:hAnsi="仿宋" w:eastAsia="仿宋" w:cs="仿宋"/>
          <w:color w:val="auto"/>
          <w:highlight w:val="none"/>
          <w:u w:val="dotted"/>
          <w:lang w:eastAsia="zh-CN"/>
        </w:rPr>
      </w:pPr>
      <w:bookmarkStart w:id="563"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563"/>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74"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wps:spPr>
                      <wps:txbx>
                        <w:txbxContent>
                          <w:p>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026" o:spt="202" type="#_x0000_t202" style="position:absolute;left:0pt;margin-left:-9pt;margin-top:2.7pt;height:62.15pt;width:72pt;z-index:252021760;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Dbbe3EZAgAAGAQAAA4AAABkcnMvZTJvRG9jLnhtbK1TS27b&#10;MBDdF+gdCO5ryY5TO4LlII2RokD6AdIegKYoi6jEYYe0JfcAzQ266qb7nsvn6JBSXDfdZNGNQHKG&#10;b957fFpcdk3NdgqdBpPz8SjlTBkJhTabnH/6ePNizpnzwhSiBqNyvleOXy6fP1u0NlMTqKAuFDIC&#10;MS5rbc4r722WJE5WqhFuBFYZKpaAjfC0xU1SoGgJvamTSZq+TFrAwiJI5RydrvoiHxDxKYBQllqq&#10;Fchto4zvUVHVwpMkV2nr+DKyLUsl/fuydMqzOuek1McvDaH1OnyT5UJkGxS20nKgIJ5C4ZGmRmhD&#10;Q49QK+EF26L+B6rREsFB6UcSmqQXEh0hFeP0kTd3lbAqaiGrnT2a7v4frHy3+4BMFzmfTTkzoqEX&#10;P3y/P/z4dfj5jY3Ts3mwqLUuo847S72+ewUdBSfKdfYW5GfHDFxXwmzUFSK0lRIFURyHm8nJ1R7H&#10;BZB1+xYKGiW2HiJQV2IT/CNHGKHT8+yPz6M6zyQdXoyn05Qqkkqz+cVZeh4niOzhskXnXytoWFjk&#10;HOn1I7jY3TofyIjsoSXMMnCj6zomoDZ/HVBjOInkA9+eue/W3WDGGoo9yUDoA0W/Ey0qwK+ctRSm&#10;nLsvW4GKs/qNISsic0pf3EzPZxNSgaeV9WlFGElQOfec9ctr3yd2a1FvKprUm2/giuwrdZQWfO5Z&#10;DbwpMFHxEO6QyNN97Prz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F4sfWAAAACQEAAA8A&#10;AAAAAAAAAQAgAAAAIgAAAGRycy9kb3ducmV2LnhtbFBLAQIUABQAAAAIAIdO4kA223txGQIAABgE&#10;AAAOAAAAAAAAAAEAIAAAACUBAABkcnMvZTJvRG9jLnhtbFBLBQYAAAAABgAGAFkBAACwBQAAAAA=&#10;">
                <v:fill on="f" focussize="0,0"/>
                <v:stroke on="f"/>
                <v:imagedata o:title=""/>
                <o:lock v:ext="edit" aspectratio="f"/>
                <v:textbox>
                  <w:txbxContent>
                    <w:p>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rPr>
        <w:t>专用条款没有约定的，承包人应在接到监理人按照第 41.2 款约定发出开工令后的 7 天内向造价咨询人提交绿色施工安全防护费支付申请，并抄送发包人。造价咨询人应对支付申请进行核实，并在收到支付申请后的 7 天内报发包人确认后向发包人发出支付证书，同时抄送承包人。</w:t>
      </w:r>
    </w:p>
    <w:p>
      <w:pPr>
        <w:spacing w:line="360" w:lineRule="auto"/>
        <w:rPr>
          <w:rFonts w:ascii="仿宋" w:hAnsi="仿宋" w:eastAsia="仿宋"/>
          <w:b/>
          <w:bCs/>
          <w:color w:val="auto"/>
          <w:highlight w:val="none"/>
          <w:lang w:eastAsia="zh-CN"/>
        </w:rPr>
      </w:pPr>
      <w:bookmarkStart w:id="564"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5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合同双方当事人应按照建设行政主管部门的规定，在专用条款中约定绿色施工安全防护费的支付办法和抵扣方式。除专用条款另有约定外，发包人应在造价咨询人签发支付证书后的 7 天内向承包人支付绿色施工安全防护费，并保证在工程开工后的 28 天内支付绿色施工安全防护费金额的 50%，同时通知造价咨询人。其余部分与进度款同期支付。</w:t>
      </w:r>
    </w:p>
    <w:p>
      <w:pPr>
        <w:spacing w:line="360" w:lineRule="auto"/>
        <w:rPr>
          <w:rFonts w:ascii="仿宋" w:hAnsi="仿宋" w:eastAsia="仿宋"/>
          <w:b/>
          <w:bCs/>
          <w:color w:val="auto"/>
          <w:highlight w:val="none"/>
          <w:lang w:eastAsia="zh-CN"/>
        </w:rPr>
      </w:pPr>
      <w:bookmarkStart w:id="565"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5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72"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026" o:spt="202" type="#_x0000_t202" style="position:absolute;left:0pt;margin-left:-9pt;margin-top:0.85pt;height:31.55pt;width:72pt;z-index:252022784;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Yh5Y9BcCAAAYBAAADgAAAGRycy9lMm9Eb2MueG1srVNLbtsw&#10;EN0X6B0I7mvJhvMTLAdpjBQF0g+Q9gA0RVlERQ47pC25B2hv0FU33fdcPkeGlOO46SaLboQhZ/Tm&#10;vTfD2WVvWrZR6DXYko9HOWfKSqi0XZX886ebV+ec+SBsJVqwquRb5fnl/OWLWecKNYEG2kohIxDr&#10;i86VvAnBFVnmZaOM8CNwylKyBjQi0BFXWYWiI3TTZpM8P806wMohSOU93S6GJN8j4nMAoa61VAuQ&#10;a6NsGFBRtSKQJN9o5/k8sa1rJcOHuvYqsLbkpDSkLzWheBm/2XwmihUK12i5pyCeQ+GJJiO0paYH&#10;qIUIgq1R/wNltETwUIeRBJMNQpIjpGKcP/HmrhFOJS1ktXcH0/3/g5XvNx+R6arkZxPOrDA08d3P&#10;H7tff3a/v7NxPk0Wdc4XVHnnqDb0r6GnxUlyvbsF+cUzC9eNsCt1hQhdo0RFFMfR3Ozo1zgUX/gI&#10;suzeQUWtxDpAAuprNNE/coQROo1nexiP6gOTdHkxnk5zykhKUXB6fpI6iOLhZ4c+vFFgWAxKjjT9&#10;BC42tz5EMqJ4KIm9LNzotk0b0Nq/Lqgw3iTyke/APPTLnqqjiCVUW5KBMCwUPScKGsBvnHW0TCX3&#10;X9cCFWftW0tWJOa0fekwPTmbkAo8ziyPM8JKgip54GwIr8OwsWuHetVQp8F8C1dkX62TtEdWe960&#10;MEnxfrnjRh6fU9Xjg57f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zf4wzVAAAACAEAAA8AAAAA&#10;AAAAAQAgAAAAIgAAAGRycy9kb3ducmV2LnhtbFBLAQIUABQAAAAIAIdO4kBiHlj0FwIAABgEAAAO&#10;AAAAAAAAAAEAIAAAACQBAABkcnMvZTJvRG9jLnhtbFBLBQYAAAAABgAGAFkBAACt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rPr>
        <w:t>发包人没有按时支付绿色施工安全防护费的，承包人应在付款期满后的 7 天内向发包人发出要求支付的通知；发包人收到通知后仍不按要求支付，承包人可在发出通知 14 天后暂停施工。发包人应承担由此增加的费用和（或）延误的工期，并向承包人支付合理利润。</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71"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wps:spPr>
                      <wps:txbx>
                        <w:txbxContent>
                          <w:p>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026" o:spt="202" type="#_x0000_t202" style="position:absolute;left:0pt;margin-left:-9pt;margin-top:0.15pt;height:37.1pt;width:72pt;z-index:252023808;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wy6lkBYCAAAYBAAADgAAAGRycy9lMm9Eb2MueG1srVPNjtMw&#10;EL4j8Q6W7zRJFShETVfLVouQlh9p4QFcx0ksYo8Zu03KA8AbcOLCnefqczBxuqUslz1wsWzP+Jvv&#10;+2a8vBhMx3YKvQZb8myWcqashErbpuQfP1w/ec6ZD8JWogOrSr5Xnl+sHj9a9q5Qc2ihqxQyArG+&#10;6F3J2xBckSRetsoIPwOnLAVrQCMCHbFJKhQ9oZsumafps6QHrByCVN7T7XoK8iMiPgQQ6lpLtQa5&#10;NcqGCRVVJwJJ8q12nq8i27pWMryra68C60pOSkNcqQjtN+OarJaiaFC4VssjBfEQCvc0GaEtFT1B&#10;rUUQbIv6HyijJYKHOswkmGQSEh0hFVl6z5vbVjgVtZDV3p1M9/8PVr7dvUemq5IvMs6sMNTxw/dv&#10;hx+/Dj+/sizNs9Gi3vmCMm8d5YbhJQw0OFGudzcgP3lm4aoVtlGXiNC3SlREMb5Mzp5OOH4E2fRv&#10;oKJSYhsgAg01mtE/coQROrVnf2qPGgKTdPkiy/OUIpJC+SLLFrF9iSjuHjv04ZUCw8ZNyZG6H8HF&#10;7sYHkkGpdyljLQvXuuviBHT2rwtKHG8i+ZHvxDwMm+FoxgaqPclAmAaKvhNtWsAvnPU0TCX3n7cC&#10;FWfda0tWROY0ffGQP13MSQWeRzbnEWElQZU8cDZtr8I0sVuHummp0mS+hUuyr9ZR2ujzxOrImwYm&#10;Kj4O9ziR5+eY9edDr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3DUx9UAAAAHAQAADwAAAAAA&#10;AAABACAAAAAiAAAAZHJzL2Rvd25yZXYueG1sUEsBAhQAFAAAAAgAh07iQMMupZAWAgAAGAQAAA4A&#10;AAAAAAAAAQAgAAAAJAEAAGRycy9lMm9Eb2MueG1sUEsFBgAAAAAGAAYAWQEAAKwFAAAAAA==&#10;">
                <v:fill on="f" focussize="0,0"/>
                <v:stroke on="f"/>
                <v:imagedata o:title=""/>
                <o:lock v:ext="edit" aspectratio="f"/>
                <v:textbox>
                  <w:txbxContent>
                    <w:p>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rPr>
        <w:t>绿色施工安全防护费专款专用，承包人应在财务账目中单独列项备查，不得挪作他用，否则造价咨询人有权责令其限期改正；逾期未改正的，可以责令其暂停施工，由此造成的损失和延误的工期由承包人承担。</w:t>
      </w:r>
    </w:p>
    <w:p>
      <w:pPr>
        <w:spacing w:line="360" w:lineRule="auto"/>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90368"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70"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wps:spPr>
                      <wps:txbx>
                        <w:txbxContent>
                          <w:p>
                            <w:pPr>
                              <w:pStyle w:val="17"/>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026" o:spt="202" type="#_x0000_t202" style="position:absolute;left:0pt;margin-left:0pt;margin-top:23.5pt;height:48pt;width:72pt;z-index:252090368;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pUMSJxYCAAAYBAAADgAAAGRycy9lMm9Eb2MueG1srVNLbtswEN0X&#10;6B0I7mvJhus0guUgjZGiQPoB0h6ApiiLqMhhh7Ql9wDtDbLqpvuey+fokHIcN91k0Y0wnBm+ee9x&#10;NL/oTcu2Cr0GW/LxKOdMWQmVtuuSf/50/eIVZz4IW4kWrCr5Tnl+sXj+bN65Qk2ggbZSyAjE+qJz&#10;JW9CcEWWedkoI/wInLJUrAGNCHTEdVah6AjdtNkkz2dZB1g5BKm8p+xyKPIDIj4FEOpaS7UEuTHK&#10;hgEVVSsCSfKNdp4vEtu6VjJ8qGuvAmtLTkpD+tIQilfxmy3molijcI2WBwriKRQeaTJCWxp6hFqK&#10;INgG9T9QRksED3UYSTDZICQ5QirG+SNvbhvhVNJCVnt3NN3/P1j5fvsRma5KfkaWWGHoxfd3P/Y/&#10;f+9/fWfjfDqJFnXOF9R566g39K+hp8VJcr27AfnFMwtXjbBrdYkIXaNERRTH8WZ2cnXA8RFk1b2D&#10;ikaJTYAE1Ndoon/kCCN04rI7Po/qA5OUPB9PpzlVJJVm+fmM4jhBFPeXHfrwRoFhMSg50usncLG9&#10;8WFovW+Jsyxc67alvCha+1eCMGMmkY98B+ahX/XUHRWtoNqRDIRhoeh3oqAB/MZZR8tUcv91I1Bx&#10;1r61ZEViTtuXDtOXZxNSgaeV1WlFWElQJQ+cDeFVGDZ241CvG5o0mG/hkuyrdZL2wOrAmxYmmXNY&#10;7riRp+fU9fBDL/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4YyHtIAAAAHAQAADwAAAAAAAAAB&#10;ACAAAAAiAAAAZHJzL2Rvd25yZXYueG1sUEsBAhQAFAAAAAgAh07iQKVDEicWAgAAGAQAAA4AAAAA&#10;AAAAAQAgAAAAIQEAAGRycy9lMm9Eb2MueG1sUEsFBgAAAAAGAAYAWQEAAKkFAAAAAA==&#10;">
                <v:fill on="f" focussize="0,0"/>
                <v:stroke on="f"/>
                <v:imagedata o:title=""/>
                <o:lock v:ext="edit" aspectratio="f"/>
                <v:textbox>
                  <w:txbxContent>
                    <w:p>
                      <w:pPr>
                        <w:pStyle w:val="17"/>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条款另有约定外，获得省、市级或其它级别文明工地的文明工地增加费，招标发包工程按照中标通知书日期（直接发包工程按照合同签订日期）的同时期省、市建设行政主管部门的相关文件规定计算。当合同工程同时获得上述多个奖项的，文明工地增加费只按最高奖项的额度计算。文明工地增加费计入竣工结算中，与竣工结算款一并支付。在竣工结算后获得奖项的，发包人应在获得奖项后的 28 天内支付。</w:t>
      </w:r>
    </w:p>
    <w:p>
      <w:pPr>
        <w:pStyle w:val="22"/>
        <w:tabs>
          <w:tab w:val="left" w:pos="162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66" w:name="_Toc47694362"/>
      <w:bookmarkStart w:id="567" w:name="_Toc30422"/>
      <w:bookmarkStart w:id="568" w:name="_Toc276"/>
      <w:r>
        <w:rPr>
          <w:rFonts w:hint="eastAsia" w:ascii="仿宋" w:hAnsi="仿宋" w:eastAsia="仿宋" w:cs="仿宋"/>
          <w:bCs w:val="0"/>
          <w:color w:val="auto"/>
          <w:sz w:val="24"/>
          <w:szCs w:val="24"/>
          <w:highlight w:val="none"/>
        </w:rPr>
        <w:t>★86</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进度款</w:t>
      </w:r>
      <w:bookmarkEnd w:id="566"/>
      <w:bookmarkEnd w:id="567"/>
      <w:bookmarkEnd w:id="568"/>
    </w:p>
    <w:p>
      <w:pPr>
        <w:pStyle w:val="22"/>
        <w:widowControl w:val="0"/>
        <w:adjustRightInd w:val="0"/>
        <w:snapToGrid w:val="0"/>
        <w:spacing w:line="360" w:lineRule="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86</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69" name="文本框 1043"/>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026" o:spt="202" type="#_x0000_t202" style="position:absolute;left:0pt;margin-left:-9pt;margin-top:0.65pt;height:54.05pt;width:72pt;z-index:252024832;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dq0j9BkCAAAYBAAADgAAAGRycy9lMm9Eb2MueG1srVNLbtsw&#10;EN0X6B0I7mvJjuMmguUgjZGiQPoB0h6ApiiLqMhhh7Ql9wDNDbrqpvueK+fokHJcN91k0Y1AcoZv&#10;3nt8ml/0pmVbhV6DLfl4lHOmrIRK23XJP328fnHGmQ/CVqIFq0q+U55fLJ4/m3euUBNooK0UMgKx&#10;vuhcyZsQXJFlXjbKCD8CpywVa0AjAm1xnVUoOkI3bTbJ81nWAVYOQSrv6XQ5FPkeEZ8CCHWtpVqC&#10;3Bhlw4CKqhWBJPlGO88XiW1dKxne17VXgbUlJ6UhfWkIrVfxmy3molijcI2WewriKRQeaTJCWxp6&#10;gFqKINgG9T9QRksED3UYSTDZICQ5QirG+SNvbhvhVNJCVnt3MN3/P1j5bvsBma5KPjvnzApDL37/&#10;/e7+x6/7n9/YOJ+eRIs65wvqvHXUG/pX0FNwklzvbkB+9szCVSPsWl0iQtcoURHFcbyZHV0dcHwE&#10;WXVvoaJRYhMgAfU1mugfOcIInZ5nd3ge1Qcm6fB8PJ3mVJFUmp3NpienaYIoHi479OG1AsPiouRI&#10;r5/AxfbGh0hGFA8tcZaFa922KQGt/euAGuNJIh/5DsxDv+r3Zqyg2pEMhCFQ9DvRogH8yllHYSq5&#10;/7IRqDhr31iyIjGn9KXN9PTlhFTgcWV1XBFWElTJA2fD8ioMid041OuGJg3mW7gk+2qdpEWfB1Z7&#10;3hSYpHgf7pjI433q+vND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lby79UAAAAJAQAADwAA&#10;AAAAAAABACAAAAAiAAAAZHJzL2Rvd25yZXYueG1sUEsBAhQAFAAAAAgAh07iQHatI/QZAgAAGAQA&#10;AA4AAAAAAAAAAQAgAAAAJAEAAGRycy9lMm9Eb2MueG1sUEsFBgAAAAAGAAYAWQEAAK8FAAAAAA==&#10;">
                <v:fill on="f" focussize="0,0"/>
                <v:stroke on="f"/>
                <v:imagedata o:title=""/>
                <o:lock v:ext="edit" aspectratio="f"/>
                <v:textbo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合同双方当事人应在专用条款中明确进度款的支付期限及比例。专用条款没有约定期限的，支付期限以月为单位。涉及政府投资资金的工程，支付期限、支付方法等需调整的，应在专用条款中约定。</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承包人应在每个支付期结束后的 7天内向造价咨询人提交由承包人代表签署支付申请和已完工作或工程款额报告一式四份，详细说明此支付期间自己认为有权得到的款项，包括分包人已完工程款，同时抄送发包人。该支付申请的内容包括：</w:t>
      </w:r>
    </w:p>
    <w:p>
      <w:pPr>
        <w:pStyle w:val="22"/>
        <w:widowControl w:val="0"/>
        <w:numPr>
          <w:ilvl w:val="0"/>
          <w:numId w:val="12"/>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pPr>
        <w:pStyle w:val="22"/>
        <w:widowControl w:val="0"/>
        <w:numPr>
          <w:ilvl w:val="0"/>
          <w:numId w:val="12"/>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已实际支付的工作或工程款；</w:t>
      </w:r>
    </w:p>
    <w:p>
      <w:pPr>
        <w:pStyle w:val="22"/>
        <w:widowControl w:val="0"/>
        <w:numPr>
          <w:ilvl w:val="0"/>
          <w:numId w:val="12"/>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本期间完成的工作或工程款；</w:t>
      </w:r>
    </w:p>
    <w:p>
      <w:pPr>
        <w:pStyle w:val="22"/>
        <w:widowControl w:val="0"/>
        <w:numPr>
          <w:ilvl w:val="0"/>
          <w:numId w:val="12"/>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本期间完成的计日工费用；</w:t>
      </w:r>
    </w:p>
    <w:p>
      <w:pPr>
        <w:pStyle w:val="22"/>
        <w:widowControl w:val="0"/>
        <w:numPr>
          <w:ilvl w:val="0"/>
          <w:numId w:val="12"/>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根据第78条至第82条</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本期间已确认的调整价款；</w:t>
      </w:r>
    </w:p>
    <w:p>
      <w:pPr>
        <w:pStyle w:val="22"/>
        <w:widowControl w:val="0"/>
        <w:numPr>
          <w:ilvl w:val="0"/>
          <w:numId w:val="12"/>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本期间暂列金额的使用情况；</w:t>
      </w:r>
    </w:p>
    <w:p>
      <w:pPr>
        <w:pStyle w:val="22"/>
        <w:widowControl w:val="0"/>
        <w:numPr>
          <w:ilvl w:val="0"/>
          <w:numId w:val="12"/>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根据第76条</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本期间应扣除的误期赔偿费；</w:t>
      </w:r>
    </w:p>
    <w:p>
      <w:pPr>
        <w:pStyle w:val="22"/>
        <w:widowControl w:val="0"/>
        <w:numPr>
          <w:ilvl w:val="0"/>
          <w:numId w:val="12"/>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根据第84条本期间应扣回的预付款；</w:t>
      </w:r>
    </w:p>
    <w:p>
      <w:pPr>
        <w:pStyle w:val="22"/>
        <w:widowControl w:val="0"/>
        <w:numPr>
          <w:ilvl w:val="0"/>
          <w:numId w:val="12"/>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5条规定本期间应支付或扣回的绿色施工安全防护费；</w:t>
      </w:r>
    </w:p>
    <w:p>
      <w:pPr>
        <w:pStyle w:val="22"/>
        <w:widowControl w:val="0"/>
        <w:numPr>
          <w:ilvl w:val="0"/>
          <w:numId w:val="12"/>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根据第89条本期间应扣留的质量保证金；</w:t>
      </w:r>
    </w:p>
    <w:p>
      <w:pPr>
        <w:pStyle w:val="22"/>
        <w:widowControl w:val="0"/>
        <w:numPr>
          <w:ilvl w:val="0"/>
          <w:numId w:val="12"/>
        </w:numPr>
        <w:tabs>
          <w:tab w:val="left" w:pos="2160"/>
        </w:tabs>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olor w:val="auto"/>
          <w:sz w:val="24"/>
          <w:szCs w:val="24"/>
          <w:highlight w:val="none"/>
        </w:rPr>
        <w:t>根据</w:t>
      </w:r>
      <w:r>
        <w:rPr>
          <w:rFonts w:hint="eastAsia" w:ascii="仿宋" w:hAnsi="仿宋" w:eastAsia="仿宋" w:cs="仿宋"/>
          <w:color w:val="auto"/>
          <w:sz w:val="24"/>
          <w:szCs w:val="24"/>
          <w:highlight w:val="none"/>
        </w:rPr>
        <w:t>合同约定，本期间应支付或扣留（回）的其他款项；</w:t>
      </w:r>
    </w:p>
    <w:p>
      <w:pPr>
        <w:pStyle w:val="22"/>
        <w:widowControl w:val="0"/>
        <w:numPr>
          <w:ilvl w:val="0"/>
          <w:numId w:val="12"/>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olor w:val="auto"/>
          <w:sz w:val="24"/>
          <w:szCs w:val="24"/>
          <w:highlight w:val="none"/>
        </w:rPr>
        <w:t>本期</w:t>
      </w:r>
      <w:r>
        <w:rPr>
          <w:rFonts w:hint="eastAsia" w:ascii="仿宋" w:hAnsi="仿宋" w:eastAsia="仿宋" w:cs="仿宋"/>
          <w:color w:val="auto"/>
          <w:sz w:val="24"/>
          <w:szCs w:val="24"/>
          <w:highlight w:val="none"/>
        </w:rPr>
        <w:t>间应支付的进度款。</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86</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68"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026" o:spt="202" type="#_x0000_t202" style="position:absolute;left:0pt;margin-left:-9pt;margin-top:0pt;height:52.8pt;width:72pt;z-index:252025856;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Bqf0vjFwIAABgEAAAOAAAAZHJzL2Uyb0RvYy54bWytU0uOEzEQ&#10;3SNxB8t70p0oyUArndEw0SCk4SMNHMBxu9MWbZcpO+kOB4AbsGLDnnPlHJTdmRCGzSzYWLar/Oq9&#10;V+XFZW9atlPoNdiSj0c5Z8pKqLTdlPzjh5tnzznzQdhKtGBVyffK88vl0yeLzhVqAg20lUJGINYX&#10;nSt5E4IrsszLRhnhR+CUpWANaESgI26yCkVH6KbNJnk+zzrAyiFI5T3droYgPyLiYwChrrVUK5Bb&#10;o2wYUFG1IpAk32jn+TKxrWslw7u69iqwtuSkNKSVitB+HddsuRDFBoVrtDxSEI+h8ECTEdpS0RPU&#10;SgTBtqj/gTJaIniow0iCyQYhyRFSMc4feHPXCKeSFrLau5Pp/v/Byre798h0VfI59d0KQx0/fP92&#10;+PHr8PMrG+fTWbSoc76gzDtHuaF/CT0NTpLr3S3IT55ZuG6E3agrROgaJSqiOI4vs7OnA46PIOvu&#10;DVRUSmwDJKC+RhP9I0cYoVN79qf2qD4wSZcvxtNpThFJoflFPpun9mWiuH/s0IdXCgyLm5IjdT+B&#10;i92tD5GMKO5TYi0LN7pt0wS09q8LSow3iXzkOzAP/bo/mrGGak8yEIaBou9EmwbwC2cdDVPJ/eet&#10;QMVZ+9qSFYk5TV86TGcXE1KB55H1eURYSVAlD5wN2+swTOzWod40VGkw38IV2VfrJC36PLA68qaB&#10;SYqPwx0n8vycsv586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2FLCdQAAAAIAQAADwAAAAAA&#10;AAABACAAAAAiAAAAZHJzL2Rvd25yZXYueG1sUEsBAhQAFAAAAAgAh07iQGp/S+MXAgAAGAQAAA4A&#10;AAAAAAAAAQAgAAAAIwEAAGRycy9lMm9Eb2MueG1sUEsFBgAAAAAGAAYAWQEAAKw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rPr>
        <w:t xml:space="preserve">造价咨询人在收到第 86.1 款所述资料后，应按照第 72 条约定进行计量，并根据计量结果和合同约定对资料内容予以核实。在收到上述资料后的 28 天内报发包人确认后向发包人签发期中支付证书，同时抄送承包人。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造价咨询人签发期中支付证书，不应视为发包人已同意、批准或接受了承包人完成该部分工作。</w:t>
      </w:r>
    </w:p>
    <w:p>
      <w:pPr>
        <w:widowControl w:val="0"/>
        <w:spacing w:line="360" w:lineRule="auto"/>
        <w:rPr>
          <w:rFonts w:ascii="仿宋" w:hAnsi="仿宋" w:eastAsia="仿宋"/>
          <w:b/>
          <w:bCs/>
          <w:color w:val="auto"/>
          <w:highlight w:val="none"/>
          <w:lang w:eastAsia="zh-CN"/>
        </w:rPr>
      </w:pPr>
      <w:bookmarkStart w:id="569"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5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67" name="文本框 1046"/>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026" o:spt="202" type="#_x0000_t202" style="position:absolute;left:0pt;margin-left:-9pt;margin-top:0.5pt;height:21.1pt;width:81pt;z-index:252026880;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DAEja8GgIAABkEAAAOAAAAZHJzL2Uyb0RvYy54bWytU81uEzEQ&#10;viPxDpbvZDdRSNpVNlVpVIRUfqTCAzheb9Zi7TFjJ7vlAeANeuLCnefKczD2piGUSw9cLNsz/ub7&#10;vhkvLnrTsp1Cr8GWfDzKOVNWQqXtpuSfPl6/OOPMB2Er0YJVJb9Tnl8snz9bdK5QE2igrRQyArG+&#10;6FzJmxBckWVeNsoIPwKnLAVrQCMCHXGTVSg6QjdtNsnzWdYBVg5BKu/pdjUE+QERnwIIda2lWoHc&#10;GmXDgIqqFYEk+UY7z5eJbV0rGd7XtVeBtSUnpSGtVIT267hmy4UoNihco+WBgngKhUeajNCWih6h&#10;ViIItkX9D5TREsFDHUYSTDYISY6QinH+yJvbRjiVtJDV3h1N9/8PVr7bfUCmq5LP5pxZYajj+/vv&#10;+x+/9j+/sXE+nUWLOucLyrx1lBv6V9DT4CS53t2A/OyZhatG2I26RISuUaIiiuP4Mjt5OuD4CLLu&#10;3kJFpcQ2QALqazTRP3KEETq15+7YHtUHJmPJfHI2zykkKTaZzc/nqX+ZKB5eO/ThtQLD4qbkSO1P&#10;6GJ340NkI4qHlFjMwrVu2zQCrf3rghLjTWIfCQ/UQ7/uD26sobojHQjDRNF/ok0D+JWzjqap5P7L&#10;VqDirH1jyYvz8XQaxy8dpi/nEzrgaWR9GhFWElTJA2fD9ioMI7t1qDcNVRrct3BJ/tU6SYtGD6wO&#10;vGlikuLDdMeRPD2nrD8/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GrMutQAAAAIAQAADwAA&#10;AAAAAAABACAAAAAiAAAAZHJzL2Rvd25yZXYueG1sUEsBAhQAFAAAAAgAh07iQMASNrwaAgAAGQQA&#10;AA4AAAAAAAAAAQAgAAAAIwEAAGRycy9lMm9Eb2MueG1sUEsFBgAAAAAGAAYAWQEAAK8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rPr>
        <w:t>发包人应在造价咨询人签发期中支付证书后的 14 天内，按照期中支付证书列明的金额向承包人支付进度款，并通知造价咨询人。</w:t>
      </w:r>
    </w:p>
    <w:p>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66" name="文本框 1047"/>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wps:spPr>
                      <wps:txb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026" o:spt="202" type="#_x0000_t202" style="position:absolute;left:0pt;margin-left:-9pt;margin-top:0.65pt;height:51pt;width:72pt;z-index:252027904;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ljkS5hYCAAAYBAAADgAAAGRycy9lMm9Eb2MueG1srVPNjtMw&#10;EL4j8Q6W7zRpVVqImq6WrRYhLT/SwgO4jtNYxB4zdpuUB4A34MSFO8/V52DsdLtlueyBSzSeGX/z&#10;fZ8ni4vetGyn0GuwJR+Pcs6UlVBpuyn5p4/Xz15w5oOwlWjBqpLvlecXy6dPFp0r1AQaaCuFjECs&#10;LzpX8iYEV2SZl40ywo/AKUvFGtCIQEfcZBWKjtBNm03yfJZ1gJVDkMp7yq6GIj8i4mMAoa61VCuQ&#10;W6NsGFBRtSKQJN9o5/kysa1rJcP7uvYqsLbkpDSkLw2heB2/2XIhig0K12h5pCAeQ+GBJiO0paEn&#10;qJUIgm1R/wNltETwUIeRBJMNQpIjpGKcP/DmthFOJS1ktXcn0/3/g5Xvdh+Q6arksxlnVhh68cOP&#10;74efvw+/vrFxPp1HizrnC+q8ddQb+lfQ0+Ikud7dgPzsmYWrRtiNukSErlGiIorjeDM7uzrg+Aiy&#10;7t5CRaPENkAC6ms00T9yhBE6Pc/+9DyqD0xS8uV4Os2pIqk0m87nFMcJori77NCH1woMi0HJkV4/&#10;gYvdjQ9D611LnGXhWrct5UXR2r8ShBkziXzkOzAP/bqn7qhoDdWeZCAMC0W/EwUN4FfOOlqmkvsv&#10;W4GKs/aNJSsSc9q+dJg+n09IBZ5X1ucVYSVBlTxwNoRXYdjYrUO9aWjSYL6FS7Kv1knaPasjb1qY&#10;ZM5xueNGnp9T1/0Pv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33Z8tUAAAAJAQAADwAAAAAA&#10;AAABACAAAAAiAAAAZHJzL2Rvd25yZXYueG1sUEsBAhQAFAAAAAgAh07iQJY5EuYWAgAAGAQAAA4A&#10;AAAAAAAAAQAgAAAAJAEAAGRycy9lMm9Eb2MueG1sUEsFBgAAAAAGAAYAWQEAAKwFAAAAAA==&#10;">
                <v:fill on="f" focussize="0,0"/>
                <v:stroke on="f"/>
                <v:imagedata o:title=""/>
                <o:lock v:ext="edit" aspectratio="f"/>
                <v:textbo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rPr>
        <w:t>如果造价咨询人未在第 86.2 款约定的期限内签发期中支付证书的，则视为承包人提交的支付申请已被认可，承包人应及时向发包人发出要求支付的通知。发包人应在收到通知后的 14 天内，按照承包人支付申请列明的金额向承包人支付进度款。</w:t>
      </w:r>
    </w:p>
    <w:p>
      <w:pPr>
        <w:widowControl w:val="0"/>
        <w:spacing w:line="360" w:lineRule="auto"/>
        <w:rPr>
          <w:rFonts w:ascii="仿宋" w:hAnsi="仿宋" w:eastAsia="仿宋"/>
          <w:b/>
          <w:bCs/>
          <w:color w:val="auto"/>
          <w:highlight w:val="none"/>
          <w:lang w:eastAsia="zh-CN"/>
        </w:rPr>
      </w:pPr>
      <w:bookmarkStart w:id="570"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5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65" name="文本框 1048"/>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026" o:spt="202" type="#_x0000_t202" style="position:absolute;left:0pt;margin-left:-9pt;margin-top:0.95pt;height:50.95pt;width:72pt;z-index:252028928;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Gtr5oRcCAAAYBAAADgAAAGRycy9lMm9Eb2MueG1srVPNbhMx&#10;EL4j8Q6W72Q3UZqWVTZVaVSEVH6kwgM4Xm/WYu0xYye74QHgDThx4c5z5TkYe9M0lEsPXCx7ZvzN&#10;930ezy9707KtQq/Blnw8yjlTVkKl7brknz7evLjgzAdhK9GCVSXfKc8vF8+fzTtXqAk00FYKGYFY&#10;X3Su5E0IrsgyLxtlhB+BU5aSNaARgY64zioUHaGbNpvk+SzrACuHIJX3FF0OSX5AxKcAQl1rqZYg&#10;N0bZMKCiakUgSb7RzvNFYlvXSob3de1VYG3JSWlIKzWh/Squ2WIuijUK12h5oCCeQuGRJiO0paZH&#10;qKUIgm1Q/wNltETwUIeRBJMNQpIjpGKcP/LmrhFOJS1ktXdH0/3/g5Xvth+Q6arkszPOrDD04vsf&#10;3/c/f+9/fWPjfHoRLeqcL6jyzlFt6F9BT4OT5Hp3C/KzZxauG2HX6goRukaJiiiO483s5OqA4yPI&#10;qnsLFbUSmwAJqK/RRP/IEUbo9Dy74/OoPjBJwZfj6TSnjKTUbHqeE+PYQRT3lx368FqBYXFTcqTX&#10;T+Bie+vDUHpfEntZuNFtS3FRtPavAGHGSCIf+Q7MQ7/qqToqWkG1IxkIw0DRd6JNA/iVs46GqeT+&#10;y0ag4qx9Y8mKxJymLx2mZ+cTUoGnmdVpRlhJUCUPnA3b6zBM7MahXjfUaTDfwhXZV+sk7YHVgTcN&#10;TDLnMNxxIk/PqerhQ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pjGV7VAAAACQEAAA8AAAAA&#10;AAAAAQAgAAAAIgAAAGRycy9kb3ducmV2LnhtbFBLAQIUABQAAAAIAIdO4kAa2vmhFwIAABgEAAAO&#10;AAAAAAAAAAEAIAAAACQBAABkcnMvZTJvRG9jLnhtbFBLBQYAAAAABgAGAFkBAACt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rPr>
        <w:t xml:space="preserve">发包人人未按照第 86.3 款和第 86.4 款约定支付进度款的，承包人应及时向发包人发出要求支付的通知；发包人收到通知后仍不按要求支付的，可与承包人协商签订延期支付协议，经承包人同意后可延期支付，承包人有权按照第 83.2 款约定获得延期支付的利息。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未按照合同约定支付进度款，合同双方当事人又未达成延期支付协议，导致无法继续工作或施工的，承包人可停止工作或施工。发包人应承担由此增加的费用和（或）延误的工期，并向承包人支付合理利润。</w:t>
      </w:r>
    </w:p>
    <w:p>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64" name="文本框 1049"/>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026" o:spt="202" type="#_x0000_t202" style="position:absolute;left:0pt;margin-left:-9pt;margin-top:1.25pt;height:20.95pt;width:81pt;z-index:252029952;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W0NCPxoCAAAZBAAADgAAAGRycy9lMm9Eb2MueG1srVNLbtsw&#10;EN0X6B0I7mvJhuMkguUgjZGiQPoB0h6ApiiLqMhhh7Ql9wDtDbrqpvuey+fokHJcN91k0Y1AcoZv&#10;3nt8ml/1pmVbhV6DLfl4lHOmrIRK23XJP364fXHBmQ/CVqIFq0q+U55fLZ4/m3euUBNooK0UMgKx&#10;vuhcyZsQXJFlXjbKCD8CpywVa0AjAm1xnVUoOkI3bTbJ81nWAVYOQSrv6XQ5FPkBEZ8CCHWtpVqC&#10;3Bhlw4CKqhWBJPlGO88XiW1dKxne1bVXgbUlJ6UhfWkIrVfxmy3molijcI2WBwriKRQeaTJCWxp6&#10;hFqKINgG9T9QRksED3UYSTDZICQ5QirG+SNv7hvhVNJCVnt3NN3/P1j5dvsema5KPptyZoWhF99/&#10;/7b/8Wv/8ysb59PLaFHnfEGd9456Q/8SegpOkuvdHchPnlm4aYRdq2tE6BolKqI4jjezk6sDjo8g&#10;q+4NVDRKbAIkoL5GE/0jRxih0/Psjs+j+sBkHJlPLs5zKkmqTWazfHaWRoji4bZDH14pMCwuSo70&#10;/AldbO98iGxE8dASh1m41W2bItDavw6oMZ4k9pHwQD30q/7gxgqqHelAGBJF/xMtGsAvnHWUppL7&#10;zxuBirP2tSUvLsfTaYxf2kzPzie0wdPK6rQirCSokgfOhuVNGCK7cajXDU0a3LdwTf7VOkmLRg+s&#10;DrwpMUnxId0xkqf71PXnj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50FTHVAAAACAEAAA8A&#10;AAAAAAAAAQAgAAAAIgAAAGRycy9kb3ducmV2LnhtbFBLAQIUABQAAAAIAIdO4kBbQ0I/GgIAABkE&#10;AAAOAAAAAAAAAAEAIAAAACQBAABkcnMvZTJvRG9jLnhtbFBLBQYAAAAABgAGAFkBAACw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71" w:name="_Toc21028"/>
      <w:bookmarkStart w:id="572" w:name="_Toc11179"/>
      <w:bookmarkStart w:id="573" w:name="_Toc47694363"/>
      <w:r>
        <w:rPr>
          <w:rFonts w:hint="eastAsia" w:ascii="仿宋" w:hAnsi="仿宋" w:eastAsia="仿宋" w:cs="仿宋"/>
          <w:bCs w:val="0"/>
          <w:color w:val="auto"/>
          <w:sz w:val="24"/>
          <w:szCs w:val="24"/>
          <w:highlight w:val="none"/>
        </w:rPr>
        <w:t>★</w:t>
      </w:r>
      <w:r>
        <w:rPr>
          <w:rFonts w:ascii="仿宋" w:hAnsi="仿宋" w:eastAsia="仿宋" w:cs="仿宋"/>
          <w:bCs w:val="0"/>
          <w:color w:val="auto"/>
          <w:sz w:val="24"/>
          <w:szCs w:val="24"/>
          <w:highlight w:val="none"/>
        </w:rPr>
        <w:t>8</w:t>
      </w:r>
      <w:r>
        <w:rPr>
          <w:rFonts w:hint="eastAsia" w:ascii="仿宋" w:hAnsi="仿宋" w:eastAsia="仿宋" w:cs="仿宋"/>
          <w:bCs w:val="0"/>
          <w:color w:val="auto"/>
          <w:sz w:val="24"/>
          <w:szCs w:val="24"/>
          <w:highlight w:val="none"/>
        </w:rPr>
        <w:t>7</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竣工结算</w:t>
      </w:r>
      <w:bookmarkEnd w:id="571"/>
      <w:bookmarkEnd w:id="572"/>
      <w:bookmarkEnd w:id="573"/>
    </w:p>
    <w:p>
      <w:pPr>
        <w:widowControl w:val="0"/>
        <w:rPr>
          <w:rFonts w:ascii="仿宋" w:hAnsi="仿宋" w:eastAsia="仿宋" w:cs="仿宋"/>
          <w:b/>
          <w:bCs/>
          <w:color w:val="auto"/>
          <w:highlight w:val="none"/>
          <w:lang w:eastAsia="zh-CN"/>
        </w:rPr>
      </w:pPr>
      <w:bookmarkStart w:id="574"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574"/>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ascii="仿宋" w:hAnsi="仿宋" w:eastAsia="仿宋" w:cs="仿宋"/>
          <w:color w:val="auto"/>
          <w:sz w:val="24"/>
          <w:szCs w:val="24"/>
          <w:highlight w:val="none"/>
          <w:lang w:val="en-US"/>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63"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026" o:spt="202" type="#_x0000_t202" style="position:absolute;left:0pt;margin-left:-9pt;margin-top:3.05pt;height:31.2pt;width:72pt;z-index:252030976;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B+YhzRGQIAABgEAAAOAAAAZHJzL2Uyb0RvYy54bWytU81uEzEQ&#10;viPxDpbvZDdpGugqm6o0KkIqP1LhARyvN2ux9pixk93wAPQNOHHhznP1ORh70zSUSw9cLNsz/ub7&#10;vhnPz3vTsq1Cr8GWfDzKOVNWQqXtuuSfP129eMWZD8JWogWrSr5Tnp8vnj+bd65QE2igrRQyArG+&#10;6FzJmxBckWVeNsoIPwKnLAVrQCMCHXGdVSg6QjdtNsnzWdYBVg5BKu/pdjkE+R4RnwIIda2lWoLc&#10;GGXDgIqqFYEk+UY7zxeJbV0rGT7UtVeBtSUnpSGtVIT2q7hmi7ko1ihco+WegngKhUeajNCWih6g&#10;liIItkH9D5TREsFDHUYSTDYISY6QinH+yJubRjiVtJDV3h1M9/8PVr7ffkSmq5LPTjizwlDH737c&#10;3v38fffrOxvnp8mizvmCMm8c5Yb+NfQ0OEmud9cgv3hm4bIRdq0uEKFrlKiI4jiamx09jU3xhY8g&#10;q+4dVFRKbAIkoL5GE/0jRxihU3t2h/aoPjBJl2fj6TSniKTQydlsMk3cMlHcP3bowxsFhsVNyZG6&#10;n8DF9tqHSEYU9ymxloUr3bZpAlr71wUlxptEPvIdmId+1VN2FLGCakcyEIaBou9EmwbwG2cdDVPJ&#10;/deNQMVZ+9aSFYk5TV86TE9fTkgFHkdWxxFhJUGVPHA2bC/DMLEbh3rdUKXBfAsXZF+tk7QHVnve&#10;NDBJ8X6440Qen1PWw4de/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7AwV1AAAAAgBAAAPAAAA&#10;AAAAAAEAIAAAACIAAABkcnMvZG93bnJldi54bWxQSwECFAAUAAAACACHTuJAfmIc0RkCAAAY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rPr>
        <w:t xml:space="preserve">合同双方当事人应遵守法律或规范在专用条款中明确办理竣工结算的程序和时限。专用条款没有约定的，竣工结算按照第 87.2 款至第 87.5 款约定办理。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条款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条款中约定。过程结算文件是工程竣工结算文件的重要内容与组成部分。</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在办理竣工结算期间，发包人按照第83条</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应向承包人支付的工程款及其他款项不停止。</w:t>
      </w:r>
    </w:p>
    <w:p>
      <w:pPr>
        <w:pStyle w:val="22"/>
        <w:adjustRightInd w:val="0"/>
        <w:snapToGrid w:val="0"/>
        <w:spacing w:line="36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rPr>
        <w:t>8</w:t>
      </w:r>
      <w:r>
        <w:rPr>
          <w:rFonts w:hint="eastAsia" w:ascii="仿宋" w:hAnsi="仿宋" w:eastAsia="仿宋" w:cs="仿宋"/>
          <w:b/>
          <w:bCs/>
          <w:color w:val="auto"/>
          <w:sz w:val="24"/>
          <w:szCs w:val="24"/>
          <w:highlight w:val="none"/>
        </w:rPr>
        <w:t>7</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p>
    <w:p>
      <w:pPr>
        <w:pStyle w:val="22"/>
        <w:adjustRightInd w:val="0"/>
        <w:snapToGrid w:val="0"/>
        <w:spacing w:line="360" w:lineRule="auto"/>
        <w:ind w:left="1850" w:leftChars="771"/>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62" name="文本框 1051"/>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026" o:spt="202" type="#_x0000_t202" style="position:absolute;left:0pt;margin-left:-9pt;margin-top:1.85pt;height:36.15pt;width:72pt;z-index:252032000;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1/c4xRYCAAAYBAAADgAAAGRycy9lMm9Eb2MueG1srVNLbtsw&#10;EN0X6B0I7mvJhp02guUgjZGiQPoBkh6ApiiLqMhhh7Ql9wDtDbrqpvuey+fIiHRcN91k0Y1AcoZv&#10;3nt8ml/0pmVbhV6DLfl4lHOmrIRK23XJP91dv3jFmQ/CVqIFq0q+U55fLJ4/m3euUBNooK0UMgKx&#10;vuhcyZsQXJFlXjbKCD8CpywVa0AjAm1xnVUoOkI3bTbJ87OsA6wcglTe0+kyFfkBEZ8CCHWtpVqC&#10;3BhlQ0JF1YpAknyjneeLyLaulQwf6tqrwNqSk9IQvzSE1qvhmy3molijcI2WBwriKRQeaTJCWxp6&#10;hFqKINgG9T9QRksED3UYSTBZEhIdIRXj/JE3t41wKmohq707mu7/H6x8v/2ITFclP5twZoWhF9//&#10;+L7/+Xv/6xsb57PxYFHnfEGdt456Q/8aegpOlOvdDcjPnlm4aoRdq0tE6BolKqIYb2YnVxOOH0BW&#10;3TuoaJTYBIhAfY1m8I8cYYROz7M7Po/qA5N0eD6eTnOqSCpNZ+dEbuCWieLhskMf3igwbFiUHOn1&#10;I7jY3viQWh9ahlkWrnXbxgS09q8DwhxOIvmBb2Ie+lV/MGMF1Y5kIKRA0e9EiwbwK2cdhank/stG&#10;oOKsfWvJisic0hc309nLCanA08rqtCKsJKiSB87S8iqkxG4c6nVDk5L5Fi7JvlpHaYPPidWBNwUm&#10;mnMI95DI033s+vNDL+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B/HitUAAAAIAQAADwAAAAAA&#10;AAABACAAAAAiAAAAZHJzL2Rvd25yZXYueG1sUEsBAhQAFAAAAAgAh07iQNf3OMUWAgAAGAQAAA4A&#10;AAAAAAAAAQAgAAAAJAEAAGRycy9lMm9Eb2MueG1sUEsFBgAAAAAGAAYAWQEAAKw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rPr>
        <w:t xml:space="preserve">承包人人应在提交竣工验收申请报告前编制完成竣工结算文件，并在提交竣工验收申请报告的同时向造价咨询人递交竣工结算文件。竣工结算文件清单由双方在专用条款中约定。 </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pPr>
        <w:pStyle w:val="22"/>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rPr>
        <w:t>8</w:t>
      </w:r>
      <w:r>
        <w:rPr>
          <w:rFonts w:hint="eastAsia" w:ascii="仿宋" w:hAnsi="仿宋" w:eastAsia="仿宋" w:cs="仿宋"/>
          <w:b/>
          <w:bCs/>
          <w:color w:val="auto"/>
          <w:sz w:val="24"/>
          <w:szCs w:val="24"/>
          <w:highlight w:val="none"/>
        </w:rPr>
        <w:t>7</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61" name="文本框 1052"/>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026" o:spt="202" type="#_x0000_t202" style="position:absolute;left:0pt;margin-left:-9pt;margin-top:3.05pt;height:32.95pt;width:72pt;z-index:252033024;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sizjqhcCAAAYBAAADgAAAGRycy9lMm9Eb2MueG1srVPLjtMw&#10;FN0j8Q+W9zRJ1ZYhajoaphqENDykgQ9wHaexSHzNtdukfAD8ASs27PmufgfXTqaUYTMLNpHte33u&#10;Occny8u+bdheodNgCp5NUs6UkVBqsy34xw83zy44c16YUjRgVMEPyvHL1dMny87mago1NKVCRiDG&#10;5Z0teO29zZPEyVq1wk3AKkPFCrAVnra4TUoUHaG3TTJN00XSAZYWQSrn6HQ9FPmIiI8BhKrSUq1B&#10;7lpl/ICKqhGeJLlaW8dXkW1VKenfVZVTnjUFJ6U+fmkIrTfhm6yWIt+isLWWIwXxGAoPNLVCGxp6&#10;gloLL9gO9T9QrZYIDio/kdAmg5DoCKnI0gfe3NXCqqiFrHb2ZLr7f7Dy7f49Ml0WfJFxZkRLL378&#10;/u3449fx51eWpfNpsKizLqfOO0u9vn8JPQUnynX2FuQnxwxc18Js1RUidLUSJVHMws3k7OqA4wLI&#10;pnsDJY0SOw8RqK+wDf6RI4zQ6XkOp+dRvWeSDl9ks1lKFUmlWXYxW8zjBJHfX7bo/CsFLQuLgiO9&#10;fgQX+1vnAxmR37eEWQZudNPEBDTmrwNqDCeRfOA7MPf9ph/N2EB5IBkIQ6Dod6JFDfiFs47CVHD3&#10;eSdQcda8NmRFZE7pi5vZ/PmUVOB5ZXNeEUYSVME9Z8Py2g+J3VnU25omDeYbuCL7Kh2lBZ8HViNv&#10;CkxUPIY7JPJ8H7v+/N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FCSePVAAAACAEAAA8AAAAA&#10;AAAAAQAgAAAAIgAAAGRycy9kb3ducmV2LnhtbFBLAQIUABQAAAAIAIdO4kCyLOOq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rPr>
        <w:t>造价咨询人应在收到承包人按照第 87.2 款约定递交的竣工结算文件后的 28 天内予以核实，并向承包人提出完整的核实意见（包括进一步补充资料和修改结算文件），同时抄报发包人。承包人在收到核实意见后的 28 天内按照造价咨询人提出的合理要求补充资料，修改竣工结算文件，并再次递交给造价咨询人。</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造价咨询人在收到竣工结算文件后的 28 天内，不核实竣工结算或未提出核实意见的，视为承包人递交的竣工结算已被认可。</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承包人在收到造价咨询人提出的核实意见后的 28 天内，不确认也未提出异议的，视为造价咨询人提出的核实意见已被认可，竣工结算办理完毕。</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合同双方当事人对组成合同价格任一部分的过程结算计量计价有争议的，争议部分按第 91.4 款约定进行调解或认定，若合同双方或一方当事人在收到争议调解或认定机构的书面结果后明确表示不同意，或在 28 天内没有书面确认，任何一方均可向广州建设工程仲裁院提出仲裁申请。仲裁机构对争议部分裁决的价款与无争议部分的过程结算价款之和，即作为该合同价格组成部分的阶段结算价款。</w:t>
      </w:r>
    </w:p>
    <w:p>
      <w:pPr>
        <w:pStyle w:val="22"/>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rPr>
        <w:t>8</w:t>
      </w:r>
      <w:r>
        <w:rPr>
          <w:rFonts w:hint="eastAsia" w:ascii="仿宋" w:hAnsi="仿宋" w:eastAsia="仿宋" w:cs="仿宋"/>
          <w:b/>
          <w:bCs/>
          <w:color w:val="auto"/>
          <w:sz w:val="24"/>
          <w:szCs w:val="24"/>
          <w:highlight w:val="none"/>
        </w:rPr>
        <w:t>7</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rPr>
      </w:pPr>
      <w:r>
        <w:rPr>
          <w:color w:val="auto"/>
          <w:highlight w:val="none"/>
          <w:lang w:val="en-US"/>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60"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9pt;margin-top:1.25pt;height:56.55pt;width:72pt;z-index:252034048;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L6nsCEXAgAAGAQAAA4AAABkcnMvZTJvRG9jLnhtbK1TQY7T&#10;MBTdI3EHy3uapLQzJWo6GqYahDTASAMHcB2nsUj8zbfbpBwAbsCKDfs5V8/Bt9MpZdjMgk1k+3+/&#10;/97zy/yibxu2Veg0mIJno5QzZSSU2qwL/unj9YsZZ84LU4oGjCr4Tjl+sXj+bN7ZXI2hhqZUyAjE&#10;uLyzBa+9t3mSOFmrVrgRWGWoWAG2wtMW10mJoiP0tknGaXqWdIClRZDKOTpdDkV+QMSnAEJVaamW&#10;IDetMn5ARdUIT5Jcra3ji8i2qpT0H6rKKc+agpNSH780hNar8E0Wc5GvUdhaywMF8RQKjzS1Qhsa&#10;eoRaCi/YBvU/UK2WCA4qP5LQJoOQ6AipyNJH3tzVwqqohax29mi6+3+w8v32FpkuC35GlhjR0ovv&#10;f3zf/7zf//rGsnT6MljUWZdT552lXt+/hp6CE+U6ewPys2MGrmph1uoSEbpaiZIoZuFmcnJ1wHEB&#10;ZNW9g5JGiY2HCNRX2Ab/yBFG6MRld3we1Xsm6fBVNpmkVJFUOs9m2WwaJ4j84bJF598oaFlYFBzp&#10;9SO42N44H8iI/KElzDJwrZsmJqAxfx1QYziJ5APfgbnvV/3BjBWUO5KBMASKfida1IBfOesoTAV3&#10;XzYCFWfNW0NWROaUvriZTM/HpAJPK6vTijCSoAruORuWV35I7MaiXtc0aTDfwCXZV+koLfg8sDrw&#10;psBExYdwh0Se7mPXnx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kIAu1gAAAAkBAAAPAAAA&#10;AAAAAAEAIAAAACIAAABkcnMvZG93bnJldi54bWxQSwECFAAUAAAACACHTuJAvqewIRcCAAAYBAAA&#10;DgAAAAAAAAABACAAAAAl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rPr>
        <w:t>造价咨询人应在收到承包人按照第 87.3 款约定再次递交的竣工结算文件后的 28天内予以复核，并将复核结果通知承包人、抄报发包人。</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（1）经复核无误的，除属于第 91 条约定的争议外，发包人应在 7 天内在竣工结算文件上签字确认，竣工结算办理完毕。</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（2）经复核认为有误的：无误部分按照本款第(1)点约定办理不完全竣工结算；有误部分由造价咨询人与合同双方当事人协商解决，或按照第 91 条约定处理。</w:t>
      </w:r>
    </w:p>
    <w:p>
      <w:pPr>
        <w:pStyle w:val="22"/>
        <w:adjustRightInd w:val="0"/>
        <w:snapToGrid w:val="0"/>
        <w:spacing w:line="360" w:lineRule="auto"/>
        <w:rPr>
          <w:rFonts w:ascii="仿宋" w:hAnsi="仿宋" w:eastAsia="仿宋"/>
          <w:color w:val="auto"/>
          <w:sz w:val="24"/>
          <w:szCs w:val="24"/>
          <w:highlight w:val="none"/>
        </w:rPr>
      </w:pPr>
      <w:r>
        <w:rPr>
          <w:rFonts w:ascii="仿宋" w:hAnsi="仿宋" w:eastAsia="仿宋" w:cs="仿宋"/>
          <w:b/>
          <w:bCs/>
          <w:color w:val="auto"/>
          <w:sz w:val="24"/>
          <w:szCs w:val="24"/>
          <w:highlight w:val="none"/>
        </w:rPr>
        <w:t>8</w:t>
      </w:r>
      <w:r>
        <w:rPr>
          <w:rFonts w:hint="eastAsia" w:ascii="仿宋" w:hAnsi="仿宋" w:eastAsia="仿宋" w:cs="仿宋"/>
          <w:b/>
          <w:bCs/>
          <w:color w:val="auto"/>
          <w:sz w:val="24"/>
          <w:szCs w:val="24"/>
          <w:highlight w:val="none"/>
        </w:rPr>
        <w:t>7</w:t>
      </w:r>
      <w:r>
        <w:rPr>
          <w:rFonts w:ascii="仿宋" w:hAnsi="仿宋" w:eastAsia="仿宋" w:cs="仿宋"/>
          <w:b/>
          <w:bCs/>
          <w:color w:val="auto"/>
          <w:sz w:val="24"/>
          <w:szCs w:val="24"/>
          <w:highlight w:val="none"/>
        </w:rPr>
        <w:t>.5</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59"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9pt;margin-top:0.45pt;height:31.2pt;width:72pt;z-index:252035072;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898qdxgCAAAYBAAADgAAAGRycy9lMm9Eb2MueG1srVPNbhMx&#10;EL4j8Q6W72Q3ISl0lU1VGhUhlR+p8ACO15u1WHvM2MlueAD6Bpy4cOe58hyMvWkI5dIDF8v2jL/5&#10;vm/G84vetGyr0GuwJR+Pcs6UlVBpuy75p4/Xz15y5oOwlWjBqpLvlOcXi6dP5p0r1AQaaCuFjECs&#10;LzpX8iYEV2SZl40ywo/AKUvBGtCIQEdcZxWKjtBNm03y/CzrACuHIJX3dLscgvyAiI8BhLrWUi1B&#10;boyyYUBF1YpAknyjneeLxLaulQzv69qrwNqSk9KQVipC+1Vcs8VcFGsUrtHyQEE8hsIDTUZoS0WP&#10;UEsRBNug/gfKaIngoQ4jCSYbhCRHSMU4f+DNbSOcSlrIau+Opvv/ByvfbT8g01XJZ+ecWWGo4/vv&#10;d/sfv/Y/v7FxPptGizrnC8q8dZQb+lfQ0+Akud7dgPzsmYWrRti1ukSErlGiIorj+DI7eTrg+Aiy&#10;6t5CRaXEJkAC6ms00T9yhBE6tWd3bI/qA5N0eT6eTnOKSAo9Pz+bTFP7MlHcP3bow2sFhsVNyZG6&#10;n8DF9saHSEYU9ymxloVr3bZpAlr71wUlxptEPvIdmId+1R/MWEG1IxkIw0DRd6JNA/iVs46GqeT+&#10;y0ag4qx9Y8mKxJymLx2msxcTUoGnkdVpRFhJUCUPnA3bqzBM7MahXjdUaTDfwiXZV+skLfo8sD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QKal1QAAAAcBAAAPAAAA&#10;AAAAAAEAIAAAACIAAABkcnMvZG93bnJldi54bWxQSwECFAAUAAAACACHTuJA898qdx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rPr>
        <w:t>发包人应在已核实无误的竣工结算文件上签名确认，拒不签认的，承包人可不交付竣工工程。</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承包人未及时递交竣工结算文件的，发包人要求交付竣工工程，承包人应当交付；发包人不要求交付竣工工程，承包人承担照管永久工程责任。</w:t>
      </w:r>
    </w:p>
    <w:p>
      <w:pPr>
        <w:pStyle w:val="22"/>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75" w:name="_Toc1614"/>
      <w:bookmarkStart w:id="576" w:name="_Toc47694364"/>
      <w:bookmarkStart w:id="577" w:name="_Toc11583"/>
      <w:r>
        <w:rPr>
          <w:rFonts w:hint="eastAsia" w:ascii="仿宋" w:hAnsi="仿宋" w:eastAsia="仿宋" w:cs="仿宋"/>
          <w:bCs w:val="0"/>
          <w:color w:val="auto"/>
          <w:sz w:val="24"/>
          <w:szCs w:val="24"/>
          <w:highlight w:val="none"/>
        </w:rPr>
        <w:t>★</w:t>
      </w:r>
      <w:r>
        <w:rPr>
          <w:rFonts w:ascii="仿宋" w:hAnsi="仿宋" w:eastAsia="仿宋" w:cs="仿宋"/>
          <w:bCs w:val="0"/>
          <w:color w:val="auto"/>
          <w:sz w:val="24"/>
          <w:szCs w:val="24"/>
          <w:highlight w:val="none"/>
        </w:rPr>
        <w:t>8</w:t>
      </w:r>
      <w:r>
        <w:rPr>
          <w:rFonts w:hint="eastAsia" w:ascii="仿宋" w:hAnsi="仿宋" w:eastAsia="仿宋" w:cs="仿宋"/>
          <w:bCs w:val="0"/>
          <w:color w:val="auto"/>
          <w:sz w:val="24"/>
          <w:szCs w:val="24"/>
          <w:highlight w:val="none"/>
        </w:rPr>
        <w:t>8</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结算款</w:t>
      </w:r>
      <w:bookmarkEnd w:id="575"/>
      <w:bookmarkEnd w:id="576"/>
      <w:bookmarkEnd w:id="577"/>
    </w:p>
    <w:p>
      <w:pPr>
        <w:rPr>
          <w:rFonts w:ascii="仿宋" w:hAnsi="仿宋" w:eastAsia="仿宋" w:cs="仿宋"/>
          <w:color w:val="auto"/>
          <w:highlight w:val="none"/>
          <w:lang w:eastAsia="zh-CN"/>
        </w:rPr>
      </w:pPr>
      <w:bookmarkStart w:id="578"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578"/>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58" name="文本框 1055"/>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026" o:spt="202" type="#_x0000_t202" style="position:absolute;left:0pt;margin-left:-9pt;margin-top:2.85pt;height:36.15pt;width:72pt;z-index:252036096;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WkoOYxYCAAAYBAAADgAAAGRycy9lMm9Eb2MueG1srVPBbhMx&#10;EL0j8Q+W72Q3UQJ0lU1VGhUhFahU+ADH681arD1m7GQ3fAD8QU9cuPNd+Y6OvWkI5dIDF8v2jN+8&#10;92Y8P+9Ny7YKvQZb8vEo50xZCZW265J//nT14jVnPghbiRasKvlOeX6+eP5s3rlCTaCBtlLICMT6&#10;onMlb0JwRZZ52Sgj/AicshSsAY0IdMR1VqHoCN202STPX2YdYOUQpPKebpdDkB8Q8SmAUNdaqiXI&#10;jVE2DKioWhFIkm+083yR2Na1kuFjXXsVWFtyUhrSSkVov4prtpiLYo3CNVoeKIinUHikyQhtqegR&#10;aimCYBvU/0AZLRE81GEkwWSDkOQIqRjnj7y5bYRTSQtZ7d3RdP//YOWH7Q0yXZV8Rn23wlDH93c/&#10;9j9/7399Z+N8NosWdc4XlHnrKDf0b6CnwUlyvbsG+cUzC5eNsGt1gQhdo0RFFMfxZXbydMDxEWTV&#10;vYeKSolNgATU12iif+QII3Rqz+7YHtUHJunybDyd5hSRFJrOzohcqiCKh8cOfXirwLC4KTlS9xO4&#10;2F77EMmI4iEl1rJwpds2TUBr/7qgxHiTyEe+A/PQr/qDGSuodiQDYRgo+k60aQC/cdbRMJXcf90I&#10;VJy17yxZkZjT9KXDdPZqQirwNLI6jQgrCarkgbNhexmGid041OuGKg3mW7gg+2qdpEWfB1YH3jQw&#10;SfFhuONEnp5T1p8Pvbg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yr9J9UAAAAIAQAADwAAAAAA&#10;AAABACAAAAAiAAAAZHJzL2Rvd25yZXYueG1sUEsBAhQAFAAAAAgAh07iQFpKDmMWAgAAGAQAAA4A&#10;AAAAAAAAAQAgAAAAJAEAAGRycy9lMm9Eb2MueG1sUEsFBgAAAAAGAAYAWQEAAKw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合同双方当事人应在专用条款中明确结算款的支付时限。专用条款没有约定的，结算款支付按照第 88.2 款至第 88.5 款约定办理。涉及政府投资资金的工程,支付期、支付方法等需调整的，应在专用条款中约定。</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（1）根据合同完成总承包范围内所有工作和全部工程的竣工结算总价；</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（2）根据合同约定发包人应付的剩余所有款项，包括工程勘察费、工程设计费、BIM 技术应用费、设备及工器具购置费（如果有）和建筑安装工程费等应付未付金额。</w:t>
      </w:r>
    </w:p>
    <w:p>
      <w:pPr>
        <w:spacing w:line="360" w:lineRule="auto"/>
        <w:rPr>
          <w:rFonts w:ascii="仿宋" w:hAnsi="仿宋" w:eastAsia="仿宋"/>
          <w:b/>
          <w:bCs/>
          <w:color w:val="auto"/>
          <w:highlight w:val="none"/>
          <w:u w:val="single"/>
          <w:lang w:eastAsia="zh-CN"/>
        </w:rPr>
      </w:pPr>
      <w:bookmarkStart w:id="579"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5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rPr>
      </w:pPr>
      <w:r>
        <w:rPr>
          <w:color w:val="auto"/>
          <w:highlight w:val="none"/>
          <w:lang w:val="en-US"/>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57"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9pt;margin-top:1.25pt;height:56.55pt;width:72pt;z-index:252037120;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FDw8HoYAgAAGAQAAA4AAABkcnMvZTJvRG9jLnhtbK1TS27b&#10;MBDdF+gdCO5rSYYdu4LlII2RokD6AdIegKYoi6jEYYe0JfcA7Q2y6qb7nsvn6JByXDfdZNGNQHKG&#10;b957fFpc9m3DdgqdBlPwbJRypoyEUptNwT99vHkx58x5YUrRgFEF3yvHL5fPny06m6sx1NCUChmB&#10;GJd3tuC19zZPEidr1Qo3AqsMFSvAVnja4iYpUXSE3jbJOE0vkg6wtAhSOUenq6HIj4j4FECoKi3V&#10;CuS2VcYPqKga4UmSq7V1fBnZVpWS/n1VOeVZU3BS6uOXhtB6Hb7JciHyDQpba3mkIJ5C4ZGmVmhD&#10;Q09QK+EF26L+B6rVEsFB5UcS2mQQEh0hFVn6yJu7WlgVtZDVzp5Md/8PVr7bfUCmy4JPZ5wZ0dKL&#10;H+6/H378Ovz8xrJ0ehEs6qzLqfPOUq/vX0FPwYlynb0F+dkxA9e1MBt1hQhdrURJFLNwMzm7OuC4&#10;ALLu3kJJo8TWQwTqK2yDf+QII3R6nv3peVTvmaTDl9lkklJFUmmWzbP5NE4Q+cNli86/VtCysCg4&#10;0utHcLG7dT6QEflDS5hl4EY3TUxAY/46oMZwEskHvgNz36/7oxlrKPckA2EIFP1OtKgBv3LWUZgK&#10;7r5sBSrOmjeGrIjMKX1xM5nOxqQCzyvr84owkqAK7jkbltd+SOzWot7UNGkw38AV2VfpKC34PLA6&#10;8qbARMXHcIdEnu9j158f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ZCALtYAAAAJAQAADwAA&#10;AAAAAAABACAAAAAiAAAAZHJzL2Rvd25yZXYueG1sUEsBAhQAFAAAAAgAh07iQFDw8Ho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rPr>
        <w:t>造价咨询人在收到第89.1款所述资料后，应按照第</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7</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7</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核实竣工结算文件，并在发包人签字确认竣工结算文件后的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天内，向发包人签发竣工结算支付证书，同时抄送承包人。</w:t>
      </w:r>
    </w:p>
    <w:p>
      <w:pPr>
        <w:spacing w:line="360" w:lineRule="auto"/>
        <w:rPr>
          <w:rFonts w:ascii="仿宋" w:hAnsi="仿宋" w:eastAsia="仿宋"/>
          <w:color w:val="auto"/>
          <w:highlight w:val="none"/>
          <w:lang w:eastAsia="zh-CN"/>
        </w:rPr>
      </w:pPr>
      <w:bookmarkStart w:id="580"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58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56" name="文本框 1057"/>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026" o:spt="202" type="#_x0000_t202" style="position:absolute;left:0pt;margin-left:-9pt;margin-top:0.45pt;height:31.2pt;width:72pt;z-index:252038144;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IUfc9BgCAAAYBAAADgAAAGRycy9lMm9Eb2MueG1srVPNbhMx&#10;EL4j8Q6W72Q3IUnpKpuqNCpCKj9S4QEcrzdrsfaYsZPd8gDwBpy4cOe58hyMvWkI5dIDF8v2jL/5&#10;vm/Gi4vetGyn0GuwJR+Pcs6UlVBpuyn5xw/Xz15w5oOwlWjBqpLfKc8vlk+fLDpXqAk00FYKGYFY&#10;X3Su5E0IrsgyLxtlhB+BU5aCNaARgY64ySoUHaGbNpvk+TzrACuHIJX3dLsagvyAiI8BhLrWUq1A&#10;bo2yYUBF1YpAknyjnefLxLaulQzv6tqrwNqSk9KQVipC+3Vcs+VCFBsUrtHyQEE8hsIDTUZoS0WP&#10;UCsRBNui/gfKaIngoQ4jCSYbhCRHSMU4f+DNbSOcSlrIau+Opvv/Byvf7t4j01XJZ3POrDDU8f33&#10;b/sfv/Y/v7JxPjuLFnXOF5R56yg39C+hp8FJcr27AfnJMwtXjbAbdYkIXaNERRTH8WV28nTA8RFk&#10;3b2BikqJbYAE1Ndoon/kCCN0as/dsT2qD0zS5fl4Os0pIin0/Hw+mab2ZaK4f+zQh1cKDIubkiN1&#10;P4GL3Y0PkYwo7lNiLQvXum3TBLT2rwtKjDeJfOQ7MA/9uj+YsYbqjmQgDANF34k2DeAXzjoappL7&#10;z1uBirP2tSUrEnOavnSYzs4mpAJPI+vTiLCSoEoeOBu2V2GY2K1DvWmo0mC+hUuyr9ZJWvR5YHXg&#10;TQOTFB+GO07k6Tll/fn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QKal1QAAAAcBAAAPAAAA&#10;AAAAAAEAIAAAACIAAABkcnMvZG93bnJldi54bWxQSwECFAAUAAAACACHTuJAIUfc9B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rPr>
        <w:t>发包人应在造价咨询人签发竣工结算支付证书后的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天内，按照竣工结算支付证书列明的金额向承包人支付结算款，并通知造价咨询人。</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39168"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55"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5.25pt;margin-top:0.95pt;height:65.3pt;width:82.5pt;z-index:252039168;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9ua+7xoCAAAZBAAADgAAAGRycy9lMm9Eb2MueG1srVPNjtMw&#10;EL4j8Q6W7zRJaWk3arpatlqEtPxICw/gOk5jkXjM2G1SHgDegBMX7jxXn4Ox0y1lueyBi2V7xt98&#10;3zfjxWXfNmyn0GkwBc9GKWfKSCi12RT844ebZ3POnBemFA0YVfC9cvxy+fTJorO5GkMNTamQEYhx&#10;eWcLXntv8yRxslatcCOwylCwAmyFpyNukhJFR+htk4zT9EXSAZYWQSrn6HY1BPkRER8DCFWlpVqB&#10;3LbK+AEVVSM8SXK1to4vI9uqUtK/qyqnPGsKTkp9XKkI7ddhTZYLkW9Q2FrLIwXxGAoPNLVCGyp6&#10;gloJL9gW9T9QrZYIDio/ktAmg5DoCKnI0gfe3NXCqqiFrHb2ZLr7f7Dy7e49Ml0WfDrlzIiWOn74&#10;/u3w49fh51eWpdN5sKizLqfMO0u5vn8JPQ1OlOvsLchPjhm4roXZqCtE6GolSqKYhZfJ2dMBxwWQ&#10;dfcGSiolth4iUF9hG/wjRxihU3v2p/ao3jMZSqaT2WxKIUmx+fjieRb7l4j8/rVF518paFnYFByp&#10;/RFd7G6dD2xEfp8Sihm40U0TR6Axf11QYriJ7APhgbrv1/3RjTWUe9KBMEwU/Sfa1IBfOOtomgru&#10;Pm8FKs6a14a8uMgmkzB+8TCZzsZ0wPPI+jwijCSognvOhu21H0Z2a1Fvaqo0uG/givyrdJQWjB5Y&#10;HXnTxETFx+kOI3l+jll/fvT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TQap3VAAAACQEAAA8A&#10;AAAAAAAAAQAgAAAAIgAAAGRycy9kb3ducmV2LnhtbFBLAQIUABQAAAAIAIdO4kD25r7vGgIAABk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rPr>
        <w:t>如果造价咨询人未在第 88.2 款约定的期限内签发竣工结算支付证书的，则视为承包人提交的竣工支付申请已被认可，承包人应及时向发包人发出要求支付竣工结算款的通知。发包人应在收到通知后的 28 天内，按照承包人支付申请列明的金额向承包人支付竣工结算款。</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54" name="文本框 1059"/>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026" o:spt="202" type="#_x0000_t202" style="position:absolute;left:0pt;margin-left:-9pt;margin-top:4.6pt;height:32.1pt;width:72pt;z-index:252040192;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FGanLMYAgAAGAQAAA4AAABkcnMvZTJvRG9jLnhtbK1TzW4T&#10;MRC+I/EOlu9kN1HS0FU2VWlUhFR+pMIDOF5v1mLtMWMnu+UB4A164sKd58pzMPamIZRLD1ws2zP+&#10;5vu+GS8uetOynUKvwZZ8PMo5U1ZCpe2m5J8+Xr94yZkPwlaiBatKfqc8v1g+f7boXKEm0EBbKWQE&#10;Yn3RuZI3Ibgiy7xslBF+BE5ZCtaARgQ64iarUHSEbtpskudnWQdYOQSpvKfb1RDkB0R8CiDUtZZq&#10;BXJrlA0DKqpWBJLkG+08Xya2da1keF/XXgXWlpyUhrRSEdqv45otF6LYoHCNlgcK4ikUHmkyQlsq&#10;eoRaiSDYFvU/UEZLBA91GEkw2SAkOUIqxvkjb24b4VTSQlZ7dzTd/z9Y+W73AZmuSj6bcmaFoY7v&#10;77/vf/za//zGxvnsPFrUOV9Q5q2j3NC/gp4GJ8n17gbkZ88sXDXCbtQlInSNEhVRHMeX2cnTAcdH&#10;kHX3FioqJbYBElBfo4n+kSOM0Kk9d8f2qD4wSZfn4+k0p4ik0DSfn81T+zJRPDx26MNrBYbFTcmR&#10;up/Axe7Gh0hGFA8psZaFa922aQJa+9cFJcabRD7yHZiHft0fzFhDdUcyEIaBou9EmwbwK2cdDVPJ&#10;/ZetQMVZ+8aSFYk5TV86TGfzCanA08j6NCKsJKiSB86G7VUYJnbrUG8aqjSYb+GS7Kt1khZ9Hlgd&#10;eNPAJMWH4Y4TeXpOWX8+9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ssy49YAAAAIAQAADwAA&#10;AAAAAAABACAAAAAiAAAAZHJzL2Rvd25yZXYueG1sUEsBAhQAFAAAAAgAh07iQFGanLM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rPr>
        <w:t>发包人未按照第 88.3 款和第 88.4 款约定支付竣工结算款的，承包人可催告发包人支付竣工结算款，如双方达成延期支付协议，承包人有权按照第 83.2 款约定获得延期支付的利息。</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发包人在收到竣工结算支付证书后的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pStyle w:val="22"/>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81" w:name="_Toc18926"/>
      <w:bookmarkStart w:id="582" w:name="_Toc47694365"/>
      <w:bookmarkStart w:id="583" w:name="_Toc2105"/>
      <w:r>
        <w:rPr>
          <w:rFonts w:hint="eastAsia" w:ascii="仿宋" w:hAnsi="仿宋" w:eastAsia="仿宋" w:cs="仿宋"/>
          <w:bCs w:val="0"/>
          <w:color w:val="auto"/>
          <w:sz w:val="24"/>
          <w:szCs w:val="24"/>
          <w:highlight w:val="none"/>
        </w:rPr>
        <w:t>★89</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质量保证金</w:t>
      </w:r>
      <w:bookmarkEnd w:id="581"/>
      <w:bookmarkEnd w:id="582"/>
      <w:bookmarkEnd w:id="583"/>
    </w:p>
    <w:p>
      <w:pPr>
        <w:rPr>
          <w:rFonts w:ascii="仿宋" w:hAnsi="仿宋" w:eastAsia="仿宋" w:cs="仿宋"/>
          <w:b/>
          <w:bCs/>
          <w:color w:val="auto"/>
          <w:highlight w:val="none"/>
          <w:lang w:eastAsia="zh-CN"/>
        </w:rPr>
      </w:pPr>
      <w:bookmarkStart w:id="584"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584"/>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53" name="文本框 106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026" o:spt="202" type="#_x0000_t202" style="position:absolute;left:0pt;margin-left:-9pt;margin-top:0.65pt;height:31.2pt;width:72pt;z-index:252041216;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omAIMxkCAAAYBAAADgAAAGRycy9lMm9Eb2MueG1srVPNbhMx&#10;EL4j8Q6W72Q3aRroKpuqNCpCKj9S4QEcrzdrsfaYsZPd8AD0DThx4c5z9TkYe9M0lEsPXCzbM/7m&#10;+74Zz89707KtQq/Blnw8yjlTVkKl7brknz9dvXjFmQ/CVqIFq0q+U56fL54/m3euUBNooK0UMgKx&#10;vuhcyZsQXJFlXjbKCD8CpywFa0AjAh1xnVUoOkI3bTbJ81nWAVYOQSrv6XY5BPkeEZ8CCHWtpVqC&#10;3Bhlw4CKqhWBJPlGO88XiW1dKxk+1LVXgbUlJ6UhrVSE9qu4Zou5KNYoXKPlnoJ4CoVHmozQlooe&#10;oJYiCLZB/Q+U0RLBQx1GEkw2CEmOkIpx/sibm0Y4lbSQ1d4dTPf/D1a+335EpquSn55wZoWhjt/9&#10;uL37+fvu13c2zmfJos75gjJvHOWG/jX0NDhJrnfXIL94ZuGyEXatLhCha5SoiOI4mpsdPY1N8YWP&#10;IKvuHVRUSmwCJKC+RhP9I0cYoVN7dof2qD4wSZdn4+k0p4ik0MnZbDJN3DJR3D926MMbBYbFTcmR&#10;up/Axfbah0hGFPcpsZaFK922aQJa+9cFJcabRD7yHZiHftVTdhSxgmpHMhCGgaLvRJsG8BtnHQ1T&#10;yf3XjUDFWfvWkhWJOU1fOkxPX05IBR5HVscRYSVBlTxwNmwvwzCxG4d63VClwXwLF2RfrZO0B1Z7&#10;3jQwSfF+uONEHp9T1sOHX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doltUAAAAIAQAADwAA&#10;AAAAAAABACAAAAAiAAAAZHJzL2Rvd25yZXYueG1sUEsBAhQAFAAAAAgAh07iQKJgCDMZAgAAG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rPr>
        <w:t>质量保证金用于承包人对合同工程质量的担保。承包人未按照法律有关规定和合同约定履行质量保修义务的，发包人有权从质量保证金中扣留用于质量保修的各项支出。</w:t>
      </w:r>
    </w:p>
    <w:p>
      <w:pPr>
        <w:spacing w:line="360" w:lineRule="auto"/>
        <w:rPr>
          <w:rFonts w:ascii="仿宋" w:hAnsi="仿宋" w:eastAsia="仿宋"/>
          <w:b/>
          <w:bCs/>
          <w:color w:val="auto"/>
          <w:highlight w:val="none"/>
          <w:lang w:eastAsia="zh-CN"/>
        </w:rPr>
      </w:pPr>
      <w:bookmarkStart w:id="585"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5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2042240" behindDoc="0" locked="0" layoutInCell="1" allowOverlap="1">
                <wp:simplePos x="0" y="0"/>
                <wp:positionH relativeFrom="column">
                  <wp:posOffset>-66675</wp:posOffset>
                </wp:positionH>
                <wp:positionV relativeFrom="paragraph">
                  <wp:posOffset>8255</wp:posOffset>
                </wp:positionV>
                <wp:extent cx="914400" cy="519430"/>
                <wp:effectExtent l="0" t="0" r="0" b="0"/>
                <wp:wrapNone/>
                <wp:docPr id="52" name="文本框 1061"/>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026" o:spt="202" type="#_x0000_t202" style="position:absolute;left:0pt;margin-left:-5.25pt;margin-top:0.65pt;height:40.9pt;width:72pt;z-index:252042240;mso-width-relative:page;mso-height-relative:page;" filled="f" stroked="f" coordsize="21600,21600" o:gfxdata="UEsDBAoAAAAAAIdO4kAAAAAAAAAAAAAAAAAEAAAAZHJzL1BLAwQUAAAACACHTuJAe/7OudQAAAAI&#10;AQAADwAAAGRycy9kb3ducmV2LnhtbE2PwU7DMBBE70j8g7VI3Fo7hKIS4vQA4gqiBSRu23ibRMTr&#10;KHab8PdsT3AcvdHs23Iz+16daIxdYAvZ0oAiroPruLHwvnterEHFhOywD0wWfijCprq8KLFwYeI3&#10;Om1To2SEY4EW2pSGQutYt+QxLsNALOwQRo9J4thoN+Ik477XN8bcaY8dy4UWB3psqf7eHr2Fj5fD&#10;1+eteW2e/GqYwmw0+3tt7fVVZh5AJZrTXxnO+qIOlTjtw5FdVL2FRWZWUhWQgzrzPJe8t7DOM9BV&#10;qf8/UP0CUEsDBBQAAAAIAIdO4kDrdkfMFwIAABgEAAAOAAAAZHJzL2Uyb0RvYy54bWytU82O0zAQ&#10;viPxDpbvNElpFzZqulq2WoS0/EgLD+A6TmMRe8zYbVIegH0DTly481x9DiZOtpTlsgculu0Zf/N9&#10;34wXF51p2E6h12ALnk1SzpSVUGq7Kfinj9fPXnLmg7ClaMCqgu+V5xfLp08WrcvVFGpoSoWMQKzP&#10;W1fwOgSXJ4mXtTLCT8ApS8EK0IhAR9wkJYqW0E2TTNP0LGkBS4cglfd0uxqCfETExwBCVWmpViC3&#10;RtkwoKJqRCBJvtbO82VkW1VKhvdV5VVgTcFJaYgrFaH9ul+T5ULkGxSu1nKkIB5D4YEmI7Slokeo&#10;lQiCbVH/A2W0RPBQhYkEkwxCoiOkIksfeHNbC6eiFrLau6Pp/v/Byne7D8h0WfD5lDMrDHX88P3u&#10;8OPX4ec3lqVnWW9R63xOmbeOckP3CjoanCjXuxuQnz2zcFULu1GXiNDWSpREMb5MTp4OOL4HWbdv&#10;oaRSYhsgAnUVmt4/coQROrVnf2yP6gKTdHmezWYpRSSF5tn57HlsXyLy+8cOfXitwLB+U3Ck7kdw&#10;sbvxgWRQ6n1KX8vCtW6aOAGN/euCEvubSL7nOzAP3bobzVhDuScZCMNA0XeiTQ34lbOWhqng/stW&#10;oOKseWPJisicpi8eZvMXU1KBp5H1aURYSVAFD5wN26swTOzWod7UVGkw38Il2VfpKK33eWA18qaB&#10;iYrH4e4n8vQcs/586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7OudQAAAAIAQAADwAAAAAA&#10;AAABACAAAAAiAAAAZHJzL2Rvd25yZXYueG1sUEsBAhQAFAAAAAgAh07iQOt2R8wXAgAAGAQAAA4A&#10;AAAAAAAAAQAgAAAAIwEAAGRycy9lMm9Eb2MueG1sUEsFBgAAAAAGAAYAWQEAAKw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rPr>
        <w:t>89.2.1质量保证金预留方式</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除专用合同条款另有约定外，质量保证金的预留方式原则上采用银行保函、担保、保险等方式。</w:t>
      </w:r>
    </w:p>
    <w:p>
      <w:pPr>
        <w:pStyle w:val="22"/>
        <w:widowControl w:val="0"/>
        <w:adjustRightInd w:val="0"/>
        <w:snapToGrid w:val="0"/>
        <w:spacing w:line="360" w:lineRule="auto"/>
        <w:ind w:left="1850" w:leftChars="771"/>
        <w:jc w:val="both"/>
        <w:rPr>
          <w:rFonts w:ascii="仿宋" w:hAnsi="仿宋" w:eastAsia="仿宋" w:cs="仿宋"/>
          <w:color w:val="auto"/>
          <w:sz w:val="24"/>
          <w:highlight w:val="none"/>
        </w:rPr>
      </w:pPr>
      <w:r>
        <w:rPr>
          <w:rFonts w:hint="eastAsia" w:ascii="仿宋" w:hAnsi="仿宋" w:eastAsia="仿宋" w:cs="仿宋"/>
          <w:color w:val="auto"/>
          <w:sz w:val="24"/>
          <w:highlight w:val="none"/>
        </w:rPr>
        <w:t>89.2.2质量保证金预留比例</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highlight w:val="none"/>
        </w:rPr>
        <w:t>发包人累计预留的质量保证金不得超过合同价格中建筑安装工程费、设备及工器具购置费（如果有）部分结算总额的 3％。如承包人在发包人签发竣工付款证书后 28 天内提交质量保证金保函、担保或保险，发包人应同时退还扣留的作为质量保证金的工程价款；保函、担保或保险金额不得超过合同价格中建筑安装工程费、设备及工器具购置费（如果有）部分结算总额的 3%。</w:t>
      </w:r>
    </w:p>
    <w:p>
      <w:pPr>
        <w:spacing w:line="360" w:lineRule="auto"/>
        <w:rPr>
          <w:rFonts w:ascii="仿宋" w:hAnsi="仿宋" w:eastAsia="仿宋"/>
          <w:b/>
          <w:bCs/>
          <w:color w:val="auto"/>
          <w:highlight w:val="none"/>
          <w:lang w:eastAsia="zh-CN"/>
        </w:rPr>
      </w:pPr>
      <w:bookmarkStart w:id="586"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5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rPr>
          <w:rFonts w:ascii="仿宋" w:hAnsi="仿宋" w:eastAsia="仿宋" w:cs="仿宋"/>
          <w:color w:val="auto"/>
          <w:sz w:val="24"/>
          <w:szCs w:val="24"/>
          <w:highlight w:val="none"/>
        </w:rPr>
      </w:pPr>
      <w:r>
        <w:rPr>
          <w:color w:val="auto"/>
          <w:highlight w:val="none"/>
          <w:lang w:val="en-US"/>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51" name="文本框 1062"/>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026" o:spt="202" type="#_x0000_t202" style="position:absolute;left:0pt;margin-left:-9pt;margin-top:3.6pt;height:36.45pt;width:72pt;z-index:25204326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njgZTBcCAAAYBAAADgAAAGRycy9lMm9Eb2MueG1srVPLjtMw&#10;FN0j8Q+W9zRJ1RYmajoaphqENDykgQ9wHaexSHzNtdukfAD8ASs27PmufgfXTqaUYTMLNpHte33u&#10;Occny8u+bdheodNgCp5NUs6UkVBqsy34xw83z15w5rwwpWjAqIIflOOXq6dPlp3N1RRqaEqFjECM&#10;yztb8Np7myeJk7VqhZuAVYaKFWArPG1xm5QoOkJvm2SapoukAywtglTO0el6KPIRER8DCFWlpVqD&#10;3LXK+AEVVSM8SXK1to6vItuqUtK/qyqnPGsKTkp9/NIQWm/CN1ktRb5FYWstRwriMRQeaGqFNjT0&#10;BLUWXrAd6n+gWi0RHFR+IqFNBiHREVKRpQ+8uauFVVELWe3syXT3/2Dl2/17ZLos+DzjzIiWXvz4&#10;/dvxx6/jz68sSxfTYFFnXU6dd5Z6ff8SegpOlOvsLchPjhm4roXZqitE6GolSqKYhZvJ2dUBxwWQ&#10;TfcGSholdh4iUF9hG/wjRxih0/McTs+jes8kHV5ks1lKFUml2WJ6kc3jBJHfX7bo/CsFLQuLgiO9&#10;fgQX+1vnAxmR37eEWQZudNPEBDTmrwNqDCeRfOA7MPf9ph/N2EB5IBkIQ6Dod6JFDfiFs47CVHD3&#10;eSdQcda8NmRFZE7pi5vZ/PmUVOB5ZXNeEUYSVME9Z8Py2g+J3VnU25omDeYbuCL7Kh2lBZ8HViNv&#10;CkxUPIY7JPJ8H7v+/N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pXYFbVAAAACAEAAA8AAAAA&#10;AAAAAQAgAAAAIgAAAGRycy9kb3ducmV2LnhtbFBLAQIUABQAAAAIAIdO4kCeOBlM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rPr>
        <w:t>缺陷责任期（包括第 67.2 款延长的期限）满时，承包人应向发包人申请到期应返还的剩余质量保证金金额。发包人如无异议，应在缺陷责任期满后的 14 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50" name="文本框 1063"/>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026" o:spt="202" type="#_x0000_t202" style="position:absolute;left:0pt;margin-left:-9pt;margin-top:3.6pt;height:36.45pt;width:72pt;z-index:25204428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5oLhnhcCAAAYBAAADgAAAGRycy9lMm9Eb2MueG1srVNBjtMw&#10;FN0jcQfLe5qktGUmajoaphqENDBIAwdwHaexSPzNt9ukHIC5ASs27DlXz8G30yll2MyCTWT7f7//&#10;3vPL/KJvG7ZV6DSYgmejlDNlJJTarAv+6eP1izPOnBemFA0YVfCdcvxi8fzZvLO5GkMNTamQEYhx&#10;eWcLXntv8yRxslatcCOwylCxAmyFpy2ukxJFR+htk4zTdJZ0gKVFkMo5Ol0ORX5AxKcAQlVpqZYg&#10;N60yfkBF1QhPklytreOLyLaqlPS3VeWUZ03BSamPXxpC61X4Jou5yNcobK3lgYJ4CoVHmlqhDQ09&#10;Qi2FF2yD+h+oVksEB5UfSWiTQUh0hFRk6SNv7mphVdRCVjt7NN39P1j5fvsBmS4LPiVLjGjpxfff&#10;7/c/fu1/fmNZOnsZLOqsy6nzzlKv719DT8GJcp29AfnZMQNXtTBrdYkIXa1ESRSzcDM5uTrguACy&#10;6t5BSaPExkME6itsg3/kCCN04rI7Po/qPZN0eJ5NJilVJJUms/F5No0TRP5w2aLzbxS0LCwKjvT6&#10;EVxsb5wPZET+0BJmGbjWTRMT0Ji/DqgxnETyge/A3Per/mDGCsodyUAYAkW/Ey1qwK+cdRSmgrsv&#10;G4GKs+atISsic0pf3Eymr8akAk8rq9OKMJKgCu45G5ZXfkjsxqJe1zRpMN/AJdlX6Sgt+DywOvCm&#10;wETFh3CHRJ7uY9efH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pXYFbVAAAACAEAAA8AAAAA&#10;AAAAAQAgAAAAIgAAAGRycy9kb3ducmV2LnhtbFBLAQIUABQAAAAIAIdO4kDmguGe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rPr>
        <w:t>缺陷责任期（包括第 66.2 款延长的期限）届满时，承包人没有全面履行缺陷修复责任的，发包人有权扣留承包人未履行部分相应质量保证金，并有权根据第66.2 款约定要求延长缺陷责任期，直到完成剩余工作为止。</w:t>
      </w:r>
    </w:p>
    <w:p>
      <w:pPr>
        <w:pStyle w:val="22"/>
        <w:adjustRightInd w:val="0"/>
        <w:snapToGrid w:val="0"/>
        <w:spacing w:line="360" w:lineRule="auto"/>
        <w:rPr>
          <w:rFonts w:ascii="仿宋" w:hAnsi="仿宋" w:eastAsia="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87" w:name="_Toc27865"/>
      <w:bookmarkStart w:id="588" w:name="_Toc47694366"/>
      <w:bookmarkStart w:id="589" w:name="_Toc1960"/>
      <w:r>
        <w:rPr>
          <w:rFonts w:hint="eastAsia" w:ascii="仿宋" w:hAnsi="仿宋" w:eastAsia="仿宋" w:cs="仿宋"/>
          <w:bCs w:val="0"/>
          <w:color w:val="auto"/>
          <w:sz w:val="24"/>
          <w:szCs w:val="24"/>
          <w:highlight w:val="none"/>
        </w:rPr>
        <w:t>90</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最终清算款</w:t>
      </w:r>
      <w:bookmarkEnd w:id="587"/>
      <w:bookmarkEnd w:id="588"/>
      <w:bookmarkEnd w:id="589"/>
    </w:p>
    <w:p>
      <w:pPr>
        <w:rPr>
          <w:rFonts w:ascii="仿宋" w:hAnsi="仿宋" w:eastAsia="仿宋" w:cs="仿宋"/>
          <w:b/>
          <w:bCs/>
          <w:color w:val="auto"/>
          <w:highlight w:val="none"/>
          <w:lang w:eastAsia="zh-CN"/>
        </w:rPr>
      </w:pPr>
      <w:bookmarkStart w:id="590"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590"/>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49" name="文本框 1064"/>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026" o:spt="202" type="#_x0000_t202" style="position:absolute;left:0pt;margin-left:-9pt;margin-top:5.85pt;height:31.2pt;width:72pt;z-index:252045312;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Fo+DR8YAgAAGAQAAA4AAABkcnMvZTJvRG9jLnhtbK1TzY7T&#10;MBC+I/EOlu80aQmFRk1Xy1aLkJYfaeEBXMdpLBKPGbtNygPAG3Diwp3n6nMwdrKlLJc9cLFsz/ib&#10;7/tmvLzo24btFToNpuDTScqZMhJKbbYF//jh+skLzpwXphQNGFXwg3L8YvX40bKzuZpBDU2pkBGI&#10;cXlnC157b/MkcbJWrXATsMpQsAJshacjbpMSRUfobZPM0nSedIClRZDKObpdD0E+IuJDAKGqtFRr&#10;kLtWGT+gomqEJ0mu1tbxVWRbVUr6d1XllGdNwUmpjysVof0mrMlqKfItCltrOVIQD6FwT1MrtKGi&#10;J6i18ILtUP8D1WqJ4KDyEwltMgiJjpCKaXrPm9taWBW1kNXOnkx3/w9Wvt2/R6bLgmcLzoxoqePH&#10;79+OP34df35l03SeBYs663LKvLWU6/uX0NPgRLnO3oD85JiBq1qYrbpEhK5WoiSK0/AyOXs64LgA&#10;suneQEmlxM5DBOorbIN/5AgjdGrP4dQe1Xsm6XIxzbKUIpJCTxfzWRbbl4j87rFF518paFnYFByp&#10;+xFc7G+cD2REfpcSahm41k0TJ6Axf11QYriJ5APfgbnvN/1oxgbKA8lAGAaKvhNtasAvnHU0TAV3&#10;n3cCFWfNa0NWROY0ffGQPXs+IxV4HtmcR4SRBFVwz9mwvfLDxO4s6m1NlQbzDVySfZWO0oLPA6uR&#10;Nw1MVDwOd5jI83PM+vOh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PIgVtYAAAAJAQAADwAA&#10;AAAAAAABACAAAAAiAAAAZHJzL2Rvd25yZXYueG1sUEsBAhQAFAAAAAgAh07iQFo+DR8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 xml:space="preserve">合同双方当事人应在专用条款中明确最终清算款的支付时限。专用条款没有约定的,最终清算款按照第 90.2 款至第 90.5 款约定办理。涉及政府投资资金的工程，支付期、支付方法等需调整的，应在专用条款中约定。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pPr>
        <w:pStyle w:val="22"/>
        <w:tabs>
          <w:tab w:val="left" w:pos="900"/>
        </w:tabs>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90</w:t>
      </w:r>
      <w:r>
        <w:rPr>
          <w:rFonts w:ascii="仿宋" w:hAnsi="仿宋" w:eastAsia="仿宋" w:cs="仿宋"/>
          <w:b/>
          <w:bCs/>
          <w:color w:val="auto"/>
          <w:sz w:val="24"/>
          <w:szCs w:val="24"/>
          <w:highlight w:val="none"/>
        </w:rPr>
        <w:t>.2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rPr>
      </w:pPr>
      <w:r>
        <w:rPr>
          <w:color w:val="auto"/>
          <w:highlight w:val="none"/>
          <w:lang w:val="en-US"/>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48" name="文本框 1065"/>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wps:txbx>
                      <wps:bodyPr rot="0" vert="horz" wrap="square" lIns="91440" tIns="45720" rIns="91440" bIns="45720" anchor="t" anchorCtr="0" upright="1">
                        <a:noAutofit/>
                      </wps:bodyPr>
                    </wps:wsp>
                  </a:graphicData>
                </a:graphic>
              </wp:anchor>
            </w:drawing>
          </mc:Choice>
          <mc:Fallback>
            <w:pict>
              <v:shape id="文本框 1065" o:spid="_x0000_s1026" o:spt="202" type="#_x0000_t202" style="position:absolute;left:0pt;margin-left:-9pt;margin-top:0.7pt;height:36.45pt;width:81pt;z-index:252046336;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K1ml6RoCAAAZBAAADgAAAGRycy9lMm9Eb2MueG1srVNLbtsw&#10;EN0X6B0I7mtJhuMkguUgjZGiQPoB0h6ApiiLqMRhh7Ql9wDtDbrqpvuey+fokFJcN91k0Q1BcoZv&#10;3nszXFz1bcN2Cp0GU/BsknKmjIRSm03BP364fXHBmfPClKIBowq+V45fLZ8/W3Q2V1OooSkVMgIx&#10;Lu9swWvvbZ4kTtaqFW4CVhkKVoCt8HTETVKi6Ai9bZJpms6TDrC0CFI5R7erIchHRHwKIFSVlmoF&#10;ctsq4wdUVI3wJMnV2jq+jGyrSkn/rqqc8qwpOCn1caUitF+HNVkuRL5BYWstRwriKRQeaWqFNlT0&#10;CLUSXrAt6n+gWi0RHFR+IqFNBiHREVKRpY+8ua+FVVELWe3s0XT3/2Dl2917ZLos+Iz6bkRLHT98&#10;/3b48evw8yvL0vlZsKizLqfMe0u5vn8JPQ1OlOvsHchPjhm4qYXZqGtE6GolSqKYhZfJydMBxwWQ&#10;dfcGSiolth4iUF9hG/wjRxihU3v2x/ao3jMZSqbTi/OUQpJis/n0MovkEpE/vLbo/CsFLQubgiO1&#10;P6KL3Z3zgY3IH1JCMQO3umniCDTmrwtKDDeRfSA8UPf9uh/dWEO5Jx0Iw0TRf6JNDfiFs46mqeDu&#10;81ag4qx5bciLy2w2C+MXD7Oz8ykd8DSyPo0IIwmq4J6zYXvjh5HdWtSbmioN7hu4Jv8qHaUFowdW&#10;I2+amKh4nO4wkqfnmPXnR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OWJM/VAAAACAEAAA8A&#10;AAAAAAAAAQAgAAAAIgAAAGRycy9kb3ducmV2LnhtbFBLAQIUABQAAAAIAIdO4kArWaXpGgIAABk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仿宋" w:hAnsi="仿宋" w:eastAsia="仿宋" w:cs="仿宋"/>
          <w:color w:val="auto"/>
          <w:sz w:val="24"/>
          <w:szCs w:val="24"/>
          <w:highlight w:val="none"/>
        </w:rPr>
        <w:t>造价咨询人应在收到最终清算支付申请后的 14 天内予以计量、核实，并将核实结果通知承包人、抄报发包人。发包人应在收到核实结果后的 7 天内在最终清算文件上签字确认。造价咨询人应在发包人签字确认最终清算文件后的 7 天内，向发包人签发最终清算支付证书，同时抄送承包人。</w:t>
      </w:r>
    </w:p>
    <w:p>
      <w:pPr>
        <w:pStyle w:val="22"/>
        <w:tabs>
          <w:tab w:val="left" w:pos="900"/>
        </w:tabs>
        <w:adjustRightInd w:val="0"/>
        <w:snapToGrid w:val="0"/>
        <w:spacing w:line="360" w:lineRule="auto"/>
        <w:rPr>
          <w:rFonts w:ascii="仿宋" w:hAnsi="仿宋" w:eastAsia="仿宋"/>
          <w:color w:val="auto"/>
          <w:sz w:val="24"/>
          <w:szCs w:val="24"/>
          <w:highlight w:val="none"/>
        </w:rPr>
      </w:pPr>
      <w:bookmarkStart w:id="591" w:name="_Toc7893"/>
      <w:r>
        <w:rPr>
          <w:color w:val="auto"/>
          <w:sz w:val="24"/>
          <w:szCs w:val="24"/>
          <w:highlight w:val="none"/>
          <w:lang w:val="en-US"/>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47" name="文本框 1066"/>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w:pict>
              <v:shape id="文本框 1066" o:spid="_x0000_s1026" o:spt="202" type="#_x0000_t202" style="position:absolute;left:0pt;margin-left:-9pt;margin-top:18.15pt;height:36.45pt;width:72pt;z-index:252091392;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fTaSTxgCAAAYBAAADgAAAGRycy9lMm9Eb2MueG1srVNL&#10;btswEN0X6B0I7mtJhuM0guUgjZGiQPoB0h6ApiiLqMRhh7Ql9wDtDbLqpvuey+fokFJcN91k0Y1A&#10;coZv3nt8Wlz2bcN2Cp0GU/BsknKmjIRSm03BP328efGSM+eFKUUDRhV8rxy/XD5/tuhsrqZQQ1Mq&#10;ZARiXN7Zgtfe2zxJnKxVK9wErDJUrABb4WmLm6RE0RF62yTTNJ0nHWBpEaRyjk5XQ5GPiPgUQKgq&#10;LdUK5LZVxg+oqBrhSZKrtXV8GdlWlZL+fVU55VlTcFLq45eG0HodvslyIfINCltrOVIQT6HwSFMr&#10;tKGhR6iV8IJtUf8D1WqJ4KDyEwltMgiJjpCKLH3kzV0trIpayGpnj6a7/wcr3+0+INNlwWfnnBnR&#10;0osf7r8ffvw6/PzGsnQ+DxZ11uXUeWep1/evoKfgRLnO3oL87JiB61qYjbpChK5WoiSKWbiZnFwd&#10;cFwAWXdvoaRRYushAvUVtsE/coQROj3P/vg8qvdM0uFFNpulVJFUms2nF9lZnCDyh8sWnX+toGVh&#10;UXCk14/gYnfrfCAj8oeWMMvAjW6amIDG/HVAjeEkkg98B+a+X/ejGWso9yQDYQgU/U60qAG/ctZR&#10;mAruvmwFKs6aN4asiMwpfXEzOzufkgo8raxPK8JIgiq452xYXvshsVuLelPTpMF8A1dkX6WjtODz&#10;wGrkTYGJisdwh0Se7m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Y8+Z2AAAAAoBAAAP&#10;AAAAAAAAAAEAIAAAACIAAABkcnMvZG93bnJldi54bWxQSwECFAAUAAAACACHTuJAfTaSTxgCAAAY&#10;BAAADgAAAAAAAAABACAAAAAnAQAAZHJzL2Uyb0RvYy54bWxQSwUGAAAAAAYABgBZAQAAsQU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b/>
          <w:bCs/>
          <w:color w:val="auto"/>
          <w:sz w:val="24"/>
          <w:szCs w:val="24"/>
          <w:highlight w:val="none"/>
        </w:rPr>
        <w:t>90</w:t>
      </w:r>
      <w:r>
        <w:rPr>
          <w:rFonts w:ascii="仿宋" w:hAnsi="仿宋" w:eastAsia="仿宋" w:cs="仿宋"/>
          <w:b/>
          <w:bCs/>
          <w:color w:val="auto"/>
          <w:sz w:val="24"/>
          <w:szCs w:val="24"/>
          <w:highlight w:val="none"/>
        </w:rPr>
        <w:t>.3</w:t>
      </w:r>
      <w:bookmarkEnd w:id="591"/>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发包人应在造价咨询人签发最终清算支付证书后的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天内，按照最终清算支付证书列明的金额向承包人支付最终清算款，并通知造价咨询人。</w:t>
      </w:r>
    </w:p>
    <w:p>
      <w:pPr>
        <w:pStyle w:val="22"/>
        <w:adjustRightInd w:val="0"/>
        <w:snapToGrid w:val="0"/>
        <w:spacing w:line="480" w:lineRule="auto"/>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90</w:t>
      </w:r>
      <w:r>
        <w:rPr>
          <w:rFonts w:ascii="仿宋" w:hAnsi="仿宋" w:eastAsia="仿宋" w:cs="仿宋"/>
          <w:b/>
          <w:bCs/>
          <w:color w:val="auto"/>
          <w:sz w:val="24"/>
          <w:szCs w:val="24"/>
          <w:highlight w:val="none"/>
        </w:rPr>
        <w:t xml:space="preserve">.4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53340</wp:posOffset>
                </wp:positionV>
                <wp:extent cx="914400" cy="462915"/>
                <wp:effectExtent l="0" t="0" r="0" b="0"/>
                <wp:wrapNone/>
                <wp:docPr id="46"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026" o:spt="202" type="#_x0000_t202" style="position:absolute;left:0pt;margin-left:-9pt;margin-top:4.2pt;height:36.45pt;width:72pt;z-index:252092416;mso-width-relative:page;mso-height-relative:page;" filled="f" stroked="f" coordsize="21600,21600" o:gfxdata="UEsDBAoAAAAAAIdO4kAAAAAAAAAAAAAAAAAEAAAAZHJzL1BLAwQUAAAACACHTuJAQFnnZtQAAAAI&#10;AQAADwAAAGRycy9kb3ducmV2LnhtbE2Py07DMBBF90j8gzVI7Fo7pVQhxOkCxBZEeUjspvE0iYjH&#10;Uew24e+ZrmB5dEd3zi23s+/VicbYBbaQLQ0o4jq4jhsL729PixxUTMgO+8Bk4YcibKvLixILFyZ+&#10;pdMuNUpKOBZooU1pKLSOdUse4zIMxJIdwugxCY6NdiNOUu57vTJmoz12LB9aHOihpfp7d/QWPp4P&#10;X59r89I8+tthCrPR7O+0tddXmbkHlWhOf8dw1hd1qMRpH47souotLLJctiQL+RrUOV9thPfC2Q3o&#10;qtT/B1S/UEsDBBQAAAAIAIdO4kAFjGqdGAIAABgEAAAOAAAAZHJzL2Uyb0RvYy54bWytU0tu2zAQ&#10;3RfoHQjua0mG4zSC5SCNkaJA+gHSHoCmKIuoxGGHtCX3AO0Nsuqm+57L5+iQUlw33WTRjUByhm/e&#10;e3xaXPZtw3YKnQZT8GyScqaMhFKbTcE/fbx58ZIz54UpRQNGFXyvHL9cPn+26GyuplBDUypkBGJc&#10;3tmC197bPEmcrFUr3ASsMlSsAFvhaYubpETREXrbJNM0nScdYGkRpHKOTldDkY+I+BRAqCot1Qrk&#10;tlXGD6ioGuFJkqu1dXwZ2VaVkv59VTnlWVNwUurjl4bQeh2+yXIh8g0KW2s5UhBPofBIUyu0oaFH&#10;qJXwgm1R/wPVaongoPITCW0yCImOkIosfeTNXS2silrIamePprv/Byvf7T4g02XBZ3POjGjpxQ/3&#10;3w8/fh1+fmNZOj8PFnXW5dR5Z6nX96+gp+BEuc7egvzsmIHrWpiNukKErlaiJIpZuJmcXB1wXABZ&#10;d2+hpFFi6yEC9RW2wT9yhBE6Pc/++Dyq90zS4UU2m6VUkVSazacX2VmcIPKHyxadf62gZWFRcKTX&#10;j+Bid+t8ICPyh5Ywy8CNbpqYgMb8dUCN4SSSD3wH5r5f96MZayj3JANhCBT9TrSoAb9y1lGYCu6+&#10;bAUqzpo3hqyIzCl9cTM7O5+SCjytrE8rwkiCKrjnbFhe+yGxW4t6U9OkwXwDV2RfpaO04PPAauRN&#10;gYmKx3CHRJ7uY9efH3r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Z52bUAAAACAEAAA8AAAAA&#10;AAAAAQAgAAAAIgAAAGRycy9kb3ducmV2LnhtbFBLAQIUABQAAAAIAIdO4kAFjGqdGAIAABgEAAAO&#10;AAAAAAAAAAEAIAAAACMBAABkcnMvZTJvRG9jLnhtbFBLBQYAAAAABgAGAFkBAACtBQAAAAA=&#10;">
                <v:fill on="f" focussize="0,0"/>
                <v:stroke on="f"/>
                <v:imagedata o:title=""/>
                <o:lock v:ext="edit" aspectratio="f"/>
                <v:textbox>
                  <w:txbxContent>
                    <w:p>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rPr>
        <w:t>如果造价咨询人未在第 90.2 款约定的期限内签发最终清算支付证书的，则视为承包人提交的最终清算支付申请已被认可，承包人应及时向发包人发出要求支付最终清算款的通知。发包人应在收到通知后的 14 天内，按照承包人提交最终清算支付申请列明的金额向承包人支付最终清算款。</w:t>
      </w:r>
    </w:p>
    <w:p>
      <w:pPr>
        <w:pStyle w:val="22"/>
        <w:adjustRightInd w:val="0"/>
        <w:snapToGrid w:val="0"/>
        <w:spacing w:line="360" w:lineRule="auto"/>
        <w:rPr>
          <w:rFonts w:ascii="仿宋" w:hAnsi="仿宋" w:eastAsia="仿宋"/>
          <w:color w:val="auto"/>
          <w:sz w:val="24"/>
          <w:szCs w:val="24"/>
          <w:highlight w:val="none"/>
        </w:rPr>
      </w:pPr>
      <w:r>
        <w:rPr>
          <w:rFonts w:hint="eastAsia" w:ascii="仿宋" w:hAnsi="仿宋" w:eastAsia="仿宋" w:cs="仿宋"/>
          <w:b/>
          <w:bCs/>
          <w:color w:val="auto"/>
          <w:sz w:val="24"/>
          <w:szCs w:val="24"/>
          <w:highlight w:val="none"/>
        </w:rPr>
        <w:t>90</w:t>
      </w:r>
      <w:r>
        <w:rPr>
          <w:rFonts w:ascii="仿宋" w:hAnsi="仿宋" w:eastAsia="仿宋" w:cs="仿宋"/>
          <w:b/>
          <w:bCs/>
          <w:color w:val="auto"/>
          <w:sz w:val="24"/>
          <w:szCs w:val="24"/>
          <w:highlight w:val="none"/>
        </w:rPr>
        <w:t xml:space="preserve">.5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45" name="文本框 1068"/>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wps:txbx>
                      <wps:bodyPr rot="0" vert="horz" wrap="square" lIns="91440" tIns="45720" rIns="91440" bIns="45720" anchor="t" anchorCtr="0" upright="1">
                        <a:noAutofit/>
                      </wps:bodyPr>
                    </wps:wsp>
                  </a:graphicData>
                </a:graphic>
              </wp:anchor>
            </w:drawing>
          </mc:Choice>
          <mc:Fallback>
            <w:pict>
              <v:shape id="文本框 1068" o:spid="_x0000_s1026" o:spt="202" type="#_x0000_t202" style="position:absolute;left:0pt;margin-left:-9pt;margin-top:0.65pt;height:32.1pt;width:81pt;z-index:252047360;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3aO0QhoCAAAZBAAADgAAAGRycy9lMm9Eb2MueG1srVPNjtMw&#10;EL4j8Q6W7zRp1W1L1HS1bLUIafmRFh7AdZzGIvGYsdukPAC8wZ64cOe5+hyMnWwpy2UPXCzbM/7m&#10;+74ZLy+7pmZ7hU6Dyfl4lHKmjIRCm23OP328ebHgzHlhClGDUTk/KMcvV8+fLVubqQlUUBcKGYEY&#10;l7U255X3NksSJyvVCDcCqwwFS8BGeDriNilQtITe1MkkTWdJC1hYBKmco9t1H+QDIj4FEMpSS7UG&#10;uWuU8T0qqlp4kuQqbR1fRbZlqaR/X5ZOeVbnnJT6uFIR2m/CmqyWItuisJWWAwXxFAqPNDVCGyp6&#10;gloLL9gO9T9QjZYIDko/ktAkvZDoCKkYp4+8uauEVVELWe3syXT3/2Dlu/0HZLrI+fSCMyMa6vjx&#10;/vvxx6/jz29snM4WwaLWuowy7yzl+u4VdDQ4Ua6ztyA/O2bguhJmq64Qoa2UKIjiOLxMzp72OC6A&#10;bNq3UFApsfMQgboSm+AfOcIIndpzOLVHdZ7JUDKdLOYphSTFpul8No/9S0T28Nqi868VNCxsco7U&#10;/ogu9rfOBzYie0gJxQzc6LqOI1Cbvy4oMdxE9oFwT913m25wYwPFgXQg9BNF/4k2FeBXzlqappy7&#10;LzuBirP6jSEvXo6n0zB+8TC9mE/ogOeRzXlEGElQOfec9dtr34/szqLeVlSpd9/AFflX6igtGN2z&#10;GnjTxETFw3SHkTw/x6w/P3r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EG9fTVAAAACAEAAA8A&#10;AAAAAAAAAQAgAAAAIgAAAGRycy9kb3ducmV2LnhtbFBLAQIUABQAAAAIAIdO4kDdo7RCGgIAABk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仿宋" w:hAnsi="仿宋" w:eastAsia="仿宋" w:cs="仿宋"/>
          <w:color w:val="auto"/>
          <w:highlight w:val="none"/>
          <w:lang w:eastAsia="zh-CN"/>
        </w:rPr>
        <w:t>发包人未按照第90.3款和第90.4款约定支付最终清算款的，承包人可催告发包人支付最终清算款，如双方达成延期支付协议，承包人有权按照第83.2款约定获得延期支付的利息。若该永久工程按照第88.5款约定进行折价或依法拍卖的，承包人就该工程折价或拍卖的价款优先受偿。</w:t>
      </w:r>
    </w:p>
    <w:p>
      <w:pPr>
        <w:pStyle w:val="22"/>
        <w:adjustRightInd w:val="0"/>
        <w:snapToGrid w:val="0"/>
        <w:spacing w:line="360" w:lineRule="auto"/>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259715</wp:posOffset>
                </wp:positionV>
                <wp:extent cx="914400" cy="462915"/>
                <wp:effectExtent l="0" t="0" r="0" b="0"/>
                <wp:wrapNone/>
                <wp:docPr id="44" name="文本框 1069"/>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026" o:spt="202" type="#_x0000_t202" style="position:absolute;left:0pt;margin-left:-9pt;margin-top:20.45pt;height:36.45pt;width:72pt;z-index:252093440;mso-width-relative:page;mso-height-relative:page;" filled="f" stroked="f" coordsize="21600,21600" o:gfxdata="UEsDBAoAAAAAAIdO4kAAAAAAAAAAAAAAAAAEAAAAZHJzL1BLAwQUAAAACACHTuJA7Oo8g9cAAAAK&#10;AQAADwAAAGRycy9kb3ducmV2LnhtbE2PQW/CMAyF75P4D5GRdoOkjKFSmnIA7bppsE3aLTSmrWic&#10;qgm0+/czp+1m+z09fy/fjq4VN+xD40lDMlcgkEpvG6o0fBxfZimIEA1Z03pCDT8YYFtMHnKTWT/Q&#10;O94OsRIcQiEzGuoYu0zKUNboTJj7Dom1s++dibz2lbS9GTjctXKh1Eo60xB/qE2HuxrLy+HqNHy+&#10;nr+/luqt2rvnbvCjkuTWUuvHaaI2ICKO8c8Md3xGh4KZTv5KNohWwyxJuUvUsFRrEHfDYsWHEw/J&#10;UwqyyOX/CsUvUEsDBBQAAAAIAIdO4kBIhxQQFwIAABgEAAAOAAAAZHJzL2Uyb0RvYy54bWytU8uO&#10;0zAU3SPxD5b3NEmVKTRqOhqmGoQ0PKSBD3Adp7FIfM2126R8APwBKzbs+a5+B9dOp5RhMws2ke17&#10;fe45xyeLy6Fr2U6h02BKnk1SzpSRUGmzKfnHDzfPXnDmvDCVaMGoku+V45fLp08WvS3UFBpoK4WM&#10;QIwrelvyxntbJImTjeqEm4BVhoo1YCc8bXGTVCh6Qu/aZJqms6QHrCyCVM7R6Wos8iMiPgYQ6lpL&#10;tQK57ZTxIyqqVniS5BptHV9GtnWtpH9X10551paclPr4pSG0XodvslyIYoPCNloeKYjHUHigqRPa&#10;0NAT1Ep4wbao/4HqtERwUPuJhC4ZhURHSEWWPvDmrhFWRS1ktbMn093/g5Vvd++R6arkec6ZER29&#10;+OH7t8OPX4efX1mWzubBot66gjrvLPX64SUMFJwo19lbkJ8cM3DdCLNRV4jQN0pURDELN5OzqyOO&#10;CyDr/g1UNEpsPUSgocYu+EeOMEKn59mfnkcNnkk6nGd5nlJFUimfTefZRZwgivvLFp1/paBjYVFy&#10;pNeP4GJ363wgI4r7ljDLwI1u25iA1vx1QI3hJJIPfEfmflgPRzPWUO1JBsIYKPqdaNEAfuGspzCV&#10;3H3eClScta8NWRGZU/riJr94PiUVeF5Zn1eEkQRVcs/ZuLz2Y2K3FvWmoUmj+QauyL5aR2nB55HV&#10;kTcFJio+hjsk8nwfu/780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Oo8g9cAAAAKAQAADwAA&#10;AAAAAAABACAAAAAiAAAAZHJzL2Rvd25yZXYueG1sUEsBAhQAFAAAAAgAh07iQEiHFBAXAgAAGA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rPr>
        <w:t>90</w:t>
      </w:r>
      <w:r>
        <w:rPr>
          <w:rFonts w:ascii="仿宋" w:hAnsi="仿宋" w:eastAsia="仿宋" w:cs="仿宋"/>
          <w:b/>
          <w:bCs/>
          <w:color w:val="auto"/>
          <w:sz w:val="24"/>
          <w:szCs w:val="24"/>
          <w:highlight w:val="none"/>
        </w:rPr>
        <w:t xml:space="preserve">.6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pPr>
        <w:pStyle w:val="22"/>
        <w:adjustRightInd w:val="0"/>
        <w:snapToGrid w:val="0"/>
        <w:spacing w:line="360" w:lineRule="auto"/>
        <w:jc w:val="center"/>
        <w:outlineLvl w:val="1"/>
        <w:rPr>
          <w:rFonts w:ascii="仿宋" w:hAnsi="仿宋" w:eastAsia="仿宋"/>
          <w:b/>
          <w:bCs/>
          <w:color w:val="auto"/>
          <w:sz w:val="24"/>
          <w:szCs w:val="24"/>
          <w:highlight w:val="none"/>
        </w:rPr>
      </w:pPr>
      <w:bookmarkStart w:id="592" w:name="_Toc469384069"/>
      <w:bookmarkStart w:id="593" w:name="_Toc47694367"/>
      <w:bookmarkStart w:id="594" w:name="_Toc27418"/>
      <w:bookmarkStart w:id="595" w:name="_Toc26200"/>
      <w:r>
        <w:rPr>
          <w:rFonts w:hint="eastAsia" w:ascii="仿宋" w:hAnsi="仿宋" w:eastAsia="仿宋" w:cs="仿宋"/>
          <w:b/>
          <w:bCs/>
          <w:color w:val="auto"/>
          <w:sz w:val="24"/>
          <w:szCs w:val="24"/>
          <w:highlight w:val="none"/>
        </w:rPr>
        <w:t>八、合同争议、解除与终止</w:t>
      </w:r>
      <w:bookmarkEnd w:id="592"/>
      <w:bookmarkEnd w:id="593"/>
      <w:bookmarkEnd w:id="594"/>
      <w:bookmarkEnd w:id="595"/>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596" w:name="_Toc469384070"/>
      <w:bookmarkStart w:id="597" w:name="_Toc7447"/>
      <w:bookmarkStart w:id="598" w:name="_Toc1942"/>
      <w:bookmarkStart w:id="599" w:name="_Toc47694368"/>
      <w:r>
        <w:rPr>
          <w:rFonts w:hint="eastAsia" w:ascii="仿宋" w:hAnsi="仿宋" w:eastAsia="仿宋" w:cs="仿宋"/>
          <w:bCs w:val="0"/>
          <w:color w:val="auto"/>
          <w:sz w:val="24"/>
          <w:szCs w:val="24"/>
          <w:highlight w:val="none"/>
        </w:rPr>
        <w:t>91</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合同争议</w:t>
      </w:r>
      <w:bookmarkEnd w:id="596"/>
      <w:bookmarkEnd w:id="597"/>
      <w:bookmarkEnd w:id="598"/>
      <w:bookmarkEnd w:id="599"/>
    </w:p>
    <w:p>
      <w:pPr>
        <w:pStyle w:val="22"/>
        <w:adjustRightInd w:val="0"/>
        <w:snapToGrid w:val="0"/>
        <w:rPr>
          <w:rFonts w:ascii="仿宋" w:hAnsi="仿宋" w:eastAsia="仿宋" w:cs="仿宋"/>
          <w:b/>
          <w:bCs/>
          <w:color w:val="auto"/>
          <w:sz w:val="24"/>
          <w:szCs w:val="24"/>
          <w:highlight w:val="none"/>
        </w:rPr>
      </w:pPr>
      <w:r>
        <w:rPr>
          <w:b/>
          <w:color w:val="auto"/>
          <w:highlight w:val="none"/>
          <w:lang w:val="en-US"/>
        </w:rPr>
        <mc:AlternateContent>
          <mc:Choice Requires="wps">
            <w:drawing>
              <wp:anchor distT="0" distB="0" distL="114300" distR="114300" simplePos="0" relativeHeight="252094464"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43" name="文本框 1072"/>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026" o:spt="202" type="#_x0000_t202" style="position:absolute;left:0pt;margin-left:-9pt;margin-top:22.4pt;height:37pt;width:72pt;z-index:252094464;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BalzODFwIAABgEAAAOAAAAZHJzL2Uyb0RvYy54bWytU82O&#10;0zAQviPxDpbvNGkpuzRqulq2WoS0/EgLD+A6TmMRe8zYbVIeAN6AExfuPFefg7HT7Zblsgcu0Xhm&#10;/M33fZ7ML3rTsq1Cr8GWfDzKOVNWQqXtuuSfPl4/e8mZD8JWogWrSr5Tnl8snj6Zd65QE2igrRQy&#10;ArG+6FzJmxBckWVeNsoIPwKnLBVrQCMCHXGdVSg6QjdtNsnzs6wDrByCVN5TdjkU+QERHwMIda2l&#10;WoLcGGXDgIqqFYEk+UY7zxeJbV0rGd7XtVeBtSUnpSF9aQjFq/jNFnNRrFG4RssDBfEYCg80GaEt&#10;DT1CLUUQbIP6HyijJYKHOowkmGwQkhwhFeP8gTe3jXAqaSGrvTua7v8frHy3/YBMVyWfPufMCkMv&#10;vv/xff/z9/7XNzbOzyfRos75gjpvHfWG/hX0tDhJrnc3ID97ZuGqEXatLhGha5SoiOI43sxOrg44&#10;PoKsurdQ0SixCZCA+hpN9I8cYYROz7M7Po/qA5OUnI2n05wqkkrTs9mM4jhBFHeXHfrwWoFhMSg5&#10;0usncLG98WFovWuJsyxc67alvCha+1eCMGMmkY98B+ahX/XUHRWtoNqRDIRhoeh3oqAB/MpZR8tU&#10;cv9lI1Bx1r6xZEViTtuXDtMX5xNSgaeV1WlFWElQJQ+cDeFVGDZ241CvG5o0mG/hkuyrdZJ2z+rA&#10;mxYmmXNY7riRp+fUdf9DL/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JsOatcAAAAKAQAADwAA&#10;AAAAAAABACAAAAAiAAAAZHJzL2Rvd25yZXYueG1sUEsBAhQAFAAAAAgAh07iQFqXM4MXAgAAGA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rPr>
        <w:t>91</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本合同履行期间，合同双方当事人应在收到监理人或造价咨询人依据合同约定作出暂定结果之后的 14 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合同双方当事人在收到监理人或造价咨询人的暂定结果之日起，超过 14天，未对暂定结果予以确认也未提出意见的，视为合同双方当事人已认可暂定结果。</w:t>
      </w:r>
    </w:p>
    <w:p>
      <w:pPr>
        <w:spacing w:line="360" w:lineRule="auto"/>
        <w:rPr>
          <w:rFonts w:ascii="仿宋" w:hAnsi="仿宋" w:eastAsia="仿宋"/>
          <w:b/>
          <w:bCs/>
          <w:color w:val="auto"/>
          <w:highlight w:val="none"/>
          <w:lang w:eastAsia="zh-CN"/>
        </w:rPr>
      </w:pPr>
      <w:bookmarkStart w:id="600"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6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tabs>
          <w:tab w:val="left" w:pos="1320"/>
        </w:tabs>
        <w:adjustRightInd w:val="0"/>
        <w:snapToGrid w:val="0"/>
        <w:spacing w:line="360" w:lineRule="auto"/>
        <w:ind w:left="1920" w:leftChars="800"/>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42" name="文本框 1073"/>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026" o:spt="202" type="#_x0000_t202" style="position:absolute;left:0pt;margin-left:-9pt;margin-top:2.1pt;height:29.4pt;width:63pt;z-index:252048384;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ALJuudGQIAABgEAAAOAAAAZHJzL2Uyb0RvYy54bWytU82O0zAQ&#10;viPxDpbvNOkPtERNV8tWi5CWH2nhAVzHaSwSjxm7TcoDsG/AiQt3nqvPwdjJlrJc9sDFsj3jb77v&#10;m/HyomtqtlfoNJicj0cpZ8pIKLTZ5vzTx+tnC86cF6YQNRiV84Ny/GL19MmytZmaQAV1oZARiHFZ&#10;a3NeeW+zJHGyUo1wI7DKULAEbISnI26TAkVL6E2dTNL0RdICFhZBKufodt0H+YCIjwGEstRSrUHu&#10;GmV8j4qqFp4kuUpbx1eRbVkq6d+XpVOe1TknpT6uVIT2m7Amq6XItihspeVAQTyGwgNNjdCGip6g&#10;1sILtkP9D1SjJYKD0o8kNEkvJDpCKsbpA29uK2FV1EJWO3sy3f0/WPlu/wGZLnI+m3BmREMdP36/&#10;O/74dfz5jY3T+TRY1FqXUeatpVzfvYKOBifKdfYG5GfHDFxVwmzVJSK0lRIFURyHl8nZ0x7HBZBN&#10;+xYKKiV2HiJQV2IT/CNHGKFTew6n9qjOM0mXi5Qsooik0HQ+nS5i+xKR3T+26PxrBQ0Lm5wjdT+C&#10;i/2N84GMyO5TQi0D17qu4wTU5q8LSgw3kXzg2zP33aYbzNhAcSAZCP1A0XeiTQX4lbOWhinn7stO&#10;oOKsfmPIipfj2SxMXzzMns8ndMDzyOY8IowkqJx7zvrtle8ndmdRbyuq1Jtv4JLsK3WUFnzuWQ28&#10;aWCi4mG4w0Sen2PWnw+9+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Zlp1AAAAAgBAAAPAAAA&#10;AAAAAAEAIAAAACIAAABkcnMvZG93bnJldi54bWxQSwECFAAUAAAACACHTuJACybrnRkCAAAY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rPr>
        <w:t>争议发生后的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合合同双方当事人可进一步进行协商。协商达成一致的，合同双方当事人应签订书面协议，经双方签字并盖章后作为合同补充文件，双方均应遵照执行，并将结果抄送监理人或造价咨询人；协商仍不能达成一致的，按照第 91.3 款至第 91.6 款约定进行调解或认定、仲裁或诉讼。</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91</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41" name="文本框 1074"/>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026" o:spt="202" type="#_x0000_t202" style="position:absolute;left:0pt;margin-left:-9pt;margin-top:0.9pt;height:25.6pt;width:81pt;z-index:252049408;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AIOfo2GgIAABkEAAAOAAAAZHJzL2Uyb0RvYy54bWytU82O0zAQ&#10;viPxDpbvNEnp0iVqulq2WoS0/EgLD+A6TmOReMzYbVIegH0DTly481x9DsZOtpTlsgculu0Zf/N9&#10;34wXF33bsJ1Cp8EUPJuknCkjodRmU/BPH6+fnXPmvDClaMCogu+V4xfLp08Wnc3VFGpoSoWMQIzL&#10;O1vw2nubJ4mTtWqFm4BVhoIVYCs8HXGTlCg6Qm+bZJqmL5IOsLQIUjlHt6shyEdEfAwgVJWWagVy&#10;2yrjB1RUjfAkydXaOr6MbKtKSf++qpzyrCk4KfVxpSK0X4c1WS5EvkFhay1HCuIxFB5oaoU2VPQI&#10;tRJesC3qf6BaLREcVH4ioU0GIdERUpGlD7y5rYVVUQtZ7ezRdPf/YOW73Qdkuiz4LOPMiJY6fvh+&#10;d/jx6/DzG8vS+SxY1FmXU+atpVzfv4KeBifKdfYG5GfHDFzVwmzUJSJ0tRIlUczCy+Tk6YDjAsi6&#10;ewsllRJbDxGor7AN/pEjjNCpPftje1TvmQwl0+n5PKWQpNjz6Vk2jf1LRH7/2qLzrxW0LGwKjtT+&#10;iC52N84HNiK/TwnFDFzrpokj0Ji/Ligx3ET2gfBA3ffrfnRjDeWedCAME0X/iTY14FfOOpqmgrsv&#10;W4GKs+aNIS9eZrNZGL94mJ3NiTnD08j6NCKMJKiCe86G7ZUfRnZrUW9qqjS4b+CS/Kt0lBaMHliN&#10;vGliouJxusNInp5j1p8f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V4CIdQAAAAIAQAADwAA&#10;AAAAAAABACAAAAAiAAAAZHJzL2Rvd25yZXYueG1sUEsBAhQAFAAAAAgAh07iQAg5+jYaAgAAGQQA&#10;AA4AAAAAAAAAAQAgAAAAIw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rPr>
        <w:t>合同双方当事人没有按照第 91.2 款约定进一步协商的，或虽然协商但未在约定期限内达成一致的，合同双方或一方当事人可在争议发生后的 28 天内，将争议提交争议调解或认定机构处理，或直接按照专用条款第 91.6 款约定提请仲裁或诉讼。</w:t>
      </w:r>
    </w:p>
    <w:p>
      <w:pPr>
        <w:spacing w:line="360" w:lineRule="auto"/>
        <w:rPr>
          <w:rFonts w:ascii="仿宋" w:hAnsi="仿宋" w:eastAsia="仿宋"/>
          <w:color w:val="auto"/>
          <w:highlight w:val="none"/>
          <w:lang w:eastAsia="zh-CN"/>
        </w:rPr>
      </w:pPr>
      <w:bookmarkStart w:id="601"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60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40" name="文本框 1075"/>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026" o:spt="202" type="#_x0000_t202" style="position:absolute;left:0pt;margin-left:-9pt;margin-top:4.7pt;height:29.8pt;width:81pt;z-index:252050432;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8It9oxkCAAAZBAAADgAAAGRycy9lMm9Eb2MueG1srVPNbhMx&#10;EL4j8Q6W72Q3IW3CKpuqNCpCKj9S4QEcrzdrsfaYsZPd8gDwBpy4cOe58hyMvWkI5dIDF2vsGX/z&#10;fZ/Hi4vetGyn0GuwJR+Pcs6UlVBpuyn5xw/Xz+ac+SBsJVqwquR3yvOL5dMni84VagINtJVCRiDW&#10;F50reROCK7LMy0YZ4UfglKVkDWhEoC1usgpFR+imzSZ5fp51gJVDkMp7Ol0NSX5AxMcAQl1rqVYg&#10;t0bZMKCiakUgSb7RzvNlYlvXSoZ3de1VYG3JSWlIKzWheB3XbLkQxQaFa7Q8UBCPofBAkxHaUtMj&#10;1EoEwbao/4EyWiJ4qMNIgskGIckRUjHOH3hz2winkhay2ruj6f7/wcq3u/fIdFXyKVlihaEX33//&#10;tv/xa//zKxvns7NoUed8QZW3jmpD/xJ6Gpwk17sbkJ88s3DVCLtRl4jQNUpURHEcb2YnVwccH0HW&#10;3RuoqJXYBkhAfY0m+keOMEInLnfH51F9YDK2zCfzWU4pSbnns/n0PL1fJor72w59eKXAsBiUHOn5&#10;E7rY3fgQ2YjiviQ2s3Ct2zaNQGv/OqDCeJLYR8ID9dCv+4Mba6juSAfCMFH0nyhoAL9w1tE0ldx/&#10;3gpUnLWvLXnxYjyN/oa0mZ7NJrTB08z6NCOsJKiSB86G8CoMI7t1qDcNdRrct3BJ/tU6SYtGD6wO&#10;vGlikuLDdMeRPN2nqj8/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zhfmdUAAAAIAQAADwAA&#10;AAAAAAABACAAAAAiAAAAZHJzL2Rvd25yZXYueG1sUEsBAhQAFAAAAAgAh07iQPCLfaMZAgAAGQ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22"/>
        <w:widowControl w:val="0"/>
        <w:numPr>
          <w:ilvl w:val="1"/>
          <w:numId w:val="1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建设工程安全监督机构、行业协会或其他第三方调解机构，负责有关工程安全方面争议的调解或认定；</w:t>
      </w:r>
    </w:p>
    <w:p>
      <w:pPr>
        <w:pStyle w:val="22"/>
        <w:widowControl w:val="0"/>
        <w:numPr>
          <w:ilvl w:val="1"/>
          <w:numId w:val="1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建设工程质量监督机构、行业协会或其他第三方调解机构，负责有关工程质量方面争议的调解或认定；</w:t>
      </w:r>
    </w:p>
    <w:p>
      <w:pPr>
        <w:pStyle w:val="22"/>
        <w:widowControl w:val="0"/>
        <w:numPr>
          <w:ilvl w:val="1"/>
          <w:numId w:val="13"/>
        </w:numPr>
        <w:tabs>
          <w:tab w:val="clear" w:pos="3285"/>
        </w:tabs>
        <w:adjustRightInd w:val="0"/>
        <w:snapToGrid w:val="0"/>
        <w:spacing w:line="360" w:lineRule="auto"/>
        <w:ind w:left="1850" w:leftChars="771" w:firstLine="0"/>
        <w:jc w:val="both"/>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建设工程造价管理机构、行业协会或其他第三方调解机构，负责有关工程造价方面争议的调解或认定。</w:t>
      </w:r>
    </w:p>
    <w:p>
      <w:pPr>
        <w:spacing w:line="360" w:lineRule="auto"/>
        <w:rPr>
          <w:rFonts w:ascii="仿宋" w:hAnsi="仿宋" w:eastAsia="仿宋"/>
          <w:b/>
          <w:bCs/>
          <w:color w:val="auto"/>
          <w:highlight w:val="none"/>
          <w:lang w:eastAsia="zh-CN"/>
        </w:rPr>
      </w:pPr>
      <w:bookmarkStart w:id="602"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6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39" name="文本框 1076"/>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026" o:spt="202" type="#_x0000_t202" style="position:absolute;left:0pt;margin-left:-9pt;margin-top:2.55pt;height:36.6pt;width:72pt;z-index:252051456;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lG4QfBgCAAAYBAAADgAAAGRycy9lMm9Eb2MueG1srVPNbhMx&#10;EL4j8Q6W72Q3IaTtKpuqNCpCKj9S4QEcrzdrsfaYsZPd8ADwBpy4cOe58hyMvWkI5dIDF8v2jL/5&#10;vm/G88vetGyr0GuwJR+Pcs6UlVBpuy75xw83z84580HYSrRgVcl3yvPLxdMn884VagINtJVCRiDW&#10;F50reROCK7LMy0YZ4UfglKVgDWhEoCOuswpFR+imzSZ5Pss6wMohSOU93S6HID8g4mMAoa61VEuQ&#10;G6NsGFBRtSKQJN9o5/kisa1rJcO7uvYqsLbkpDSklYrQfhXXbDEXxRqFa7Q8UBCPofBAkxHaUtEj&#10;1FIEwTao/4EyWiJ4qMNIgskGIckRUjHOH3hz1winkhay2ruj6f7/wcq32/fIdFXy5xecWWGo4/vv&#10;3/Y/fu1/fmXj/GwWLeqcLyjzzlFu6F9CT4OT5Hp3C/KTZxauG2HX6goRukaJiiiO48vs5OmA4yPI&#10;qnsDFZUSmwAJqK/RRP/IEUbo1J7dsT2qD0zS5cV4Os0pIik0nU3PJ6l9mSjuHzv04ZUCw+Km5Ejd&#10;T+Bie+tDJCOK+5RYy8KNbts0Aa3964IS400iH/kOzEO/6g9mrKDakQyEYaDoO9GmAfzCWUfDVHL/&#10;eSNQcda+tmRFYk7Tlw7TF2fEnOFpZHUaEVYSVMkDZ8P2OgwTu3Go1w1VGsy3cEX21TpJiz4PrA68&#10;aWCS4sNwx4k8PaesPx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W2tN1QAAAAgBAAAPAAAA&#10;AAAAAAEAIAAAACIAAABkcnMvZG93bnJldi54bWxQSwECFAAUAAAACACHTuJAlG4QfB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rPr>
        <w:t>合同双方当事人应在收到争议调解或认定机构书面结果后的 28 天内，对调解或认定结果以书面形式予以确认。调解或认定结果经双方签字盖章后作为合同补充文件，双方均应遵照执行。</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38" name="文本框 1077"/>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026" o:spt="202" type="#_x0000_t202" style="position:absolute;left:0pt;margin-left:-9pt;margin-top:0.95pt;height:26.35pt;width:81pt;z-index:252052480;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gA1Q/xoCAAAZBAAADgAAAGRycy9lMm9Eb2MueG1srVNLbtsw&#10;EN0X6B0I7mvJn8SpYDlIY6QokH6AtAegKcoiKnHYIW3JPUBzg6666b7n8jk6pBTXTTdZdEOQnOGb&#10;994MF5ddU7OdQqfB5Hw8SjlTRkKhzSbnnz7evLjgzHlhClGDUTnfK8cvl8+fLVqbqQlUUBcKGYEY&#10;l7U255X3NksSJyvVCDcCqwwFS8BGeDriJilQtITe1MkkTc+TFrCwCFI5R7erPsgHRHwKIJSllmoF&#10;ctso43tUVLXwJMlV2jq+jGzLUkn/viyd8qzOOSn1caUitF+HNVkuRLZBYSstBwriKRQeaWqENlT0&#10;CLUSXrAt6n+gGi0RHJR+JKFJeiHREVIxTh95c1cJq6IWstrZo+nu/8HKd7sPyHSR8yn13YiGOn74&#10;fn/48evw8xsbp/N5sKi1LqPMO0u5vnsFHQ1OlOvsLcjPjhm4roTZqCtEaCslCqI4Di+Tk6c9jgsg&#10;6/YtFFRKbD1EoK7EJvhHjjBCp/bsj+1RnWcylEwnF/OUQpJi0+nsfHYWS4js4bVF518raFjY5Byp&#10;/RFd7G6dD2xE9pASihm40XUdR6A2f11QYriJ7APhnrrv1t3gxhqKPelA6CeK/hNtKsCvnLU0TTl3&#10;X7YCFWf1G0NevBzPZmH84mF2Np/QAU8j69OIMJKgcu4567fXvh/ZrUW9qahS776BK/Kv1FFaMLpn&#10;NfCmiYmKh+kOI3l6jll/fvT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gn6sjVAAAACAEAAA8A&#10;AAAAAAAAAQAgAAAAIgAAAGRycy9kb3ducmV2LnhtbFBLAQIUABQAAAAIAIdO4kCADVD/GgIAABkE&#10;AAAOAAAAAAAAAAEAIAAAACQ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rPr>
        <w:t>若合同双方或一方当事人在收到争议调解或认定机构的书面结果后明确表示不同意，或在 28 天内没有书面确认，任何一方均可按照专用条款约定的下列任一种方式解决争议：</w:t>
      </w:r>
    </w:p>
    <w:p>
      <w:pPr>
        <w:pStyle w:val="22"/>
        <w:widowControl w:val="0"/>
        <w:numPr>
          <w:ilvl w:val="1"/>
          <w:numId w:val="1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向约定的仲裁委员会申请仲裁；</w:t>
      </w:r>
    </w:p>
    <w:p>
      <w:pPr>
        <w:pStyle w:val="22"/>
        <w:widowControl w:val="0"/>
        <w:numPr>
          <w:ilvl w:val="1"/>
          <w:numId w:val="1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向有管辖权的人民法院提起诉讼。</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91</w:t>
      </w:r>
      <w:r>
        <w:rPr>
          <w:rFonts w:ascii="仿宋" w:hAnsi="仿宋" w:eastAsia="仿宋" w:cs="仿宋"/>
          <w:b/>
          <w:bCs/>
          <w:color w:val="auto"/>
          <w:sz w:val="24"/>
          <w:szCs w:val="24"/>
          <w:highlight w:val="none"/>
        </w:rPr>
        <w:t xml:space="preserve">.7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37" name="文本框 1078"/>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026" o:spt="202" type="#_x0000_t202" style="position:absolute;left:0pt;margin-left:-9pt;margin-top:1.25pt;height:36.25pt;width:72pt;z-index:252053504;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FNSyfRkCAAAYBAAADgAAAGRycy9lMm9Eb2MueG1srVNLbtsw&#10;EN0X6B0I7mvJjhOnguUgjZGiQPoB0h6ApiiLqMhhh7Sl9ADNDbrqpvuey+fokHJcN91k0Y1AcoZv&#10;3nt8ml/0pmVbhV6DLfl4lHOmrIRK23XJP328fnHOmQ/CVqIFq0p+pzy/WDx/Nu9coSbQQFspZARi&#10;fdG5kjchuCLLvGyUEX4ETlkq1oBGBNriOqtQdIRu2myS52dZB1g5BKm8p9PlUOR7RHwKINS1lmoJ&#10;cmOUDQMqqlYEkuQb7TxfJLZ1rWR4X9deBdaWnJSG9KUhtF7Fb7aYi2KNwjVa7imIp1B4pMkIbWno&#10;AWopgmAb1P9AGS0RPNRhJMFkg5DkCKkY54+8uW2EU0kLWe3dwXT//2Dlu+0HZLoq+cmMMysMvfju&#10;+/3ux6/dz29snM/Oo0Wd8wV13jrqDf0r6Ck4Sa53NyA/e2bhqhF2rS4RoWuUqIjiON7Mjq4OOD6C&#10;rLq3UNEosQmQgPoaTfSPHGGETs9zd3ge1Qcm6fDleDrNqSKpND3LT2anaYIoHi479OG1AsPiouRI&#10;r5/AxfbGh0hGFA8tcZaFa922KQGt/euAGuNJIh/5DsxDv+r3ZqyguiMZCEOg6HeiRQP4lbOOwlRy&#10;/2UjUHHWvrFkRWJO6Uub6elsQirwuLI6rggrCarkgbNheRWGxG4c6nVDkwbzLVySfbVO0qLPA6s9&#10;bwpMUrwPd0zk8T51/fmh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uoOVNUAAAAIAQAADwAA&#10;AAAAAAABACAAAAAiAAAAZHJzL2Rvd25yZXYueG1sUEsBAhQAFAAAAAgAh07iQBTUsn0ZAgAAG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rPr>
        <w:t>争议期间，除下列情况停止施工外，合同双方当事人都应继续履行合同，保持工程连续施工，保护好已完工程：</w:t>
      </w:r>
    </w:p>
    <w:p>
      <w:pPr>
        <w:pStyle w:val="22"/>
        <w:widowControl w:val="0"/>
        <w:numPr>
          <w:ilvl w:val="1"/>
          <w:numId w:val="15"/>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合同双方当事人协商同意；</w:t>
      </w:r>
    </w:p>
    <w:p>
      <w:pPr>
        <w:pStyle w:val="22"/>
        <w:widowControl w:val="0"/>
        <w:numPr>
          <w:ilvl w:val="1"/>
          <w:numId w:val="15"/>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合同一方当事人违约导致合同无法履行；</w:t>
      </w:r>
    </w:p>
    <w:p>
      <w:pPr>
        <w:pStyle w:val="22"/>
        <w:widowControl w:val="0"/>
        <w:numPr>
          <w:ilvl w:val="1"/>
          <w:numId w:val="15"/>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工程造价</w:t>
      </w:r>
      <w:r>
        <w:rPr>
          <w:rFonts w:hint="eastAsia" w:ascii="仿宋" w:hAnsi="仿宋" w:eastAsia="仿宋" w:cs="仿宋"/>
          <w:color w:val="auto"/>
          <w:sz w:val="24"/>
          <w:szCs w:val="24"/>
          <w:highlight w:val="none"/>
          <w:lang w:val="en-US"/>
        </w:rPr>
        <w:t>调解</w:t>
      </w:r>
      <w:r>
        <w:rPr>
          <w:rFonts w:hint="eastAsia" w:ascii="仿宋" w:hAnsi="仿宋" w:eastAsia="仿宋" w:cs="仿宋"/>
          <w:color w:val="auto"/>
          <w:sz w:val="24"/>
          <w:szCs w:val="24"/>
          <w:highlight w:val="none"/>
        </w:rPr>
        <w:t>机构调解需要，且合同双方当事人同意；</w:t>
      </w:r>
    </w:p>
    <w:p>
      <w:pPr>
        <w:pStyle w:val="22"/>
        <w:widowControl w:val="0"/>
        <w:numPr>
          <w:ilvl w:val="1"/>
          <w:numId w:val="15"/>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仲裁委员会仲裁需要，且合同双方当事人同意：</w:t>
      </w:r>
    </w:p>
    <w:p>
      <w:pPr>
        <w:pStyle w:val="22"/>
        <w:widowControl w:val="0"/>
        <w:numPr>
          <w:ilvl w:val="1"/>
          <w:numId w:val="15"/>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人民法院诉讼需要。</w:t>
      </w:r>
    </w:p>
    <w:p>
      <w:pPr>
        <w:pStyle w:val="22"/>
        <w:tabs>
          <w:tab w:val="left" w:pos="162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03" w:name="_Toc47694369"/>
      <w:bookmarkStart w:id="604" w:name="_Toc18331"/>
      <w:bookmarkStart w:id="605" w:name="_Toc469384071"/>
      <w:bookmarkStart w:id="606" w:name="_Toc8198"/>
      <w:r>
        <w:rPr>
          <w:rFonts w:hint="eastAsia" w:ascii="仿宋" w:hAnsi="仿宋" w:eastAsia="仿宋" w:cs="仿宋"/>
          <w:bCs w:val="0"/>
          <w:color w:val="auto"/>
          <w:sz w:val="24"/>
          <w:szCs w:val="24"/>
          <w:highlight w:val="none"/>
        </w:rPr>
        <w:t>92</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合同解除</w:t>
      </w:r>
      <w:bookmarkEnd w:id="603"/>
      <w:bookmarkEnd w:id="604"/>
      <w:bookmarkEnd w:id="605"/>
      <w:bookmarkEnd w:id="606"/>
    </w:p>
    <w:p>
      <w:pPr>
        <w:rPr>
          <w:rFonts w:ascii="仿宋" w:hAnsi="仿宋" w:eastAsia="仿宋" w:cs="仿宋"/>
          <w:b/>
          <w:bCs/>
          <w:color w:val="auto"/>
          <w:highlight w:val="none"/>
          <w:lang w:eastAsia="zh-CN"/>
        </w:rPr>
      </w:pPr>
      <w:bookmarkStart w:id="607" w:name="_Toc1616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607"/>
    </w:p>
    <w:p>
      <w:pPr>
        <w:pStyle w:val="22"/>
        <w:adjustRightInd w:val="0"/>
        <w:snapToGrid w:val="0"/>
        <w:spacing w:line="360" w:lineRule="auto"/>
        <w:ind w:left="1850" w:leftChars="771"/>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36" name="文本框 1079"/>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026" o:spt="202" type="#_x0000_t202" style="position:absolute;left:0pt;margin-left:-9pt;margin-top:-0.3pt;height:20.75pt;width:81pt;z-index:252054528;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Bh+GNWGwIAABkEAAAOAAAAZHJzL2Uyb0RvYy54bWytU0tu2zAQ&#10;3RfoHQjua8mK7SSC5SCNkaJA+gHSHoCmKIuoxGGHtCX3AO0Nuuqm+57L5+iQclw33WTRjUByhm/e&#10;e3yaX/Vtw7YKnQZT8PEo5UwZCaU264J//HD74oIz54UpRQNGFXynHL9aPH8272yuMqihKRUyAjEu&#10;72zBa+9tniRO1qoVbgRWGSpWgK3wtMV1UqLoCL1tkixNZ0kHWFoEqZyj0+VQ5AdEfAogVJWWagly&#10;0yrjB1RUjfAkydXaOr6IbKtKSf+uqpzyrCk4KfXxS0NovQrfZDEX+RqFrbU8UBBPofBIUyu0oaFH&#10;qKXwgm1Q/wPVaongoPIjCW0yCImOkIpx+sib+1pYFbWQ1c4eTXf/D1a+3b5HpsuCn804M6KlF99/&#10;/7b/8Wv/8ysbp+eXwaLOupw67y31+v4l9BScKNfZO5CfHDNwUwuzVteI0NVKlERxHG4mJ1cHHBdA&#10;Vt0bKGmU2HiIQH2FbfCPHGGETs+zOz6P6j2TYWSaXZynVJJUy2Zn02waR4j84bZF518paFlYFBzp&#10;+SO62N45H9iI/KElDDNwq5smRqAxfx1QYziJ7APhgbrvV/3BjRWUO9KBMCSK/ida1IBfOOsoTQV3&#10;nzcCFWfNa0NeXI4nkxC/uJlMzzPa4GlldVoRRhJUwT1nw/LGD5HdWNTrmiYN7hu4Jv8qHaUFowdW&#10;B96UmKj4kO4QydN97PrzR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rsm6bUAAAACAEAAA8A&#10;AAAAAAAAAQAgAAAAIgAAAGRycy9kb3ducmV2LnhtbFBLAQIUABQAAAAIAIdO4kBh+GNWGwIAABkE&#10;AAAOAAAAAAAAAAEAIAAAACM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color w:val="auto"/>
          <w:sz w:val="24"/>
          <w:szCs w:val="24"/>
          <w:highlight w:val="none"/>
        </w:rPr>
        <w:t>合同双方当事人协商一致，可以解除合同。</w:t>
      </w:r>
    </w:p>
    <w:p>
      <w:pPr>
        <w:pStyle w:val="22"/>
        <w:tabs>
          <w:tab w:val="left" w:pos="1320"/>
        </w:tabs>
        <w:adjustRightInd w:val="0"/>
        <w:snapToGrid w:val="0"/>
        <w:spacing w:line="360" w:lineRule="auto"/>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95488" behindDoc="0" locked="0" layoutInCell="1" allowOverlap="1">
                <wp:simplePos x="0" y="0"/>
                <wp:positionH relativeFrom="column">
                  <wp:posOffset>-70485</wp:posOffset>
                </wp:positionH>
                <wp:positionV relativeFrom="paragraph">
                  <wp:posOffset>217170</wp:posOffset>
                </wp:positionV>
                <wp:extent cx="914400" cy="495300"/>
                <wp:effectExtent l="0" t="0" r="0" b="0"/>
                <wp:wrapNone/>
                <wp:docPr id="35" name="文本框 1080"/>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026" o:spt="202" type="#_x0000_t202" style="position:absolute;left:0pt;margin-left:-5.55pt;margin-top:17.1pt;height:39pt;width:72pt;z-index:252095488;mso-width-relative:page;mso-height-relative:page;" filled="f" stroked="f" coordsize="21600,21600" o:gfxdata="UEsDBAoAAAAAAIdO4kAAAAAAAAAAAAAAAAAEAAAAZHJzL1BLAwQUAAAACACHTuJAfGYSh9cAAAAK&#10;AQAADwAAAGRycy9kb3ducmV2LnhtbE2Py07DMBBF90j8gzVI7Fo/WhANcboAsQVRHhI7N54mEfE4&#10;it0m/D3TFexmNEd3zi23c+jFCcfURbKglwoEUh19R42F97enxR2IlB1510dCCz+YYFtdXpSu8HGi&#10;VzztciM4hFLhLLQ5D4WUqW4xuLSMAxLfDnEMLvM6NtKPbuLw0Euj1K0MriP+0LoBH1qsv3fHYOHj&#10;+fD1uVYvzWO4GaY4K0lhI629vtLqHkTGOf/BcNZndajYaR+P5JPoLSy01oxaWK0NiDOwMhsQex60&#10;MSCrUv6vUP0CUEsDBBQAAAAIAIdO4kA6r44FFwIAABgEAAAOAAAAZHJzL2Uyb0RvYy54bWytU0tu&#10;2zAQ3RfoHQjua8mO3SaC5SCNkaJA+gHSHoCmKIuoyGGHtKX0AM0Nuuqm+57L5+iQchw33WTRjTDk&#10;jN6892Y4P+9Ny7YKvQZb8vEo50xZCZW265J//nT14pQzH4StRAtWlfxWeX6+eP5s3rlCTaCBtlLI&#10;CMT6onMlb0JwRZZ52Sgj/AicspSsAY0IdMR1VqHoCN202STPX2YdYOUQpPKebpdDku8R8SmAUNda&#10;qiXIjVE2DKioWhFIkm+083yR2Na1kuFDXXsVWFtyUhrSl5pQvIrfbDEXxRqFa7TcUxBPofBIkxHa&#10;UtMD1FIEwTao/4EyWiJ4qMNIgskGIckRUjHOH3lz0winkhay2ruD6f7/wcr324/IdFXykxlnVhia&#10;+O7H3e7n792v72ycnyaLOucLqrxxVBv619DT4iS53l2D/OKZhctG2LW6QISuUaIiiuNobnb0axyK&#10;L3wEWXXvoKJWYhMgAfU1mugfOcIIncZzexiP6gOTdHk2nk5zykhKTc9mJxTHDqK4/9mhD28UGBaD&#10;kiNNP4GL7bUPQ+l9Sexl4Uq3bdqA1v51QZjxJpGPfAfmoV/1VB1FrKC6JRkIw0LRc6KgAfzGWUfL&#10;VHL/dSNQcda+tWRFYk7blw7T2asJqcDjzOo4I6wkqJIHzobwMgwbu3Go1w11Gsy3cEH21TpJe2C1&#10;500Lk8zZL3fcyONzqnp40I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GYSh9cAAAAKAQAADwAA&#10;AAAAAAABACAAAAAiAAAAZHJzL2Rvd25yZXYueG1sUEsBAhQAFAAAAAgAh07iQDqvjgUXAgAAGA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rPr>
        <w:t>92</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因单次不可抗力导致合同无法履行连续超过84天或累计超过140天的，合同双方当事人</w:t>
      </w:r>
      <w:r>
        <w:rPr>
          <w:rFonts w:hint="eastAsia" w:ascii="仿宋" w:hAnsi="仿宋" w:eastAsia="仿宋" w:cs="仿宋"/>
          <w:color w:val="auto"/>
          <w:sz w:val="24"/>
          <w:szCs w:val="24"/>
          <w:highlight w:val="none"/>
          <w:lang w:val="en-US"/>
        </w:rPr>
        <w:t>有权</w:t>
      </w:r>
      <w:r>
        <w:rPr>
          <w:rFonts w:hint="eastAsia" w:ascii="仿宋" w:hAnsi="仿宋" w:eastAsia="仿宋" w:cs="仿宋"/>
          <w:color w:val="auto"/>
          <w:sz w:val="24"/>
          <w:szCs w:val="24"/>
          <w:highlight w:val="none"/>
        </w:rPr>
        <w:t>解除合同。</w:t>
      </w:r>
    </w:p>
    <w:p>
      <w:pPr>
        <w:widowControl w:val="0"/>
        <w:spacing w:line="360" w:lineRule="auto"/>
        <w:rPr>
          <w:rFonts w:ascii="仿宋" w:hAnsi="仿宋" w:eastAsia="仿宋"/>
          <w:color w:val="auto"/>
          <w:highlight w:val="none"/>
          <w:lang w:eastAsia="zh-CN"/>
        </w:rPr>
      </w:pPr>
      <w:bookmarkStart w:id="608"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60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22"/>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34" name="文本框 1081"/>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026" o:spt="202" type="#_x0000_t202" style="position:absolute;left:0pt;margin-left:-9pt;margin-top:2.95pt;height:31.85pt;width:72pt;z-index:252055552;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WxJLuBcCAAAYBAAADgAAAGRycy9lMm9Eb2MueG1srVNLbtsw&#10;EN0X6B0I7mvJrtImguUgjZGiQPoB0h6ApiiLqMRhh7Sl9ADNDbrqpvuey+fokHRcN91k0Y1AcoZv&#10;3nt8mp+Pfce2Cp0GU/HpJOdMGQm1NuuKf/p49eyUM+eFqUUHRlX8Vjl+vnj6ZD7YUs2gha5WyAjE&#10;uHKwFW+9t2WWOdmqXrgJWGWo2AD2wtMW11mNYiD0vstmef4iGwBriyCVc3S6TEW+R8THAELTaKmW&#10;IDe9Mj6houqEJ0mu1dbxRWTbNEr6903jlGddxUmpj18aQutV+GaLuSjXKGyr5Z6CeAyFB5p6oQ0N&#10;PUAthRdsg/ofqF5LBAeNn0josyQkOkIqpvkDb25aYVXUQlY7ezDd/T9Y+W77AZmuK/684MyInl58&#10;9/1u9+PX7uc3Ns1Pp8GiwbqSOm8s9frxFYwUnCjX2WuQnx0zcNkKs1YXiDC0StREMd7Mjq4mHBdA&#10;VsNbqGmU2HiIQGODffCPHGGETs9ze3geNXom6fBsWhQ5VSSVirwozk4Ct0yU95ctOv9aQc/CouJI&#10;rx/Bxfba+dR63xJmGbjSXRcT0Jm/DggznETygW9i7sfVuDdjBfUtyUBIgaLfiRYt4FfOBgpTxd2X&#10;jUDFWffGkBWROaUvboqTlzNSgceV1XFFGElQFfecpeWlT4ndWNTrliYl8w1ckH2NjtKCz4nVnjcF&#10;JpqzD3dI5PE+dv35oR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rf/PnVAAAACAEAAA8AAAAA&#10;AAAAAQAgAAAAIgAAAGRycy9kb3ducmV2LnhtbFBLAQIUABQAAAAIAIdO4kBbEku4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rPr>
        <w:t>承包人有下列情形之一</w:t>
      </w:r>
      <w:r>
        <w:rPr>
          <w:rFonts w:hint="eastAsia" w:ascii="仿宋" w:hAnsi="仿宋" w:eastAsia="仿宋" w:cs="仿宋"/>
          <w:color w:val="auto"/>
          <w:sz w:val="24"/>
          <w:szCs w:val="24"/>
          <w:highlight w:val="none"/>
          <w:lang w:val="en-US"/>
        </w:rPr>
        <w:t>的</w:t>
      </w:r>
      <w:r>
        <w:rPr>
          <w:rFonts w:hint="eastAsia" w:ascii="仿宋" w:hAnsi="仿宋" w:eastAsia="仿宋" w:cs="仿宋"/>
          <w:color w:val="auto"/>
          <w:sz w:val="24"/>
          <w:szCs w:val="24"/>
          <w:highlight w:val="none"/>
        </w:rPr>
        <w:t>，发包人可以解除合同：</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承包人未能按照第 41.2 款约定的开工期限内开展勘察（如果有）、设计、BIM 技术应用、设备及工器具购置（如果有）和施工等阶段的总承包范围内工作，经设计顾问人或监理人催告后的 28 天内仍未开工的；</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按照第40条规定的进度计划未表明有停工且监理人也未按照第42</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发出暂停施工令，但承包人停止施工时间持续达</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天或累计停止施工时间达</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天的；</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承包人违反第21</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款或第58</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未经监理人批准，</w:t>
      </w:r>
      <w:r>
        <w:rPr>
          <w:rFonts w:hint="eastAsia" w:ascii="仿宋" w:hAnsi="仿宋" w:eastAsia="仿宋" w:cs="仿宋"/>
          <w:color w:val="auto"/>
          <w:sz w:val="24"/>
          <w:szCs w:val="24"/>
          <w:highlight w:val="none"/>
          <w:lang w:val="en-US"/>
        </w:rPr>
        <w:t>擅自</w:t>
      </w:r>
      <w:r>
        <w:rPr>
          <w:rFonts w:hint="eastAsia" w:ascii="仿宋" w:hAnsi="仿宋" w:eastAsia="仿宋" w:cs="仿宋"/>
          <w:color w:val="auto"/>
          <w:sz w:val="24"/>
          <w:szCs w:val="24"/>
          <w:highlight w:val="none"/>
        </w:rPr>
        <w:t>将已按照合同约定进入施工现场的施工设备、临时设施、</w:t>
      </w:r>
      <w:r>
        <w:rPr>
          <w:rFonts w:hint="eastAsia" w:ascii="仿宋" w:hAnsi="仿宋" w:eastAsia="仿宋" w:cs="仿宋"/>
          <w:color w:val="auto"/>
          <w:sz w:val="24"/>
          <w:szCs w:val="24"/>
          <w:highlight w:val="none"/>
          <w:lang w:val="en-US"/>
        </w:rPr>
        <w:t>工程</w:t>
      </w:r>
      <w:r>
        <w:rPr>
          <w:rFonts w:hint="eastAsia" w:ascii="仿宋" w:hAnsi="仿宋" w:eastAsia="仿宋" w:cs="仿宋"/>
          <w:color w:val="auto"/>
          <w:sz w:val="24"/>
          <w:szCs w:val="24"/>
          <w:highlight w:val="none"/>
        </w:rPr>
        <w:t>材料、</w:t>
      </w:r>
      <w:r>
        <w:rPr>
          <w:rFonts w:hint="eastAsia" w:ascii="仿宋" w:hAnsi="仿宋" w:eastAsia="仿宋" w:cs="仿宋"/>
          <w:color w:val="auto"/>
          <w:sz w:val="24"/>
          <w:szCs w:val="24"/>
          <w:highlight w:val="none"/>
          <w:lang w:val="en-US"/>
        </w:rPr>
        <w:t>工程设备</w:t>
      </w:r>
      <w:r>
        <w:rPr>
          <w:rFonts w:hint="eastAsia" w:ascii="仿宋" w:hAnsi="仿宋" w:eastAsia="仿宋" w:cs="仿宋"/>
          <w:color w:val="auto"/>
          <w:sz w:val="24"/>
          <w:szCs w:val="24"/>
          <w:highlight w:val="none"/>
        </w:rPr>
        <w:t>运出施工现场的；</w:t>
      </w:r>
    </w:p>
    <w:p>
      <w:pPr>
        <w:pStyle w:val="22"/>
        <w:widowControl w:val="0"/>
        <w:numPr>
          <w:ilvl w:val="0"/>
          <w:numId w:val="16"/>
        </w:numPr>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承包人拖延完工且能偿付的误期赔偿费已达到专用条款约定最高限额的；</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承包人转包工程、违法分包或未经发包人同意擅自分包工程的；</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承包人人未按照合同约定或设计顾问人、监理人的指令，经监理人、设计顾问人书面指出后仍未按要求改正的；</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承包人履行合同期间有欺诈行为的；</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承包人向任何人给付或企图给付任何贿赂、礼品、赏金、回扣或其他贵重物品，以引诱或报偿他人，但给付承包人雇员的奖励则属例外；</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承包人在缺陷责任期内未能对发生的缺陷进行修复，且又拒绝按照监理人指令再进行修补的；</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承包人明确表示或以行为表明不履行合同约定主要义务的；</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承包人延迟履行合同约定主要义务，经催告后在合理期限内仍未履行的；</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承包人破产或清</w:t>
      </w:r>
      <w:r>
        <w:rPr>
          <w:rFonts w:hint="eastAsia" w:ascii="仿宋" w:hAnsi="仿宋" w:eastAsia="仿宋" w:cs="仿宋"/>
          <w:color w:val="auto"/>
          <w:sz w:val="24"/>
          <w:szCs w:val="24"/>
          <w:highlight w:val="none"/>
          <w:lang w:val="en-US"/>
        </w:rPr>
        <w:t>算</w:t>
      </w:r>
      <w:r>
        <w:rPr>
          <w:rFonts w:hint="eastAsia" w:ascii="仿宋" w:hAnsi="仿宋" w:eastAsia="仿宋" w:cs="仿宋"/>
          <w:color w:val="auto"/>
          <w:sz w:val="24"/>
          <w:szCs w:val="24"/>
          <w:highlight w:val="none"/>
        </w:rPr>
        <w:t>的，但以机构重组或联合为目的的除外；</w:t>
      </w:r>
    </w:p>
    <w:p>
      <w:pPr>
        <w:pStyle w:val="22"/>
        <w:widowControl w:val="0"/>
        <w:numPr>
          <w:ilvl w:val="0"/>
          <w:numId w:val="16"/>
        </w:numPr>
        <w:adjustRightInd w:val="0"/>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承包人被认为</w:t>
      </w:r>
      <w:r>
        <w:rPr>
          <w:rFonts w:hint="eastAsia" w:ascii="仿宋" w:hAnsi="仿宋" w:eastAsia="仿宋" w:cs="仿宋"/>
          <w:color w:val="auto"/>
          <w:sz w:val="24"/>
          <w:szCs w:val="24"/>
          <w:highlight w:val="none"/>
          <w:lang w:val="en-US"/>
        </w:rPr>
        <w:t>有</w:t>
      </w:r>
      <w:r>
        <w:rPr>
          <w:rFonts w:hint="eastAsia" w:ascii="仿宋" w:hAnsi="仿宋" w:eastAsia="仿宋" w:cs="仿宋"/>
          <w:color w:val="auto"/>
          <w:sz w:val="24"/>
          <w:szCs w:val="24"/>
          <w:highlight w:val="none"/>
        </w:rPr>
        <w:t>严重违反合同的其他违约行为；</w:t>
      </w:r>
    </w:p>
    <w:p>
      <w:pPr>
        <w:pStyle w:val="22"/>
        <w:widowControl w:val="0"/>
        <w:numPr>
          <w:ilvl w:val="0"/>
          <w:numId w:val="16"/>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olor w:val="auto"/>
          <w:sz w:val="24"/>
          <w:szCs w:val="24"/>
          <w:highlight w:val="none"/>
        </w:rPr>
        <w:t>承包人不配合发包人对本合同工程进行检查。</w:t>
      </w:r>
    </w:p>
    <w:p>
      <w:pPr>
        <w:pStyle w:val="22"/>
        <w:widowControl w:val="0"/>
        <w:adjustRightInd w:val="0"/>
        <w:snapToGrid w:val="0"/>
        <w:spacing w:line="360" w:lineRule="auto"/>
        <w:ind w:left="1850" w:leftChars="771"/>
        <w:jc w:val="both"/>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在这种情况下，发包人可自行或委托第三方实施、完成合同工程或其任何部分，并可使用根据第 21.2 款留下的承包人临时工程，直至永久工程完工为止。</w:t>
      </w:r>
    </w:p>
    <w:p>
      <w:pPr>
        <w:widowControl w:val="0"/>
        <w:spacing w:line="360" w:lineRule="auto"/>
        <w:rPr>
          <w:rFonts w:ascii="仿宋" w:hAnsi="仿宋" w:eastAsia="仿宋"/>
          <w:b/>
          <w:bCs/>
          <w:color w:val="auto"/>
          <w:highlight w:val="none"/>
          <w:lang w:eastAsia="zh-CN"/>
        </w:rPr>
      </w:pPr>
      <w:bookmarkStart w:id="609"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6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33" name="文本框 1082"/>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026" o:spt="202" type="#_x0000_t202" style="position:absolute;left:0pt;margin-left:-9pt;margin-top:2.35pt;height:39.65pt;width:72pt;z-index:252056576;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HYQVaBgCAAAYBAAADgAAAGRycy9lMm9Eb2MueG1srVPLjtMw&#10;FN0j8Q+W9zTpC4ao6WiYahDS8JAGPsB1nMYi9jXXbpPhA5g/YMWGPd/V7+Da6ZQybGbBJrJ9r889&#10;5/hkcd6blu0Ueg225ONRzpmyEiptNyX/9PHq2RlnPghbiRasKvmt8vx8+fTJonOFmkADbaWQEYj1&#10;RedK3oTgiizzslFG+BE4ZalYAxoRaIubrELREbpps0meP886wMohSOU9na6GIj8g4mMAoa61VCuQ&#10;W6NsGFBRtSKQJN9o5/kysa1rJcP7uvYqsLbkpDSkLw2h9Tp+s+VCFBsUrtHyQEE8hsIDTUZoS0OP&#10;UCsRBNui/gfKaIngoQ4jCSYbhCRHSMU4f+DNTSOcSlrIau+Opvv/Byvf7T4g01XJp1POrDD04vvv&#10;d/sfv/Y/v7FxfjaJFnXOF9R546g39K+gp+Akud5dg/zsmYXLRtiNukCErlGiIorjeDM7uTrg+Aiy&#10;7t5CRaPENkAC6ms00T9yhBE6Pc/t8XlUH5ikw5fj2SyniqTSPJ/O5/M0QRT3lx368FqBYXFRcqTX&#10;T+Bid+1DJCOK+5Y4y8KVbtuUgNb+dUCN8SSRj3wH5qFf9wcz1lDdkgyEIVD0O9GiAfzKWUdhKrn/&#10;shWoOGvfWLIiMaf0pc1s/mJCKvC0sj6tCCsJquSBs2F5GYbEbh3qTUOTBvMtXJB9tU7Sos8DqwNv&#10;CkxSfAh3TOTpPnX9+a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jy441QAAAAgBAAAPAAAA&#10;AAAAAAEAIAAAACIAAABkcnMvZG93bnJldi54bWxQSwECFAAUAAAACACHTuJAHYQVaB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rPr>
        <w:t>发包人有下列情形之一</w:t>
      </w:r>
      <w:r>
        <w:rPr>
          <w:rFonts w:hint="eastAsia" w:ascii="仿宋" w:hAnsi="仿宋" w:eastAsia="仿宋" w:cs="仿宋"/>
          <w:color w:val="auto"/>
          <w:sz w:val="24"/>
          <w:szCs w:val="24"/>
          <w:highlight w:val="none"/>
          <w:lang w:val="en-US"/>
        </w:rPr>
        <w:t>的</w:t>
      </w:r>
      <w:r>
        <w:rPr>
          <w:rFonts w:hint="eastAsia" w:ascii="仿宋" w:hAnsi="仿宋" w:eastAsia="仿宋" w:cs="仿宋"/>
          <w:color w:val="auto"/>
          <w:sz w:val="24"/>
          <w:szCs w:val="24"/>
          <w:highlight w:val="none"/>
        </w:rPr>
        <w:t>，承包人可以解除合同：</w:t>
      </w:r>
    </w:p>
    <w:p>
      <w:pPr>
        <w:pStyle w:val="22"/>
        <w:widowControl w:val="0"/>
        <w:numPr>
          <w:ilvl w:val="0"/>
          <w:numId w:val="17"/>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非承包人原因未按照第 41.2 款约定期限内发出开工令，经承包人催告后 28天内仍未发出开工令的；</w:t>
      </w:r>
    </w:p>
    <w:p>
      <w:pPr>
        <w:pStyle w:val="22"/>
        <w:widowControl w:val="0"/>
        <w:numPr>
          <w:ilvl w:val="0"/>
          <w:numId w:val="17"/>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按照第 42.3 款约定非承包人原因造成暂停施工持续 56 天以上或累计停工时间超过了 70 天的；</w:t>
      </w:r>
    </w:p>
    <w:p>
      <w:pPr>
        <w:pStyle w:val="22"/>
        <w:widowControl w:val="0"/>
        <w:numPr>
          <w:ilvl w:val="0"/>
          <w:numId w:val="17"/>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发包人按照第 55 条约定供应的工程材料和工程设备不符合强制性标准，致使承包人无法施工，经承包人催告后 28 天内仍未更换的；</w:t>
      </w:r>
    </w:p>
    <w:p>
      <w:pPr>
        <w:pStyle w:val="22"/>
        <w:widowControl w:val="0"/>
        <w:numPr>
          <w:ilvl w:val="0"/>
          <w:numId w:val="17"/>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设计顾问人或监理人未按照合同约定及时发出工作指令，导致承包人无法继续工作或施工的；</w:t>
      </w:r>
      <w:r>
        <w:rPr>
          <w:rFonts w:ascii="仿宋" w:hAnsi="仿宋" w:eastAsia="仿宋" w:cs="仿宋"/>
          <w:color w:val="auto"/>
          <w:sz w:val="24"/>
          <w:szCs w:val="24"/>
          <w:highlight w:val="none"/>
        </w:rPr>
        <w:t xml:space="preserve"> </w:t>
      </w:r>
    </w:p>
    <w:p>
      <w:pPr>
        <w:pStyle w:val="22"/>
        <w:widowControl w:val="0"/>
        <w:numPr>
          <w:ilvl w:val="0"/>
          <w:numId w:val="17"/>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发包人未按照第83</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向承包人支付工程款，经承包人催告后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天内仍未支付的；</w:t>
      </w:r>
    </w:p>
    <w:p>
      <w:pPr>
        <w:pStyle w:val="22"/>
        <w:widowControl w:val="0"/>
        <w:numPr>
          <w:ilvl w:val="0"/>
          <w:numId w:val="17"/>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发包人无法继续履行、明确表示或以行为表明不履行合同约定主要义务的；</w:t>
      </w:r>
    </w:p>
    <w:p>
      <w:pPr>
        <w:pStyle w:val="22"/>
        <w:widowControl w:val="0"/>
        <w:numPr>
          <w:ilvl w:val="0"/>
          <w:numId w:val="17"/>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发包人延迟履行合同约定主要义务，经书面催告后在合理期限内仍未履行的；</w:t>
      </w:r>
    </w:p>
    <w:p>
      <w:pPr>
        <w:pStyle w:val="22"/>
        <w:widowControl w:val="0"/>
        <w:numPr>
          <w:ilvl w:val="0"/>
          <w:numId w:val="17"/>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发包人破产或清</w:t>
      </w:r>
      <w:r>
        <w:rPr>
          <w:rFonts w:hint="eastAsia" w:ascii="仿宋" w:hAnsi="仿宋" w:eastAsia="仿宋" w:cs="仿宋"/>
          <w:color w:val="auto"/>
          <w:sz w:val="24"/>
          <w:szCs w:val="24"/>
          <w:highlight w:val="none"/>
          <w:lang w:val="en-US"/>
        </w:rPr>
        <w:t>算</w:t>
      </w:r>
      <w:r>
        <w:rPr>
          <w:rFonts w:hint="eastAsia" w:ascii="仿宋" w:hAnsi="仿宋" w:eastAsia="仿宋" w:cs="仿宋"/>
          <w:color w:val="auto"/>
          <w:sz w:val="24"/>
          <w:szCs w:val="24"/>
          <w:highlight w:val="none"/>
        </w:rPr>
        <w:t>的，但以机构重组或联合为目的的除外；</w:t>
      </w:r>
    </w:p>
    <w:p>
      <w:pPr>
        <w:pStyle w:val="22"/>
        <w:widowControl w:val="0"/>
        <w:numPr>
          <w:ilvl w:val="0"/>
          <w:numId w:val="17"/>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发包人被认为</w:t>
      </w:r>
      <w:r>
        <w:rPr>
          <w:rFonts w:hint="eastAsia" w:ascii="仿宋" w:hAnsi="仿宋" w:eastAsia="仿宋" w:cs="仿宋"/>
          <w:color w:val="auto"/>
          <w:sz w:val="24"/>
          <w:szCs w:val="24"/>
          <w:highlight w:val="none"/>
          <w:lang w:val="en-US"/>
        </w:rPr>
        <w:t>有</w:t>
      </w:r>
      <w:r>
        <w:rPr>
          <w:rFonts w:hint="eastAsia" w:ascii="仿宋" w:hAnsi="仿宋" w:eastAsia="仿宋" w:cs="仿宋"/>
          <w:color w:val="auto"/>
          <w:sz w:val="24"/>
          <w:szCs w:val="24"/>
          <w:highlight w:val="none"/>
        </w:rPr>
        <w:t>严重违反合同的其他违约行为。</w:t>
      </w:r>
    </w:p>
    <w:p>
      <w:pPr>
        <w:pStyle w:val="22"/>
        <w:tabs>
          <w:tab w:val="left" w:pos="1320"/>
        </w:tabs>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32" name="文本框 108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026" o:spt="202" type="#_x0000_t202" style="position:absolute;left:0pt;margin-left:-9pt;margin-top:15.95pt;height:31.2pt;width:72pt;z-index:252096512;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D9sqwOGAIAABgEAAAOAAAAZHJzL2Uyb0RvYy54bWytU0uO&#10;EzEQ3SNxB8t70p0Pw0wrndEw0SCk4SMNHMBxu9MWbZcpO+kOB4AbsGLDnnPlHJTdmRCGzSzYWLar&#10;/Oq9V+X5ZW9atlXoNdiSj0c5Z8pKqLRdl/zjh5tn55z5IGwlWrCq5Dvl+eXi6ZN55wo1gQbaSiEj&#10;EOuLzpW8CcEVWeZlo4zwI3DKUrAGNCLQEddZhaIjdNNmkzw/yzrAyiFI5T3dLocgPyDiYwChrrVU&#10;S5Abo2wYUFG1IpAk32jn+SKxrWslw7u69iqwtuSkNKSVitB+FddsMRfFGoVrtDxQEI+h8ECTEdpS&#10;0SPUUgTBNqj/gTJaIniow0iCyQYhyRFSMc4feHPXCKeSFrLau6Pp/v/Byrfb98h0VfLphDMrDHV8&#10;//3b/sev/c+vbJyfT6NFnfMFZd45yg39S+hpcJJc725BfvLMwnUj7FpdIULXKFERxXF8mZ08HXB8&#10;BFl1b6CiUmITIAH1NZroHznCCJ3aszu2R/WBSbq8GM9mOUUkhaYXZ5NZal8mivvHDn14pcCwuCk5&#10;UvcTuNje+hDJiOI+JdaycKPbNk1Aa/+6oMR4k8hHvgPz0K/6gxkrqHYkA2EYKPpOtGkAv3DW0TCV&#10;3H/eCFScta8tWZGY0/Slw+z5iwmpwNPI6jQirCSokgfOhu11GCZ241CvG6o0mG/hiuyrdZIWfR5Y&#10;HXjTwCTFh+GOE3l6Tll/PvT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ZDW4jXAAAACQEAAA8A&#10;AAAAAAAAAQAgAAAAIgAAAGRycy9kb3ducmV2LnhtbFBLAQIUABQAAAAIAIdO4kD9sqwO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rPr>
        <w:t>92</w:t>
      </w:r>
      <w:r>
        <w:rPr>
          <w:rFonts w:ascii="仿宋" w:hAnsi="仿宋" w:eastAsia="仿宋" w:cs="仿宋"/>
          <w:b/>
          <w:bCs/>
          <w:color w:val="auto"/>
          <w:sz w:val="24"/>
          <w:szCs w:val="24"/>
          <w:highlight w:val="none"/>
        </w:rPr>
        <w:t xml:space="preserve">.5  </w:t>
      </w:r>
      <w:r>
        <w:rPr>
          <w:rFonts w:ascii="仿宋" w:hAnsi="仿宋" w:eastAsia="仿宋" w:cs="仿宋"/>
          <w:b/>
          <w:bCs/>
          <w:color w:val="auto"/>
          <w:sz w:val="24"/>
          <w:szCs w:val="24"/>
          <w:highlight w:val="none"/>
          <w:u w:val="dotted"/>
        </w:rPr>
        <w:t xml:space="preserve">                                                                      </w:t>
      </w:r>
    </w:p>
    <w:p>
      <w:pPr>
        <w:pStyle w:val="2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 92.2 款至第 92.4 款约定要求解除合同的，解除方应以书面形式向另一方当事人发出解除合同的通知，自通知到达对方时合同解除。对解除合同有争议的，应按照第 91 条约定处理。</w:t>
      </w:r>
    </w:p>
    <w:p>
      <w:pPr>
        <w:spacing w:line="360" w:lineRule="auto"/>
        <w:rPr>
          <w:rFonts w:ascii="仿宋" w:hAnsi="仿宋" w:eastAsia="仿宋"/>
          <w:b/>
          <w:bCs/>
          <w:color w:val="auto"/>
          <w:highlight w:val="none"/>
          <w:lang w:eastAsia="zh-CN"/>
        </w:rPr>
      </w:pPr>
      <w:bookmarkStart w:id="610"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6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31" name="文本框 108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026" o:spt="202" type="#_x0000_t202" style="position:absolute;left:0pt;margin-left:-9pt;margin-top:0.55pt;height:46.8pt;width:72pt;z-index:252057600;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CLVYDnGQIAABgEAAAOAAAAZHJzL2Uyb0RvYy54bWytU0tu2zAQ&#10;3RfoHQjua0mOkyaC5SCNkaJA+gHSHoCmKIuoxGGHtCX3AM0Nuuqm+57L5+iQUlw33WTRDUFyhm/e&#10;ezOcX/Ztw7YKnQZT8GyScqaMhFKbdcE/fbx5cc6Z88KUogGjCr5Tjl8unj+bdzZXU6ihKRUyAjEu&#10;72zBa+9tniRO1qoVbgJWGQpWgK3wdMR1UqLoCL1tkmmaniUdYGkRpHKObpdDkI+I+BRAqCot1RLk&#10;plXGD6ioGuFJkqu1dXwR2VaVkv59VTnlWVNwUurjSkVovwprspiLfI3C1lqOFMRTKDzS1AptqOgB&#10;aim8YBvU/0C1WiI4qPxEQpsMQqIjpCJLH3lzVwurohay2tmD6e7/wcp32w/IdFnwk4wzI1rq+P77&#10;/f7Hr/3PbyxLz2fBos66nDLvLOX6/hX0NDhRrrO3ID87ZuC6FmatrhChq5UoiWIWXiZHTwccF0BW&#10;3VsoqZTYeIhAfYVt8I8cYYRO7dkd2qN6zyRdXmSzWUoRSaHTi9nJWWxfIvKHxxadf62gZWFTcKTu&#10;R3CxvXU+kBH5Q0qoZeBGN02cgMb8dUGJ4SaSD3wH5r5f9aMZKyh3JANhGCj6TrSpAb9y1tEwFdx9&#10;2QhUnDVvDFkRmdP0xcPs9OWUVOBxZHUcEUYSVME9Z8P22g8Tu7Go1zVVGsw3cEX2VTpKCz4PrEbe&#10;NDBR8TjcYSKPzzHrz4d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ManK1AAAAAgBAAAPAAAA&#10;AAAAAAEAIAAAACIAAABkcnMvZG93bnJldi54bWxQSwECFAAUAAAACACHTuJAi1WA5xkCAAAY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11" w:name="_Toc47694370"/>
      <w:bookmarkStart w:id="612" w:name="_Toc18764"/>
      <w:bookmarkStart w:id="613" w:name="_Toc26975"/>
      <w:bookmarkStart w:id="614" w:name="_Toc469384072"/>
      <w:r>
        <w:rPr>
          <w:rFonts w:hint="eastAsia" w:ascii="仿宋" w:hAnsi="仿宋" w:eastAsia="仿宋" w:cs="仿宋"/>
          <w:bCs w:val="0"/>
          <w:color w:val="auto"/>
          <w:sz w:val="24"/>
          <w:szCs w:val="24"/>
          <w:highlight w:val="none"/>
        </w:rPr>
        <w:t>93</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合同解除的支付</w:t>
      </w:r>
      <w:bookmarkEnd w:id="611"/>
      <w:bookmarkEnd w:id="612"/>
      <w:bookmarkEnd w:id="613"/>
      <w:bookmarkEnd w:id="614"/>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2097536"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30" name="文本框 1085"/>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026" o:spt="202" type="#_x0000_t202" style="position:absolute;left:0pt;margin-left:-5.25pt;margin-top:14.85pt;height:31.2pt;width:72pt;z-index:252097536;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BgXeSEYAgAAGAQAAA4AAABkcnMvZTJvRG9jLnhtbK1TS27b&#10;MBDdF+gdCO5ryY6TJoLlII2RokD6AdIegKYoi6jIYYe0JfcAzQ266qb7nsvn6JByXDfdZNGNQHKG&#10;b957fJpd9qZlG4Vegy35eJRzpqyESttVyT99vHlxzpkPwlaiBatKvlWeX86fP5t1rlATaKCtFDIC&#10;sb7oXMmbEFyRZV42ygg/AqcsFWtAIwJtcZVVKDpCN202yfOzrAOsHIJU3tPpYijyPSI+BRDqWku1&#10;ALk2yoYBFVUrAknyjXaezxPbulYyvK9rrwJrS05KQ/rSEFov4zebz0SxQuEaLfcUxFMoPNJkhLY0&#10;9AC1EEGwNep/oIyWCB7qMJJgskFIcoRUjPNH3tw1wqmkhaz27mC6/3+w8t3mAzJdlfyELLHC0Ivv&#10;vt/vfvza/fzGxvn5abSoc76gzjtHvaF/BT0FJ8n17hbkZ88sXDfCrtQVInSNEhVRHMeb2dHVAcdH&#10;kGX3FioaJdYBElBfo4n+kSOM0InL9vA8qg9M0uHFeDrNqSKpdHJxNpmm58tE8XDZoQ+vFRgWFyVH&#10;ev0ELja3PkQyonhoibMs3Oi2TQlo7V8H1BhPEvnId2Ae+mW/N2MJ1ZZkIAyBot+JFg3gV846ClPJ&#10;/Ze1QMVZ+8aSFYk5pS9tpqcvJ6QCjyvL44qwkqBKHjgbltdhSOzaoV41NGkw38IV2VfrJC36PLDa&#10;86bAJMX7cMdEHu9T158fe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EZdYAAAAJAQAADwAA&#10;AAAAAAABACAAAAAiAAAAZHJzL2Rvd25yZXYueG1sUEsBAhQAFAAAAAgAh07iQBgXeSE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rPr>
        <w:t>93</w:t>
      </w:r>
      <w:r>
        <w:rPr>
          <w:rFonts w:ascii="仿宋" w:hAnsi="仿宋" w:eastAsia="仿宋" w:cs="仿宋"/>
          <w:b/>
          <w:bCs/>
          <w:color w:val="auto"/>
          <w:sz w:val="24"/>
          <w:szCs w:val="24"/>
          <w:highlight w:val="none"/>
        </w:rPr>
        <w:t>.1</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根据第92</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val="en-US"/>
        </w:rPr>
        <w:t>约定</w:t>
      </w:r>
      <w:r>
        <w:rPr>
          <w:rFonts w:hint="eastAsia" w:ascii="仿宋" w:hAnsi="仿宋" w:eastAsia="仿宋" w:cs="仿宋"/>
          <w:color w:val="auto"/>
          <w:sz w:val="24"/>
          <w:szCs w:val="24"/>
          <w:highlight w:val="none"/>
        </w:rPr>
        <w:t>解除合同的，按照达成的协议办理结算和支付工程款。</w:t>
      </w:r>
    </w:p>
    <w:p>
      <w:pPr>
        <w:spacing w:line="360" w:lineRule="auto"/>
        <w:rPr>
          <w:rFonts w:ascii="仿宋" w:hAnsi="仿宋" w:eastAsia="仿宋"/>
          <w:b/>
          <w:bCs/>
          <w:color w:val="auto"/>
          <w:highlight w:val="none"/>
          <w:lang w:eastAsia="zh-CN"/>
        </w:rPr>
      </w:pPr>
      <w:bookmarkStart w:id="615"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6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29"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026" o:spt="202" type="#_x0000_t202" style="position:absolute;left:0pt;margin-left:-9pt;margin-top:1.25pt;height:54.6pt;width:72pt;z-index:25205862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CkEHL0YAgAAGAQAAA4AAABkcnMvZTJvRG9jLnhtbK1TzW4T&#10;MRC+I/EOlu9kNyGEZpVNVRoVIZUfqfAAjtebtVh7zNjJbnkA+gacuHDnufIcjL1pCOXSAxfL9oy/&#10;+b5vxovz3rRsp9BrsCUfj3LOlJVQabsp+aePV8/OOPNB2Eq0YFXJb5Xn58unTxadK9QEGmgrhYxA&#10;rC86V/ImBFdkmZeNMsKPwClLwRrQiEBH3GQVio7QTZtN8nyWdYCVQ5DKe7pdDUF+QMTHAEJda6lW&#10;ILdG2TCgompFIEm+0c7zZWJb10qG93XtVWBtyUlpSCsVof06rtlyIYoNCtdoeaAgHkPhgSYjtKWi&#10;R6iVCIJtUf8DZbRE8FCHkQSTDUKSI6RinD/w5qYRTiUtZLV3R9P9/4OV73YfkOmq5JM5Z1YY6vj+&#10;+93+x6/9z29snJ/NokWd8wVl3jjKDf0r6GlwklzvrkF+9szCZSPsRl0gQtcoURHFcXyZnTwdcHwE&#10;WXdvoaJSYhsgAfU1mugfOcIIndpze2yP6gOTdDkfT6c5RSSFZvPn00lqXyaK+8cOfXitwLC4KTlS&#10;9xO42F37EMmI4j4l1rJwpds2TUBr/7qgxHiTyEe+A/PQr/uDGWuobkkGwjBQ9J1o0wB+5ayjYSq5&#10;/7IVqDhr31iyIjGn6UuH6YuXxJzhaWR9GhFWElTJA2fD9jIME7t1qDcNVRrMt3BB9tU6SYs+D6wO&#10;vGlgkuLDcMeJPD2nrD8f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PuPt9YAAAAJAQAADwAA&#10;AAAAAAABACAAAAAiAAAAZHJzL2Rvd25yZXYueG1sUEsBAhQAFAAAAAgAh07iQCkEHL0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rPr>
        <w:t>根据第 92.2 款约定解除合同的，发包人应向承包人支付合同解除之日前已完成工程但尚未支付的工程款。此外，发包人还应支付下列款项：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（1）已实施或部分实施的措施项目应付款项；</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（2）承包人为合同工程合理订购且已交付的工程材料和工程设备货款。发包人一经支付此项货款，该工程材料和工程设备即成为发包人的财产；</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（3）承包人为完成合同工程而预期开支的任何合理款项，且该项款项未包括在本款其他各项支付之内；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（4）根据第 35.3 款约定的任何工作应支付的款项； </w:t>
      </w:r>
    </w:p>
    <w:p>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（5）根据第 92.6 款约定承包人撤离现场所需的合理款项，包括雇员遣散费和临时工程拆除、施工设备运离现场的款项。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合同双方当事人按照第 87 条、第 88 条约定办理结算工程款，但应扣除合同解除之日前发包人向承包人收回的任何款项。如果发包人应扣除的款项超过了应支付的款项，则承包人应在合同解除后的 56 天内将其差额退还给发包人。。</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93</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rPr>
        <w:t xml:space="preserve">                                                                      </w:t>
      </w:r>
    </w:p>
    <w:p>
      <w:pPr>
        <w:pStyle w:val="22"/>
        <w:widowControl w:val="0"/>
        <w:adjustRightInd w:val="0"/>
        <w:snapToGrid w:val="0"/>
        <w:spacing w:line="360" w:lineRule="auto"/>
        <w:ind w:left="1850" w:leftChars="771"/>
        <w:jc w:val="both"/>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28"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026" o:spt="202" type="#_x0000_t202" style="position:absolute;left:0pt;margin-left:-9pt;margin-top:3.9pt;height:54.6pt;width:72pt;z-index:252059648;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FG+5G8YAgAAGAQAAA4AAABkcnMvZTJvRG9jLnhtbK1TzW4T&#10;MRC+I/EOlu9kNyH0Z5VNVRoVIRWoVHgAx+vNWqw9ZuxkNzwAvAEnLtz7XHkOxt40hHLpgYtle8bf&#10;fN8349lFb1q2Ueg12JKPRzlnykqotF2V/NPH6xdnnPkgbCVasKrkW+X5xfz5s1nnCjWBBtpKISMQ&#10;64vOlbwJwRVZ5mWjjPAjcMpSsAY0ItARV1mFoiN002aTPD/JOsDKIUjlPd0uhiDfI+JTAKGutVQL&#10;kGujbBhQUbUikCTfaOf5PLGtayXDh7r2KrC25KQ0pJWK0H4Z12w+E8UKhWu03FMQT6HwSJMR2lLR&#10;A9RCBMHWqP+BMloieKjDSILJBiHJEVIxzh95c9cIp5IWstq7g+n+/8HK95tbZLoq+YT6boWhju9+&#10;fN/9vN/9+sbG+dlptKhzvqDMO0e5oX8NPQ1OkuvdDcjPnlm4aoRdqUtE6BolKqI4ji+zo6cDjo8g&#10;y+4dVFRKrAMkoL5GE/0jRxihU3u2h/aoPjBJl+fj6TSniKTQyfnL6SS1LxPFw2OHPrxRYFjclByp&#10;+wlcbG58iGRE8ZASa1m41m2bJqC1f11QYrxJ5CPfgXnol/3ejCVUW5KBMAwUfSfaNIBfOetomEru&#10;v6wFKs7at5asSMxp+tJh+uqUmDM8jiyPI8JKgip54GzYXoVhYtcO9aqhSoP5Fi7JvlonadHngdWe&#10;Nw1MUrwf7jiRx+eU9edDz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QGvndYAAAAJAQAADwAA&#10;AAAAAAABACAAAAAiAAAAZHJzL2Rvd25yZXYueG1sUEsBAhQAFAAAAAgAh07iQFG+5G8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rPr>
        <w:t>根据第92.3 款约定解除合同的，发包人暂停向承包人支付任何款项，造价咨询人应在合同解除后 28 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 28 天内予以确认或提出意见，并按照第 87.4 款约定办理工程款结算。如果发包人应扣除的款项超过了应支付的款项，则承包人应在合同解除后的 56 天内将其差额退还给发包人。</w:t>
      </w:r>
    </w:p>
    <w:p>
      <w:pPr>
        <w:spacing w:line="360" w:lineRule="auto"/>
        <w:rPr>
          <w:rFonts w:ascii="仿宋" w:hAnsi="仿宋" w:eastAsia="仿宋"/>
          <w:b/>
          <w:bCs/>
          <w:color w:val="auto"/>
          <w:highlight w:val="none"/>
          <w:lang w:eastAsia="zh-CN"/>
        </w:rPr>
      </w:pPr>
      <w:bookmarkStart w:id="616" w:name="_Toc23620"/>
      <w:r>
        <w:rPr>
          <w:color w:val="auto"/>
          <w:highlight w:val="none"/>
          <w:lang w:eastAsia="zh-CN" w:bidi="ar-SA"/>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259715</wp:posOffset>
                </wp:positionV>
                <wp:extent cx="914400" cy="557530"/>
                <wp:effectExtent l="0" t="0" r="0" b="0"/>
                <wp:wrapNone/>
                <wp:docPr id="27"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026" o:spt="202" type="#_x0000_t202" style="position:absolute;left:0pt;margin-left:-9pt;margin-top:20.45pt;height:43.9pt;width:72pt;z-index:252098560;mso-width-relative:page;mso-height-relative:page;" filled="f" stroked="f" coordsize="21600,21600" o:gfxdata="UEsDBAoAAAAAAIdO4kAAAAAAAAAAAAAAAAAEAAAAZHJzL1BLAwQUAAAACACHTuJAuWXPidcAAAAK&#10;AQAADwAAAGRycy9kb3ducmV2LnhtbE2PQU/DMAyF70j8h8hIu21Jp7F1pe4OIK5DbAOJW9Z4bUXj&#10;VE22ln9PeoKb7ff0/L18N9pW3Kj3jWOEZKFAEJfONFwhnI6v8xSED5qNbh0Twg952BX3d7nOjBv4&#10;nW6HUIkYwj7TCHUIXSalL2uy2i9cRxy1i+utDnHtK2l6PcRw28qlUmtpdcPxQ607eq6p/D5cLcLH&#10;/vL1uVJv1Yt97AY3Ksl2KxFnD4l6AhFoDH9mmPAjOhSR6eyubLxoEeZJGrsEhJXagpgMy3U8nKch&#10;3YAscvm/QvELUEsDBBQAAAAIAIdO4kAfoMipGAIAABgEAAAOAAAAZHJzL2Uyb0RvYy54bWytU82O&#10;0zAQviPxDpbvNGlpaYmarpatFiEtP9LCA7iO01gkHjN2m5QHYN+AExfuPFefg7GTLWW57IGLZXvG&#10;33zfN+PlRdfUbK/QaTA5H49SzpSRUGizzfmnj9fPFpw5L0whajAq5wfl+MXq6ZNlazM1gQrqQiEj&#10;EOOy1ua88t5mSeJkpRrhRmCVoWAJ2AhPR9wmBYqW0Js6maTpi6QFLCyCVM7R7boP8gERHwMIZaml&#10;WoPcNcr4HhVVLTxJcpW2jq8i27JU0r8vS6c8q3NOSn1cqQjtN2FNVkuRbVHYSsuBgngMhQeaGqEN&#10;FT1BrYUXbIf6H6hGSwQHpR9JaJJeSHSEVIzTB97cVsKqqIWsdvZkuvt/sPLd/gMyXeR8MufMiIY6&#10;fvx+d/zx6/jzGxuni0WwqLUuo8xbS7m+ewUdDU6U6+wNyM+OGbiqhNmqS0RoKyUKojgOL5Ozpz2O&#10;CyCb9i0UVErsPESgrsQm+EeOMEKn9hxO7VGdZ5IuX46n05QikkKz2Xz2PLYvEdn9Y4vOv1bQsLDJ&#10;OVL3I7jY3zgfyIjsPiXUMnCt6zpOQG3+uqDEcBPJB749c99tusGMDRQHkoHQDxR9J9pUgF85a2mY&#10;cu6+7AQqzuo3hqyIzGn64mE6m09IBZ5HNucRYSRB5dxz1m+vfD+xO4t6W1Gl3nwDl2RfqaO04HPP&#10;auBNAxMVD8MdJvL8HLP+fO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llz4nXAAAACgEAAA8A&#10;AAAAAAAAAQAgAAAAIgAAAGRycy9kb3ducmV2LnhtbFBLAQIUABQAAAAIAIdO4kAfoMipGAIAABgE&#10;AAAOAAAAAAAAAAEAIAAAACY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6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根据第92.4 款约定解除合同的，发包人除应按照第 93.2 款约定向承包人支付各项款项外，还应支付给承包人由于解除合同而引起的损失或损害的款项。该笔款项由承包人提出，造价咨询人核实后与合同双方当事人协商确定，并在确定后的7 天内由造价咨询人向发包人签发支付证书，抄送承包人。协商不能达成一致的，按照第 91 条约定处理。</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17" w:name="_Toc32725"/>
      <w:bookmarkStart w:id="618" w:name="_Toc14442"/>
      <w:bookmarkStart w:id="619" w:name="_Toc469384073"/>
      <w:bookmarkStart w:id="620" w:name="_Toc47694371"/>
      <w:r>
        <w:rPr>
          <w:rFonts w:hint="eastAsia" w:ascii="仿宋" w:hAnsi="仿宋" w:eastAsia="仿宋" w:cs="仿宋"/>
          <w:bCs w:val="0"/>
          <w:color w:val="auto"/>
          <w:sz w:val="24"/>
          <w:szCs w:val="24"/>
          <w:highlight w:val="none"/>
        </w:rPr>
        <w:t>94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合同终止</w:t>
      </w:r>
      <w:bookmarkEnd w:id="617"/>
      <w:bookmarkEnd w:id="618"/>
      <w:bookmarkEnd w:id="619"/>
      <w:bookmarkEnd w:id="620"/>
    </w:p>
    <w:p>
      <w:pPr>
        <w:rPr>
          <w:rFonts w:ascii="仿宋" w:hAnsi="仿宋" w:eastAsia="仿宋" w:cs="仿宋"/>
          <w:b/>
          <w:bCs/>
          <w:color w:val="auto"/>
          <w:highlight w:val="none"/>
          <w:lang w:eastAsia="zh-CN"/>
        </w:rPr>
      </w:pPr>
      <w:bookmarkStart w:id="621"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621"/>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6" name="文本框 1089"/>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026" o:spt="202" type="#_x0000_t202" style="position:absolute;left:0pt;margin-left:-9pt;margin-top:1.25pt;height:31.2pt;width:72pt;z-index:25206067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U7dZgBgCAAAYBAAADgAAAGRycy9lMm9Eb2MueG1srVPNbhMx&#10;EL4j8Q6W72Q3IYRmlU1VGhUhlR+p8ACO15u1WHvM2MlueQD6Bpy4cOe58hyMvWkI5dIDF8v2jL/5&#10;vm/Gi/PetGyn0GuwJR+Pcs6UlVBpuyn5p49Xz84480HYSrRgVclvlefny6dPFp0r1AQaaCuFjECs&#10;LzpX8iYEV2SZl40ywo/AKUvBGtCIQEfcZBWKjtBNm03yfJZ1gJVDkMp7ul0NQX5AxMcAQl1rqVYg&#10;t0bZMKCiakUgSb7RzvNlYlvXSob3de1VYG3JSWlIKxWh/Tqu2XIhig0K12h5oCAeQ+GBJiO0paJH&#10;qJUIgm1R/wNltETwUIeRBJMNQpIjpGKcP/DmphFOJS1ktXdH0/3/g5Xvdh+Q6arkkxlnVhjq+P77&#10;3f7Hr/3Pb2ycn82jRZ3zBWXeOMoN/SvoaXCSXO+uQX72zMJlI+xGXSBC1yhREcVxfJmdPB1wfARZ&#10;d2+holJiGyAB9TWa6B85wgid2nN7bI/qA5N0OR9PpzlFJIWez2eTaWpfJor7xw59eK3AsLgpOVL3&#10;E7jYXfsQyYjiPiXWsnCl2zZNQGv/uqDEeJPIR74D89Cv+4MZa6huSQbCMFD0nWjTAH7lrKNhKrn/&#10;shWoOGvfWLIiMafpS4fpi5cTUoGnkfVpRFhJUCUPnA3byzBM7Nah3jRUaTDfwgXZV+skLfo8sDrw&#10;poFJig/DHSfy9Jyy/n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z/Bw1QAAAAgBAAAPAAAA&#10;AAAAAAEAIAAAACIAAABkcnMvZG93bnJldi54bWxQSwECFAAUAAAACACHTuJAU7dZgB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rPr>
        <w:t>合同解除后，除合同双方当事人享有第 91 条至第 93 条约定的权利外，本合同的权利义务关系终止，但不影响一方当事人在此以前的任何违约而损害另一方当事人应享有的权利，也不影响合同双方当事人履行本合同结算和清算条款的效力。</w:t>
      </w:r>
    </w:p>
    <w:p>
      <w:pPr>
        <w:spacing w:line="360" w:lineRule="auto"/>
        <w:rPr>
          <w:rFonts w:ascii="仿宋" w:hAnsi="仿宋" w:eastAsia="仿宋"/>
          <w:b/>
          <w:bCs/>
          <w:color w:val="auto"/>
          <w:highlight w:val="none"/>
          <w:lang w:eastAsia="zh-CN"/>
        </w:rPr>
      </w:pPr>
      <w:bookmarkStart w:id="622"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62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25" name="文本框 1090"/>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1090" o:spid="_x0000_s1026" o:spt="202" type="#_x0000_t202" style="position:absolute;left:0pt;margin-left:-9pt;margin-top:0.05pt;height:67.05pt;width:72pt;z-index:252061696;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P0k9/BkCAAAYBAAADgAAAGRycy9lMm9Eb2MueG1srVPNjtMw&#10;EL4j8Q6W7zRJaWE3arpatlqEtPxICw/gOE5jkXjM2G1SHgDegBMX7jxXn4Ox0+2W5bIHLpbtGX/z&#10;fd+MFxdD17KtQqfBFDybpJwpI6HSZl3wTx+vn51x5rwwlWjBqILvlOMXy6dPFr3N1RQaaCuFjECM&#10;y3tb8MZ7myeJk43qhJuAVYaCNWAnPB1xnVQoekLv2mSapi+SHrCyCFI5R7erMcgPiPgYQKhrLdUK&#10;5KZTxo+oqFrhSZJrtHV8GdnWtZL+fV075VlbcFLq40pFaF+GNVkuRL5GYRstDxTEYyg80NQJbajo&#10;EWolvGAb1P9AdVoiOKj9REKXjEKiI6QiSx94c9sIq6IWstrZo+nu/8HKd9sPyHRV8OmcMyM66vj+&#10;x/f9z9/7X99Ylp5Hi3rrcsq8tZTrh1cw0OBEuc7egPzsmIGrRpi1ukSEvlGiIopZMDc5eRqa4nIX&#10;QMr+LVRUSmw8RKChxi74R44wQqf27I7tUYNnki7Ps9kspYik0Nk8mz+fxwoiv3ts0fnXCjoWNgVH&#10;6n4EF9sb5wMZkd+lhFoGrnXbxglozV8XlBhuIvnAd2Tuh3Kg7CCihGpHMhDGgaLvRJsG8CtnPQ1T&#10;wd2XjUDFWfvGkBWROU1fPMzmL6ekAk8j5WlEGElQBfecjdsrP07sxqJeN1RpNN/AJdlX6yjtntWB&#10;Nw1MVHwY7jCRp+eYdf+hl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8KqftUAAAAIAQAADwAA&#10;AAAAAAABACAAAAAiAAAAZHJzL2Rvd25yZXYueG1sUEsBAhQAFAAAAAgAh07iQD9JPfwZAgAAGAQA&#10;AA4AAAAAAAAAAQAgAAAAJA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rPr>
        <w:t>除第 66 条和第 89 条约定的质量保修条款外，合同双方当事人履行完本合同全部义务，发包人向承包人支付完竣工结算款，承包人向发包人交付竣工工程后，本合同即告终止。</w:t>
      </w:r>
    </w:p>
    <w:p>
      <w:pPr>
        <w:spacing w:line="360" w:lineRule="auto"/>
        <w:rPr>
          <w:rFonts w:ascii="仿宋" w:hAnsi="仿宋" w:eastAsia="仿宋"/>
          <w:b/>
          <w:bCs/>
          <w:color w:val="auto"/>
          <w:highlight w:val="none"/>
          <w:lang w:eastAsia="zh-CN"/>
        </w:rPr>
      </w:pPr>
      <w:bookmarkStart w:id="623"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6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22"/>
        <w:widowControl w:val="0"/>
        <w:adjustRightInd w:val="0"/>
        <w:snapToGrid w:val="0"/>
        <w:spacing w:line="360" w:lineRule="auto"/>
        <w:ind w:left="1850" w:leftChars="771"/>
        <w:jc w:val="both"/>
        <w:rPr>
          <w:rFonts w:ascii="仿宋" w:hAnsi="仿宋" w:eastAsia="仿宋"/>
          <w:color w:val="auto"/>
          <w:sz w:val="24"/>
          <w:szCs w:val="24"/>
          <w:highlight w:val="none"/>
        </w:rPr>
      </w:pPr>
      <w:r>
        <w:rPr>
          <w:color w:val="auto"/>
          <w:highlight w:val="none"/>
          <w:lang w:val="en-US"/>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24" name="文本框 1091"/>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026" o:spt="202" type="#_x0000_t202" style="position:absolute;left:0pt;margin-left:-9pt;margin-top:1.05pt;height:32.75pt;width:72pt;z-index:25206272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Dc4QpxYCAAAYBAAADgAAAGRycy9lMm9Eb2MueG1srVPLjtMw&#10;FN0j8Q+W9zRJ1QKNmo6GqQYhDQ9p4ANcx2ksEl9z7TYpHwB/MCs27Pmufgc3dqaUYTMLNpHte33u&#10;Occny4u+bdheodNgCp5NUs6UkVBqsy34p4/Xz15y5rwwpWjAqIIflOMXq6dPlp3N1RRqaEqFjECM&#10;yztb8Np7myeJk7VqhZuAVYaKFWArPG1xm5QoOkJvm2Saps+TDrC0CFI5R6frWOQjIj4GEKpKS7UG&#10;uWuV8REVVSM8SXK1to6vAtuqUtK/ryqnPGsKTkp9+NIQWm+Gb7JainyLwtZajhTEYyg80NQKbWjo&#10;CWotvGA71P9AtVoiOKj8REKbRCHBEVKRpQ+8ua2FVUELWe3syXT3/2Dlu/0HZLos+HTGmREtvfjx&#10;7vvxx6/jz28sSxfZYFFnXU6dt5Z6ff8KegpOkOvsDcjPjhm4qoXZqktE6GolSqIYbiZnVyOOG0A2&#10;3VsoaZTYeQhAfYXt4B85wgidnudweh7VeybpcJHNZilVJJVm2XwxnQ/cEpHfX7bo/GsFLRsWBUd6&#10;/QAu9jfOx9b7lmGWgWvdNCEBjfnrgDCHk0B+4BuZ+37Tj2ZsoDyQDIQYKPqdaFEDfuWsozAV3H3Z&#10;CVScNW8MWRGYU/rCZjZ/MSUVeF7ZnFeEkQRVcM9ZXF75mNidRb2taVI038Al2VfpIG3wObIaeVNg&#10;gjljuIdEnu9D158fev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EyWpNUAAAAIAQAADwAAAAAA&#10;AAABACAAAAAiAAAAZHJzL2Rvd25yZXYueG1sUEsBAhQAFAAAAAgAh07iQA3OEKcWAgAAGAQAAA4A&#10;AAAAAAAAAQAgAAAAJAEAAGRycy9lMm9Eb2MueG1sUEsFBgAAAAAGAAYAWQEAAKw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rPr>
        <w:t>本合同的权利义务终止后，合同双方当事人仍应遵循诚实信用原则，继续履行合同约定的通知、协助、保密等义务。</w:t>
      </w:r>
    </w:p>
    <w:p>
      <w:pPr>
        <w:pStyle w:val="22"/>
        <w:adjustRightInd w:val="0"/>
        <w:snapToGrid w:val="0"/>
        <w:spacing w:line="480" w:lineRule="auto"/>
        <w:ind w:right="-238"/>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 xml:space="preserve">  </w:t>
      </w:r>
    </w:p>
    <w:p>
      <w:pPr>
        <w:pStyle w:val="22"/>
        <w:adjustRightInd w:val="0"/>
        <w:snapToGrid w:val="0"/>
        <w:spacing w:line="360" w:lineRule="auto"/>
        <w:jc w:val="center"/>
        <w:outlineLvl w:val="1"/>
        <w:rPr>
          <w:rFonts w:ascii="仿宋" w:hAnsi="仿宋" w:eastAsia="仿宋" w:cs="仿宋"/>
          <w:b/>
          <w:bCs/>
          <w:color w:val="auto"/>
          <w:sz w:val="24"/>
          <w:szCs w:val="24"/>
          <w:highlight w:val="none"/>
        </w:rPr>
      </w:pPr>
      <w:bookmarkStart w:id="624" w:name="_Toc8749"/>
      <w:bookmarkStart w:id="625" w:name="_Toc47694372"/>
      <w:bookmarkStart w:id="626" w:name="_Toc27173"/>
      <w:r>
        <w:rPr>
          <w:rFonts w:hint="eastAsia" w:ascii="仿宋" w:hAnsi="仿宋" w:eastAsia="仿宋" w:cs="仿宋"/>
          <w:b/>
          <w:bCs/>
          <w:color w:val="auto"/>
          <w:sz w:val="24"/>
          <w:szCs w:val="24"/>
          <w:highlight w:val="none"/>
        </w:rPr>
        <w:t>九、违约</w:t>
      </w:r>
      <w:bookmarkEnd w:id="624"/>
      <w:bookmarkEnd w:id="625"/>
      <w:bookmarkEnd w:id="626"/>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27" w:name="_Toc17534"/>
      <w:bookmarkStart w:id="628" w:name="_Toc21136"/>
      <w:bookmarkStart w:id="629" w:name="_Toc47694373"/>
      <w:r>
        <w:rPr>
          <w:rFonts w:hint="eastAsia" w:ascii="仿宋" w:hAnsi="仿宋" w:eastAsia="仿宋" w:cs="仿宋"/>
          <w:bCs w:val="0"/>
          <w:color w:val="auto"/>
          <w:sz w:val="24"/>
          <w:szCs w:val="24"/>
          <w:highlight w:val="none"/>
        </w:rPr>
        <w:t>★95</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承包人违约</w:t>
      </w:r>
      <w:bookmarkEnd w:id="627"/>
      <w:bookmarkEnd w:id="628"/>
      <w:bookmarkEnd w:id="629"/>
    </w:p>
    <w:p>
      <w:pPr>
        <w:rPr>
          <w:rFonts w:ascii="仿宋" w:hAnsi="仿宋" w:eastAsia="仿宋" w:cs="仿宋"/>
          <w:b/>
          <w:bCs/>
          <w:color w:val="auto"/>
          <w:highlight w:val="none"/>
          <w:lang w:eastAsia="zh-CN"/>
        </w:rPr>
      </w:pPr>
      <w:bookmarkStart w:id="630" w:name="_Toc20371"/>
      <w:r>
        <w:rPr>
          <w:color w:val="auto"/>
          <w:highlight w:val="none"/>
          <w:lang w:eastAsia="zh-CN" w:bidi="ar-SA"/>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187960</wp:posOffset>
                </wp:positionV>
                <wp:extent cx="914400" cy="396240"/>
                <wp:effectExtent l="0" t="0" r="0" b="0"/>
                <wp:wrapNone/>
                <wp:docPr id="23"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026" o:spt="202" type="#_x0000_t202" style="position:absolute;left:0pt;margin-left:-9pt;margin-top:14.8pt;height:31.2pt;width:72pt;z-index:252076032;mso-width-relative:page;mso-height-relative:page;" filled="f" stroked="f" coordsize="21600,21600" o:gfxdata="UEsDBAoAAAAAAIdO4kAAAAAAAAAAAAAAAAAEAAAAZHJzL1BLAwQUAAAACACHTuJAMZoQ0tYAAAAJ&#10;AQAADwAAAGRycy9kb3ducmV2LnhtbE2PwU7DMBBE70j9B2uRuLV2ohI1IZseirgWUQoSNzfeJhHx&#10;OordJvw97gmOszOafVNuZ9uLK42+c4yQrBQI4tqZjhuE4/vLcgPCB81G944J4Yc8bKvFXakL4yZ+&#10;o+shNCKWsC80QhvCUEjp65as9is3EEfv7EarQ5RjI82op1hue5kqlUmrO44fWj3QrqX6+3CxCB/7&#10;89fnWr02z/ZxmNysJNtcIj7cJ+oJRKA5/IXhhh/RoYpMJ3dh40WPsEw2cUtASPMMxC2QZvFwQshT&#10;BbIq5f8F1S9QSwMEFAAAAAgAh07iQIONLyEYAgAAGAQAAA4AAABkcnMvZTJvRG9jLnhtbK1TzY7T&#10;MBC+I/EOlu80SbcUNmq6WrZahLT8SAsP4DpOY5F4zNhtUh6AfQNOXLjzXH0Oxk62lOWyBy6W7Rl/&#10;833fjBcXfduwnUKnwRQ8m6ScKSOh1GZT8E8fr5+95Mx5YUrRgFEF3yvHL5ZPnyw6m6sp1NCUChmB&#10;GJd3tuC19zZPEidr1Qo3AasMBSvAVng64iYpUXSE3jbJNE3nSQdYWgSpnKPb1RDkIyI+BhCqSku1&#10;ArltlfEDKqpGeJLkam0dX0a2VaWkf19VTnnWFJyU+rhSEdqvw5osFyLfoLC1liMF8RgKDzS1Qhsq&#10;eoRaCS/YFvU/UK2WCA4qP5HQJoOQ6AipyNIH3tzWwqqohax29mi6+3+w8t3uAzJdFnx6xpkRLXX8&#10;8P3u8OPX4ec3lmXpPFjUWZdT5q2lXN+/gp4GJ8p19gbkZ8cMXNXCbNQlInS1EiVRzMLL5OTpgOMC&#10;yLp7CyWVElsPEaivsA3+kSOM0Kk9+2N7VO+ZpMvzbDZLKSIpdHY+n85i+xKR3z+26PxrBS0Lm4Ij&#10;dT+Ci92N84GMyO9TQi0D17pp4gQ05q8LSgw3kXzgOzD3/bofzVhDuScZCMNA0XeiTQ34lbOOhqng&#10;7stWoOKseWPIisicpi8eZs9fTEkFnkbWpxFhJEEV3HM2bK/8MLFbi3pTU6XBfAOXZF+lo7Tg88Bq&#10;5E0DExWPwx0m8vQcs/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ZoQ0tYAAAAJAQAADwAA&#10;AAAAAAABACAAAAAiAAAAZHJzL2Rvd25yZXYueG1sUEsBAhQAFAAAAAgAh07iQIONLyEYAgAAGA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630"/>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在合同履行过程中发生的下列情形，属于承包人违约： </w:t>
      </w:r>
    </w:p>
    <w:p>
      <w:pPr>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pPr>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承包人违反合同约定进行转包或违法分包的； </w:t>
      </w:r>
    </w:p>
    <w:p>
      <w:pPr>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承包人违反约定采购和使用不合格工程材料或工程设备； </w:t>
      </w:r>
    </w:p>
    <w:p>
      <w:pPr>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因承包人原因导致工程质量不符合合同约定的； </w:t>
      </w:r>
    </w:p>
    <w:p>
      <w:pPr>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承包人未经工程师批准，擅自将已按合同约定进入施工现场的施工设备、临时设施、工程材料、工程设备撤离施工现场； </w:t>
      </w:r>
    </w:p>
    <w:p>
      <w:pPr>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承包人未能按项目进度计划及时完成合同约定的工作，造成工期延误； </w:t>
      </w:r>
    </w:p>
    <w:p>
      <w:pPr>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由于承包人原因未能通过竣工试验或竣工后试验的； </w:t>
      </w:r>
    </w:p>
    <w:p>
      <w:pPr>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承包人在缺陷责任期及保修期内，未能在合理期限对工程缺陷进行修复，或拒绝按发包人指示进行修复的； </w:t>
      </w:r>
    </w:p>
    <w:p>
      <w:pPr>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承包人明确表示或者以其行为表明不履行合同主要义务的； </w:t>
      </w:r>
    </w:p>
    <w:p>
      <w:pPr>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pPr>
        <w:spacing w:line="360" w:lineRule="auto"/>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5968" behindDoc="0" locked="0" layoutInCell="1" allowOverlap="1">
                <wp:simplePos x="0" y="0"/>
                <wp:positionH relativeFrom="column">
                  <wp:posOffset>-77470</wp:posOffset>
                </wp:positionH>
                <wp:positionV relativeFrom="paragraph">
                  <wp:posOffset>62230</wp:posOffset>
                </wp:positionV>
                <wp:extent cx="914400" cy="415925"/>
                <wp:effectExtent l="0" t="0" r="0" b="0"/>
                <wp:wrapNone/>
                <wp:docPr id="22"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1pt;margin-top:4.9pt;height:32.75pt;width:72pt;z-index:252115968;mso-width-relative:page;mso-height-relative:page;" filled="f" stroked="f" coordsize="21600,21600" o:gfxdata="UEsDBAoAAAAAAIdO4kAAAAAAAAAAAAAAAAAEAAAAZHJzL1BLAwQUAAAACACHTuJAD2fUWdYAAAAI&#10;AQAADwAAAGRycy9kb3ducmV2LnhtbE2PwU7DMBBE70j8g7VI3Fo7KaU0ZNMDiCuIApW4uck2iYjX&#10;Uew24e/ZnuhtRzOafZNvJtepEw2h9YyQzA0o4tJXLdcInx8vswdQIVqubOeZEH4pwKa4vsptVvmR&#10;3+m0jbWSEg6ZRWhi7DOtQ9mQs2Hue2LxDn5wNoocal0NdpRy1+nUmHvtbMvyobE9PTVU/myPDuHr&#10;9fC9uzNv9bNb9qOfjGa31oi3N4l5BBVpiv9hOOMLOhTCtPdHroLqEGZJmkoUYS0Lzv4ikWOPsFou&#10;QBe5vhxQ/AFQSwMEFAAAAAgAh07iQDgKstYXAgAAGAQAAA4AAABkcnMvZTJvRG9jLnhtbK1TS27b&#10;MBDdF+gdCO5rfWA3jWA5SGOkKJB+gKQHoCnKIipx2CFtyT1Ae4Ouuum+5/I5MqQc1003WXQjkJzh&#10;m/cen+YXQ9eyrUKnwZQ8m6ScKSOh0mZd8k931y9ecea8MJVowaiS75TjF4vnz+a9LVQODbSVQkYg&#10;xhW9LXnjvS2SxMlGdcJNwCpDxRqwE562uE4qFD2hd22Sp+nLpAesLIJUztHpcizyAyI+BRDqWku1&#10;BLnplPEjKqpWeJLkGm0dX0S2da2k/1DXTnnWlpyU+vilIbRehW+ymItijcI2Wh4oiKdQeKSpE9rQ&#10;0CPUUnjBNqj/geq0RHBQ+4mELhmFREdIRZY+8ua2EVZFLWS1s0fT3f+Dle+3H5HpquR5zpkRHb34&#10;/sf3/c/f+1/fWJalZ8Gi3rqCOm8t9frhNQwUnCjX2RuQnx0zcNUIs1aXiNA3SlREMQs3k5OrI44L&#10;IKv+HVQ0Smw8RKChxi74R44wQqfn2R2fRw2eSTo8z6bTlCqSStNsdp7P4gRRPFy26PwbBR0Li5Ij&#10;vX4EF9sb5wMZUTy0hFkGrnXbxgS05q8DagwnkXzgOzL3w2o4mLGCakcyEMZA0e9EiwbwK2c9hank&#10;7stGoOKsfWvIisic0hc309lZTirwtLI6rQgjCarknrNxeeXHxG4s6nVDk0bzDVySfbWO0oLPI6sD&#10;bwpMVHwId0jk6T52/fmhF/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Z9RZ1gAAAAgBAAAPAAAA&#10;AAAAAAEAIAAAACIAAABkcnMvZG93bnJldi54bWxQSwECFAAUAAAACACHTuJAOAqy1hcCAAAYBAAA&#10;DgAAAAAAAAABACAAAAAl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 95.1 款第（7）目、第（9）目约定以外的其他违约情况时，设计顾问人、监理人和造价咨询人可向承包人发出整改通知，要求其在指定的期限内改正。</w:t>
      </w:r>
    </w:p>
    <w:p>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u w:val="dotted"/>
          <w:lang w:eastAsia="zh-CN" w:bidi="ar-SA"/>
        </w:rPr>
        <mc:AlternateContent>
          <mc:Choice Requires="wps">
            <w:drawing>
              <wp:anchor distT="0" distB="0" distL="114300" distR="114300" simplePos="0" relativeHeight="252116992" behindDoc="0" locked="0" layoutInCell="1" allowOverlap="1">
                <wp:simplePos x="0" y="0"/>
                <wp:positionH relativeFrom="column">
                  <wp:posOffset>-81915</wp:posOffset>
                </wp:positionH>
                <wp:positionV relativeFrom="paragraph">
                  <wp:posOffset>282575</wp:posOffset>
                </wp:positionV>
                <wp:extent cx="914400" cy="415925"/>
                <wp:effectExtent l="0" t="0" r="0" b="0"/>
                <wp:wrapNone/>
                <wp:docPr id="21"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pPr>
                              <w:spacing w:line="240" w:lineRule="exact"/>
                              <w:rPr>
                                <w:rFonts w:ascii="楷体_GB2312" w:hAnsi="宋体" w:eastAsia="楷体_GB2312"/>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45pt;margin-top:22.25pt;height:32.75pt;width:72pt;z-index:252116992;mso-width-relative:page;mso-height-relative:page;" filled="f" stroked="f" coordsize="21600,21600" o:gfxdata="UEsDBAoAAAAAAIdO4kAAAAAAAAAAAAAAAAAEAAAAZHJzL1BLAwQUAAAACACHTuJAVjWPC9cAAAAK&#10;AQAADwAAAGRycy9kb3ducmV2LnhtbE2PwU7DMAyG70h7h8hI3LYko5tYabrDEFcQgyFx8xqvrWic&#10;qsnW8vZkJ7jZ8qff319sJ9eJCw2h9WxALxQI4srblmsDH+/P8wcQISJb7DyTgR8KsC1nNwXm1o/8&#10;Rpd9rEUK4ZCjgSbGPpcyVA05DAvfE6fbyQ8OY1qHWtoBxxTuOrlUai0dtpw+NNjTrqHqe392Bg4v&#10;p6/PTL3WT27Vj35Skt1GGnN3q9UjiEhT/IPhqp/UoUxOR39mG0RnYK6Xm4QayLIViCtwrzWIYxq0&#10;UiDLQv6vUP4CUEsDBBQAAAAIAIdO4kCOXDVGFwIAABgEAAAOAAAAZHJzL2Uyb0RvYy54bWytU8uO&#10;0zAU3SPxD5b3NEnVMkzUdDRMNQhpeEgDH+A6TmMR+5prt8nwAfAHrNiw57v6HVw7nVKGzSzYRLbv&#10;9bnnHJ8sLgbTsZ1Cr8FWvJjknCkrodZ2U/GPH66fveDMB2Fr0YFVFb9Tnl8snz5Z9K5UU2ihqxUy&#10;ArG+7F3F2xBcmWVetsoIPwGnLBUbQCMCbXGT1Sh6QjddNs3z51kPWDsEqbyn09VY5AdEfAwgNI2W&#10;agVya5QNIyqqTgSS5FvtPF8mtk2jZHjXNF4F1lWclIb0pSG0XsdvtlyIcoPCtVoeKIjHUHigyQht&#10;aegRaiWCYFvU/0AZLRE8NGEiwWSjkOQIqSjyB97ctsKppIWs9u5ouv9/sPLt7j0yXVd8WnBmhaEX&#10;33//tv/xa//zKyuK/Cxa1DtfUueto94wvISBgpPkencD8pNnFq5aYTfqEhH6VomaKBbxZnZydcTx&#10;EWTdv4GaRoltgAQ0NGiif+QII3R6nrvj86ghMEmH58VsllNFUmlWzM+n8zRBlPeXHfrwSoFhcVFx&#10;pNdP4GJ340MkI8r7ljjLwrXuupSAzv51QI3xJJGPfEfmYVgPBzPWUN+RDIQxUPQ70aIF/MJZT2Gq&#10;uP+8Fag4615bsiIxp/SlzWx+NiUVeFpZn1aElQRV8cDZuLwKY2K3DvWmpUmj+RYuyb5GJ2nR55HV&#10;gTcFJik+hDsm8nSfuv780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jWPC9cAAAAKAQAADwAA&#10;AAAAAAABACAAAAAiAAAAZHJzL2Rvd25yZXYueG1sUEsBAhQAFAAAAAgAh07iQI5cNUYXAgAAGA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pPr>
        <w:spacing w:line="360" w:lineRule="auto"/>
        <w:rPr>
          <w:rFonts w:ascii="仿宋" w:hAnsi="仿宋" w:eastAsia="仿宋" w:cs="仿宋"/>
          <w:b/>
          <w:bCs/>
          <w:color w:val="auto"/>
          <w:highlight w:val="none"/>
          <w:u w:val="dotted"/>
          <w:lang w:eastAsia="zh-CN"/>
        </w:rPr>
      </w:pPr>
      <w:bookmarkStart w:id="631"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631"/>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20955</wp:posOffset>
                </wp:positionV>
                <wp:extent cx="914400" cy="415925"/>
                <wp:effectExtent l="0" t="0" r="0" b="0"/>
                <wp:wrapNone/>
                <wp:docPr id="20"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9pt;margin-top:1.65pt;height:32.75pt;width:72pt;z-index:252099584;mso-width-relative:page;mso-height-relative:page;" filled="f" stroked="f" coordsize="21600,21600" o:gfxdata="UEsDBAoAAAAAAIdO4kAAAAAAAAAAAAAAAAAEAAAAZHJzL1BLAwQUAAAACACHTuJAX5IUPdUAAAAI&#10;AQAADwAAAGRycy9kb3ducmV2LnhtbE2PzW7CMBCE75V4B2uRegM70EZpmg0HUK9UpT9SbyZekqjx&#10;OooNCW9fc2qPoxnNfFNsJtuJCw2+dYyQLBUI4sqZlmuEj/eXRQbCB81Gd44J4UoeNuXsrtC5cSO/&#10;0eUQahFL2OcaoQmhz6X0VUNW+6XriaN3coPVIcqhlmbQYyy3nVwplUqrW44Lje5p21D1czhbhM/9&#10;6fvrQb3WO/vYj25Sku2TRLyfJ+oZRKAp/IXhhh/RoYxMR3dm40WHsEiy+CUgrNcgbv4qjfqIkGYZ&#10;yLKQ/w+Uv1BLAwQUAAAACACHTuJAI5OYgBYCAAAYBAAADgAAAGRycy9lMm9Eb2MueG1srVPLjtMw&#10;FN0j8Q+W9zRJ1TJM1HQ0TDUIaXhIAx/gOk5jEfuaa7fJ8AHwB6zYsOe7+h1cO51Shs0s2ES27/W5&#10;5xyfLC4G07GdQq/BVryY5JwpK6HWdlPxjx+un73gzAdha9GBVRW/U55fLJ8+WfSuVFNooasVMgKx&#10;vuxdxdsQXJllXrbKCD8BpywVG0AjAm1xk9UoekI3XTbN8+dZD1g7BKm8p9PVWOQHRHwMIDSNlmoF&#10;cmuUDSMqqk4EkuRb7TxfJrZNo2R41zReBdZVnJSG9KUhtF7Hb7ZciHKDwrVaHiiIx1B4oMkIbWno&#10;EWolgmBb1P9AGS0RPDRhIsFko5DkCKko8gfe3LbCqaSFrPbuaLr/f7Dy7e49Ml1XfEqWWGHoxfff&#10;v+1//Nr//MqKIj+LFvXOl9R566g3DC9hoOAkud7dgPzkmYWrVtiNukSEvlWiJopFvJmdXB1xfARZ&#10;92+gplFiGyABDQ2a6B85wgiduNwdn0cNgUk6PC9ms5wqkkqzYn4+nacJory/7NCHVwoMi4uKI71+&#10;Ahe7Gx8iGVHet8RZFq5116UEdPavA2qMJ4l85DsyD8N6OJixhvqOZCCMgaLfiRYt4BfOegpTxf3n&#10;rUDFWffakhWJOaUvbWbzs+g1nlbWpxVhJUFVPHA2Lq/CmNitQ71padJovoVLsq/RSVr0eWR14E2B&#10;SYoP4Y6JPN2nrj8/9P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5IUPdUAAAAIAQAADwAAAAAA&#10;AAABACAAAAAiAAAAZHJzL2Rvd25yZXYueG1sUEsBAhQAFAAAAAgAh07iQCOTmIAWAgAAGAQAAA4A&#10;AAAAAAAAAQAgAAAAJAEAAGRycy9lMm9Eb2MueG1sUEsFBgAAAAAGAAYAWQEAAKw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 14 天内，协助发包人与采购合同的供应商达成相关的转让协议。</w:t>
      </w:r>
    </w:p>
    <w:p>
      <w:pPr>
        <w:pStyle w:val="22"/>
        <w:adjustRightInd w:val="0"/>
        <w:snapToGrid w:val="0"/>
        <w:spacing w:line="360" w:lineRule="auto"/>
        <w:ind w:right="-238"/>
        <w:rPr>
          <w:rFonts w:ascii="仿宋" w:hAnsi="仿宋" w:eastAsia="仿宋"/>
          <w:color w:val="auto"/>
          <w:highlight w:val="none"/>
        </w:rPr>
      </w:pP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32" w:name="_Toc28652"/>
      <w:bookmarkStart w:id="633" w:name="_Toc489260630"/>
      <w:bookmarkStart w:id="634" w:name="_Toc47694374"/>
      <w:bookmarkStart w:id="635" w:name="_Toc20972"/>
      <w:r>
        <w:rPr>
          <w:rFonts w:hint="eastAsia" w:ascii="仿宋" w:hAnsi="仿宋" w:eastAsia="仿宋" w:cs="仿宋"/>
          <w:bCs w:val="0"/>
          <w:color w:val="auto"/>
          <w:sz w:val="24"/>
          <w:szCs w:val="24"/>
          <w:highlight w:val="none"/>
        </w:rPr>
        <w:t>★96</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 xml:space="preserve"> 发包人违约</w:t>
      </w:r>
      <w:bookmarkEnd w:id="632"/>
      <w:bookmarkEnd w:id="633"/>
      <w:bookmarkEnd w:id="634"/>
      <w:bookmarkEnd w:id="635"/>
    </w:p>
    <w:p>
      <w:pPr>
        <w:pStyle w:val="22"/>
        <w:adjustRightInd w:val="0"/>
        <w:snapToGrid w:val="0"/>
        <w:spacing w:line="360" w:lineRule="auto"/>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2100608" behindDoc="0" locked="0" layoutInCell="1" allowOverlap="1">
                <wp:simplePos x="0" y="0"/>
                <wp:positionH relativeFrom="column">
                  <wp:posOffset>-81280</wp:posOffset>
                </wp:positionH>
                <wp:positionV relativeFrom="paragraph">
                  <wp:posOffset>254000</wp:posOffset>
                </wp:positionV>
                <wp:extent cx="914400" cy="456565"/>
                <wp:effectExtent l="0" t="0" r="0" b="0"/>
                <wp:wrapNone/>
                <wp:docPr id="19"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914400" cy="45656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026" o:spt="202" type="#_x0000_t202" style="position:absolute;left:0pt;margin-left:-6.4pt;margin-top:20pt;height:35.95pt;width:72pt;z-index:252100608;mso-width-relative:page;mso-height-relative:page;" filled="f" stroked="f" coordsize="21600,21600" o:gfxdata="UEsDBAoAAAAAAIdO4kAAAAAAAAAAAAAAAAAEAAAAZHJzL1BLAwQUAAAACACHTuJATQDwpNcAAAAK&#10;AQAADwAAAGRycy9kb3ducmV2LnhtbE2PwU7DMBBE70j9B2srcWtth4JoiNNDK64gWkDi5sbbJCJe&#10;R7HbhL9ne4LbrGY0+6bYTL4TFxxiG8iAXioQSFVwLdUG3g/Pi0cQMVlytguEBn4wwqac3RQ2d2Gk&#10;N7zsUy24hGJuDTQp9bmUsWrQ27gMPRJ7pzB4m/gcaukGO3K572Sm1IP0tiX+0Ngetw1W3/uzN/Dx&#10;cvr6XKnXeufv+zFMSpJfS2Nu51o9gUg4pb8wXPEZHUpmOoYzuSg6AwudMXoysFK86Rq40xmIIwut&#10;1yDLQv6fUP4CUEsDBBQAAAAIAIdO4kB0SLneFwIAABgEAAAOAAAAZHJzL2Uyb0RvYy54bWytU0tu&#10;2zAQ3RfoHQjua0mGkyaC5SCNkaJA+gHSHoCmKIuoyGGHtKX0AO0Nsuqm+57L5+iQclw33WRRCBDI&#10;meGb9x6H84vBdGyr0GuwFS8mOWfKSqi1XVf808frF2ec+SBsLTqwquJ3yvOLxfNn896VagotdLVC&#10;RiDWl72reBuCK7PMy1YZ4SfglKVkA2hEoC2usxpFT+imy6Z5fpr1gLVDkMp7ii7HJN8j4lMAoWm0&#10;VEuQG6NsGFFRdSKQJN9q5/kisW0aJcP7pvEqsK7ipDSkPzWh9Sr+s8VclGsUrtVyT0E8hcIjTUZo&#10;S00PUEsRBNug/gfKaIngoQkTCSYbhSRHSEWRP/LmthVOJS1ktXcH0/3/g5Xvth+Q6Zom4ZwzKwzd&#10;+O7+++7Hr93Pb6wo8rNoUe98SZW3jmrD8AoGKk9yvbsB+dkzC1etsGt1iQh9q0RNFIt4Mjs6OuL4&#10;CLLq30JNrcQmQAIaGjTRP3KEETpdz93hetQQmKTgeTGb5ZSRlJqdnNKXOojy4bBDH14rMCwuKo50&#10;+wlcbG98iGRE+VASe1m41l2XJqCzfwWoMEYS+ch3ZB6G1bA3YwX1HclAGAeKnhMtWsCvnPU0TBX3&#10;XzYCFWfdG0tWJOY0fWkzO3k5JRV4nFkdZ4SVBFXxwNm4vArjxG4c6nVLnUbzLVySfY1O0qLPI6s9&#10;bxqYpHg/3HEij/ep6s+D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QDwpNcAAAAKAQAADwAA&#10;AAAAAAABACAAAAAiAAAAZHJzL2Rvd25yZXYueG1sUEsBAhQAFAAAAAgAh07iQHRIud4XAgAAGA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rPr>
        <w:t>96</w:t>
      </w:r>
      <w:r>
        <w:rPr>
          <w:rFonts w:ascii="仿宋" w:hAnsi="仿宋" w:eastAsia="仿宋" w:cs="仿宋"/>
          <w:b/>
          <w:bCs/>
          <w:color w:val="auto"/>
          <w:sz w:val="24"/>
          <w:szCs w:val="24"/>
          <w:highlight w:val="none"/>
        </w:rPr>
        <w:t>.1</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除合同专用条款另有约定外，在合同履行过程中发生的下列情形，属于发包人违约： </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pPr>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发包人违反第 13.1.1 项约定，自行实施被取消的工作或转由他人实施的； </w:t>
      </w:r>
    </w:p>
    <w:p>
      <w:pPr>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因发包人违反合同约定造成工程暂停施工的； </w:t>
      </w:r>
    </w:p>
    <w:p>
      <w:pPr>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监理人无正当理由没有在约定期限内发出复工指示，导致承包人无法复工的； </w:t>
      </w:r>
    </w:p>
    <w:p>
      <w:pPr>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发包人明确表示或者以其行为表明不履行合同主要义务的； </w:t>
      </w:r>
    </w:p>
    <w:p>
      <w:pPr>
        <w:widowControl w:val="0"/>
        <w:numPr>
          <w:ilvl w:val="1"/>
          <w:numId w:val="19"/>
        </w:numPr>
        <w:tabs>
          <w:tab w:val="clear" w:pos="3285"/>
        </w:tabs>
        <w:adjustRightInd w:val="0"/>
        <w:snapToGrid w:val="0"/>
        <w:spacing w:line="360" w:lineRule="auto"/>
        <w:ind w:left="1850"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发包人未能按照合同约定履行其他义务的。</w:t>
      </w:r>
    </w:p>
    <w:p>
      <w:pPr>
        <w:spacing w:line="360" w:lineRule="auto"/>
        <w:rPr>
          <w:rFonts w:ascii="仿宋" w:hAnsi="仿宋" w:eastAsia="仿宋" w:cs="仿宋"/>
          <w:b/>
          <w:bCs/>
          <w:color w:val="auto"/>
          <w:highlight w:val="none"/>
          <w:u w:val="dotted"/>
          <w:lang w:eastAsia="zh-CN"/>
        </w:rPr>
      </w:pPr>
      <w:bookmarkStart w:id="636" w:name="_Toc15582"/>
      <w:r>
        <w:rPr>
          <w:color w:val="auto"/>
          <w:highlight w:val="none"/>
          <w:lang w:eastAsia="zh-CN" w:bidi="ar-SA"/>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235585</wp:posOffset>
                </wp:positionV>
                <wp:extent cx="914400" cy="415925"/>
                <wp:effectExtent l="0" t="0" r="0" b="0"/>
                <wp:wrapNone/>
                <wp:docPr id="18"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32.75pt;width:72pt;z-index:252101632;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C38oX6FgIAABgEAAAOAAAAZHJzL2Uyb0RvYy54bWytU82O&#10;0zAQviPxDpbvNEnVAo2arpatFiEtP9LCA7iO01gkHjN2m5QHgDfYExfuPFefg7GTLWW57IGLZXvG&#10;33zfN+PlRd82bK/QaTAFzyYpZ8pIKLXZFvzTx+tnLzlzXphSNGBUwQ/K8YvV0yfLzuZqCjU0pUJG&#10;IMblnS147b3Nk8TJWrXCTcAqQ8EKsBWejrhNShQdobdNMk3T50kHWFoEqZyj2/UQ5CMiPgYQqkpL&#10;tQa5a5XxAyqqRniS5GptHV9FtlWlpH9fVU551hSclPq4UhHab8KarJYi36KwtZYjBfEYCg80tUIb&#10;KnqCWgsv2A71P1CtlggOKj+R0CaDkOgIqcjSB97c1sKqqIWsdvZkuvt/sPLd/gMyXdIkUN+NaKnj&#10;x7vvxx+/jj+/sSxLF8GizrqcMm8t5fr+FfSUHuU6ewPys2MGrmphtuoSEbpaiZIoZuFlcvZ0wHEB&#10;ZNO9hZJKiZ2HCNRX2Ab/yBFG6NSew6k9qvdM0uUim81SikgKzbL5YjqPFUR+/9ii868VtCxsCo7U&#10;/Qgu9jfOBzIiv08JtQxc66aJE9CYvy4oMdxE8oHvwNz3m340YwPlgWQgDANF34k2NeBXzjoapoK7&#10;LzuBirPmjSErInOavniYzV9MSQWeRzbnEWEkQRXcczZsr/wwsTuLeltTpcF8A5dkX6WjtODzwGrk&#10;TQMTFY/DHSby/Byz/nzo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IMwV1wAAAAoBAAAPAAAA&#10;AAAAAAEAIAAAACIAAABkcnMvZG93bnJldi54bWxQSwECFAAUAAAACACHTuJAt/KF+hYCAAAYBAAA&#10;DgAAAAAAAAABACAAAAAm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6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 96.2 款第（6）项以外的违约情况时，承包人可向发包人发出通知，要求发包人采取有效措施纠正违约行为。发包人收到承包人通知后 28 天内仍不纠正违约行为的，承包人有权暂停相应部位工程实施，并通知设计顾问人、监理人和造价咨询人。</w:t>
      </w:r>
    </w:p>
    <w:p>
      <w:pPr>
        <w:spacing w:line="360" w:lineRule="auto"/>
        <w:rPr>
          <w:rFonts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235585</wp:posOffset>
                </wp:positionV>
                <wp:extent cx="914400" cy="415925"/>
                <wp:effectExtent l="0" t="0" r="0" b="0"/>
                <wp:wrapNone/>
                <wp:docPr id="17"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32.75pt;width:72pt;z-index:252118016;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Aa9IxFFwIAABgEAAAOAAAAZHJzL2Uyb0RvYy54bWytU8uO&#10;0zAU3SPxD5b3NEnVMjRqOhqmGoQ0PKSBD3Adp7FIfM2126R8APwBKzbs+a5+B9dOppRhMws2ke17&#10;fe45xyfLy75t2F6h02AKnk1SzpSRUGqzLfjHDzfPXnDmvDClaMCogh+U45erp0+Wnc3VFGpoSoWM&#10;QIzLO1vw2nubJ4mTtWqFm4BVhooVYCs8bXGblCg6Qm+bZJqmz5MOsLQIUjlHp+uhyEdEfAwgVJWW&#10;ag1y1yrjB1RUjfAkydXaOr6KbKtKSf+uqpzyrCk4KfXxS0NovQnfZLUU+RaFrbUcKYjHUHigqRXa&#10;0NAT1Fp4wXao/4FqtURwUPmJhDYZhERHSEWWPvDmrhZWRS1ktbMn093/g5Vv9++R6ZKScMGZES29&#10;+PH7t+OPX8efX1mWpYtgUWddTp13lnp9/xJ6ao9ynb0F+ckxA9e1MFt1hQhdrURJFLNwMzm7OuC4&#10;ALLp3kBJo8TOQwTqK2yDf+QII3R6nsPpeVTvmaTDRTabpVSRVJpl88V0HieI/P6yRedfKWhZWBQc&#10;6fUjuNjfOh/IiPy+JcwycKObJiagMX8dUGM4ieQD34G57zf9aMYGygPJQBgCRb8TLWrAL5x1FKaC&#10;u887gYqz5rUhKyJzSl/czOYXU1KB55XNeUUYSVAF95wNy2s/JHZnUW9rmjSYb+CK7Kt0lBZ8HliN&#10;vCkwUfEY7pDI833s+vND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iDMFdcAAAAKAQAADwAA&#10;AAAAAAABACAAAAAiAAAAZHJzL2Rvd25yZXYueG1sUEsBAhQAFAAAAAgAh07iQBr0jEUXAgAAGA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pPr>
        <w:pStyle w:val="22"/>
        <w:adjustRightInd w:val="0"/>
        <w:snapToGrid w:val="0"/>
        <w:spacing w:line="360" w:lineRule="auto"/>
        <w:ind w:right="-238"/>
        <w:rPr>
          <w:rFonts w:ascii="仿宋" w:hAnsi="仿宋" w:eastAsia="仿宋"/>
          <w:color w:val="auto"/>
          <w:highlight w:val="none"/>
        </w:rPr>
      </w:pP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37" w:name="_Toc25331"/>
      <w:bookmarkStart w:id="638" w:name="_Toc489260631"/>
      <w:bookmarkStart w:id="639" w:name="_Toc24050"/>
      <w:bookmarkStart w:id="640" w:name="_Toc47694375"/>
      <w:r>
        <w:rPr>
          <w:rFonts w:hint="eastAsia" w:ascii="仿宋" w:hAnsi="仿宋" w:eastAsia="仿宋" w:cs="仿宋"/>
          <w:bCs w:val="0"/>
          <w:color w:val="auto"/>
          <w:sz w:val="24"/>
          <w:szCs w:val="24"/>
          <w:highlight w:val="none"/>
        </w:rPr>
        <w:t>★</w:t>
      </w:r>
      <w:r>
        <w:rPr>
          <w:rFonts w:ascii="仿宋" w:hAnsi="仿宋" w:eastAsia="仿宋" w:cs="仿宋"/>
          <w:bCs w:val="0"/>
          <w:color w:val="auto"/>
          <w:sz w:val="24"/>
          <w:szCs w:val="24"/>
          <w:highlight w:val="none"/>
        </w:rPr>
        <w:t>9</w:t>
      </w:r>
      <w:r>
        <w:rPr>
          <w:rFonts w:hint="eastAsia" w:ascii="仿宋" w:hAnsi="仿宋" w:eastAsia="仿宋" w:cs="仿宋"/>
          <w:bCs w:val="0"/>
          <w:color w:val="auto"/>
          <w:sz w:val="24"/>
          <w:szCs w:val="24"/>
          <w:highlight w:val="none"/>
        </w:rPr>
        <w:t>7</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第三方违约与除外责任</w:t>
      </w:r>
      <w:bookmarkEnd w:id="637"/>
      <w:bookmarkEnd w:id="638"/>
      <w:bookmarkEnd w:id="639"/>
      <w:bookmarkEnd w:id="640"/>
    </w:p>
    <w:p>
      <w:pPr>
        <w:spacing w:line="360" w:lineRule="auto"/>
        <w:rPr>
          <w:rFonts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235585</wp:posOffset>
                </wp:positionV>
                <wp:extent cx="914400" cy="415925"/>
                <wp:effectExtent l="0" t="0" r="0" b="0"/>
                <wp:wrapNone/>
                <wp:docPr id="16"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32.75pt;width:72pt;z-index:252119040;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C3OyGDFwIAABgEAAAOAAAAZHJzL2Uyb0RvYy54bWytU8uO&#10;0zAU3SPxD5b3NEnVDjRqOhqmGoQ0PKSBD3Adp7FIfM2126R8APwBKzbs+a5+B9dOppRhMws2ke17&#10;fe45xyfLy75t2F6h02AKnk1SzpSRUGqzLfjHDzfPXnDmvDClaMCogh+U45erp0+Wnc3VFGpoSoWM&#10;QIzLO1vw2nubJ4mTtWqFm4BVhooVYCs8bXGblCg6Qm+bZJqmF0kHWFoEqZyj0/VQ5CMiPgYQqkpL&#10;tQa5a5XxAyqqRniS5GptHV9FtlWlpH9XVU551hSclPr4pSG03oRvslqKfIvC1lqOFMRjKDzQ1Apt&#10;aOgJai28YDvU/0C1WiI4qPxEQpsMQqIjpCJLH3hzVwurohay2tmT6e7/wcq3+/fIdElJuODMiJZe&#10;/Pj92/HHr+PPryzL0kWwqLMup847S72+fwk9tUe5zt6C/OSYgetamK26QoSuVqIkilm4mZxdHXBc&#10;ANl0b6CkUWLnIQL1FbbBP3KEETo9z+H0PKr3TNLhIpvNUqpIKs2y+WI6jxNEfn/ZovOvFLQsLAqO&#10;9PoRXOxvnQ9kRH7fEmYZuNFNExPQmL8OqDGcRPKB78Dc95t+NGMD5YFkIAyBot+JFjXgF846ClPB&#10;3eedQMVZ89qQFZE5pS9uZvPnU1KB55XNeUUYSVAF95wNy2s/JHZnUW9rmjSYb+CK7Kt0lBZ8HliN&#10;vCkwUfEY7pDI833s+vND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iDMFdcAAAAKAQAADwAA&#10;AAAAAAABACAAAAAiAAAAZHJzL2Rvd25yZXYueG1sUEsBAhQAFAAAAAgAh07iQLc7IYMXAgAAGAQA&#10;AA4AAAAAAAAAAQAgAAAAJg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15"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026" o:spt="202" type="#_x0000_t202" style="position:absolute;left:0pt;margin-left:-9pt;margin-top:1.25pt;height:31.2pt;width:72pt;z-index:2520770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kfiQdhgCAAAYBAAADgAAAGRycy9lMm9Eb2MueG1srVPNbhMx&#10;EL4j8Q6W72SzIS3tKpuqNCpCKj9S4QEcrzdrsfaYsZPd8ADwBpy4cO9z5TkYe9M0lEsPXCzbM/7m&#10;+74Zzy5607KNQq/BljwfjTlTVkKl7arknz9dvzjjzAdhK9GCVSXfKs8v5s+fzTpXqAk00FYKGYFY&#10;X3Su5E0IrsgyLxtlhB+BU5aCNaARgY64yioUHaGbNpuMx6dZB1g5BKm8p9vFEOR7RHwKINS1lmoB&#10;cm2UDQMqqlYEkuQb7TyfJ7Z1rWT4UNdeBdaWnJSGtFIR2i/jms1nolihcI2WewriKRQeaTJCWyp6&#10;gFqIINga9T9QRksED3UYSTDZICQ5Qiry8SNvbhvhVNJCVnt3MN3/P1j5fvMRma5oEk44s8JQx3c/&#10;f+x+3e1+f2d5nieLOucLyrx1lBv619BTepLr3Q3IL55ZuGqEXalLROgaJSqimEdzs6OnsSm+8BFk&#10;2b2DikqJdYAE1Ndoon/kCCN0as/20B7VBybp8jyfTscUkRR6eX46mSZumSjuHzv04Y0Cw+Km5Ejd&#10;T+Bic+NDJCOK+5RYy8K1bts0Aa3964IS400iH/kOzEO/7Ck7ilhCtSUZCMNA0XeiTQP4jbOOhqnk&#10;/utaoOKsfWvJisScpi8dpievJqQCjyPL44iwkqBKHjgbtldhmNi1Q71qqNJgvoVLsq/WSdoDqz1v&#10;GpikeD/ccSKPzynr4UP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z/Bw1QAAAAgBAAAPAAAA&#10;AAAAAAEAIAAAACIAAABkcnMvZG93bnJldi54bWxQSwECFAAUAAAACACHTuJAkfiQdhgCAAAY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pPr>
        <w:pStyle w:val="22"/>
        <w:adjustRightInd w:val="0"/>
        <w:snapToGrid w:val="0"/>
        <w:spacing w:line="360" w:lineRule="auto"/>
        <w:ind w:right="-238"/>
        <w:rPr>
          <w:rFonts w:ascii="仿宋" w:hAnsi="仿宋" w:eastAsia="仿宋"/>
          <w:color w:val="auto"/>
          <w:sz w:val="24"/>
          <w:szCs w:val="24"/>
          <w:highlight w:val="none"/>
          <w:u w:val="single"/>
        </w:rPr>
      </w:pPr>
      <w:r>
        <w:rPr>
          <w:rFonts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pStyle w:val="22"/>
        <w:adjustRightInd w:val="0"/>
        <w:snapToGrid w:val="0"/>
        <w:spacing w:line="360" w:lineRule="auto"/>
        <w:jc w:val="center"/>
        <w:outlineLvl w:val="1"/>
        <w:rPr>
          <w:rFonts w:ascii="仿宋" w:hAnsi="仿宋" w:eastAsia="仿宋"/>
          <w:b/>
          <w:bCs/>
          <w:color w:val="auto"/>
          <w:sz w:val="24"/>
          <w:szCs w:val="24"/>
          <w:highlight w:val="none"/>
        </w:rPr>
      </w:pPr>
      <w:bookmarkStart w:id="641" w:name="_Toc469384074"/>
      <w:bookmarkStart w:id="642" w:name="_Toc47694376"/>
      <w:bookmarkStart w:id="643" w:name="_Toc16318"/>
      <w:bookmarkStart w:id="644" w:name="_Toc25761"/>
      <w:r>
        <w:rPr>
          <w:rFonts w:hint="eastAsia" w:ascii="仿宋" w:hAnsi="仿宋" w:eastAsia="仿宋" w:cs="仿宋"/>
          <w:b/>
          <w:bCs/>
          <w:color w:val="auto"/>
          <w:sz w:val="24"/>
          <w:szCs w:val="24"/>
          <w:highlight w:val="none"/>
        </w:rPr>
        <w:t>十、其</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他</w:t>
      </w:r>
      <w:bookmarkEnd w:id="641"/>
      <w:bookmarkEnd w:id="642"/>
      <w:bookmarkEnd w:id="643"/>
      <w:bookmarkEnd w:id="644"/>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45" w:name="_Toc47694377"/>
      <w:bookmarkStart w:id="646" w:name="_Toc23601"/>
      <w:bookmarkStart w:id="647" w:name="_Toc24380"/>
      <w:bookmarkStart w:id="648" w:name="_Toc469384075"/>
      <w:r>
        <w:rPr>
          <w:rFonts w:ascii="仿宋" w:hAnsi="仿宋" w:eastAsia="仿宋" w:cs="仿宋"/>
          <w:bCs w:val="0"/>
          <w:color w:val="auto"/>
          <w:sz w:val="24"/>
          <w:szCs w:val="24"/>
          <w:highlight w:val="none"/>
        </w:rPr>
        <w:t>9</w:t>
      </w:r>
      <w:r>
        <w:rPr>
          <w:rFonts w:hint="eastAsia" w:ascii="仿宋" w:hAnsi="仿宋" w:eastAsia="仿宋" w:cs="仿宋"/>
          <w:bCs w:val="0"/>
          <w:color w:val="auto"/>
          <w:sz w:val="24"/>
          <w:szCs w:val="24"/>
          <w:highlight w:val="none"/>
        </w:rPr>
        <w:t>8</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缴纳税费</w:t>
      </w:r>
      <w:bookmarkEnd w:id="645"/>
      <w:bookmarkEnd w:id="646"/>
      <w:bookmarkEnd w:id="647"/>
      <w:bookmarkEnd w:id="648"/>
    </w:p>
    <w:p>
      <w:pPr>
        <w:pStyle w:val="22"/>
        <w:tabs>
          <w:tab w:val="left" w:pos="1320"/>
        </w:tabs>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9</w:t>
      </w:r>
      <w:r>
        <w:rPr>
          <w:rFonts w:hint="eastAsia" w:ascii="仿宋" w:hAnsi="仿宋" w:eastAsia="仿宋" w:cs="仿宋"/>
          <w:b/>
          <w:bCs/>
          <w:color w:val="auto"/>
          <w:sz w:val="24"/>
          <w:szCs w:val="24"/>
          <w:highlight w:val="none"/>
        </w:rPr>
        <w:t>8</w:t>
      </w:r>
      <w:r>
        <w:rPr>
          <w:rFonts w:ascii="仿宋" w:hAnsi="仿宋" w:eastAsia="仿宋" w:cs="仿宋"/>
          <w:b/>
          <w:bCs/>
          <w:color w:val="auto"/>
          <w:sz w:val="24"/>
          <w:szCs w:val="24"/>
          <w:highlight w:val="none"/>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lang w:eastAsia="zh-CN" w:bidi="ar-SA"/>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14" name="文本框 1092"/>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026" o:spt="202" type="#_x0000_t202" style="position:absolute;left:0pt;margin-left:-9pt;margin-top:0.05pt;height:38.15pt;width:72pt;z-index:252063744;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AFVz12FwIAABgEAAAOAAAAZHJzL2Uyb0RvYy54bWytU8uO0zAU&#10;3SPxD5b3NGmVwkzUdDRMNQhpeEgDH+A6TmMR+5prt8nwAfAHrNiw57v6HVw7nVKGzSzYRLbv9bnn&#10;HJ8sLgbTsZ1Cr8FWfDrJOVNWQq3tpuIfP1w/O+PMB2Fr0YFVFb9Tnl8snz5Z9K5UM2ihqxUyArG+&#10;7F3F2xBcmWVetsoIPwGnLBUbQCMCbXGT1Sh6QjddNsvz51kPWDsEqbyn09VY5AdEfAwgNI2WagVy&#10;a5QNIyqqTgSS5FvtPF8mtk2jZHjXNF4F1lWclIb0pSG0XsdvtlyIcoPCtVoeKIjHUHigyQhtaegR&#10;aiWCYFvU/0AZLRE8NGEiwWSjkOQIqZjmD7y5bYVTSQtZ7d3RdP//YOXb3XtkuqYkFJxZYejF99+/&#10;7X/82v/8yqb5+Sxa1DtfUueto94wvISB2pNc725AfvLMwlUr7EZdIkLfKlETxWm8mZ1cHXF8BFn3&#10;b6CmUWIbIAENDZroHznCCJ2e5+74PGoITNLh+bQocqpIKhVnxTyfpwmivL/s0IdXCgyLi4ojvX4C&#10;F7sbHyIZUd63xFkWrnXXpQR09q8DaowniXzkOzIPw3o4mLGG+o5kIIyBot+JFi3gF856ClPF/eet&#10;QMVZ99qSFYk5pS9tivmLGanA08r6tCKsJKiKB87G5VUYE7t1qDctTRrNt3BJ9jU6SYs+j6wOvCkw&#10;SfEh3DGRp/vU9eeHX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CloK9QAAAAHAQAADwAAAAAA&#10;AAABACAAAAAiAAAAZHJzL2Rvd25yZXYueG1sUEsBAhQAFAAAAAgAh07iQAVXPXYXAgAAGAQAAA4A&#10;AAAAAAAAAQAgAAAAIwEAAGRycy9lMm9Eb2MueG1sUEsFBgAAAAAGAAYAWQEAAKw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pPr>
        <w:spacing w:line="360" w:lineRule="auto"/>
        <w:rPr>
          <w:rFonts w:ascii="仿宋" w:hAnsi="仿宋" w:eastAsia="仿宋"/>
          <w:b/>
          <w:bCs/>
          <w:color w:val="auto"/>
          <w:highlight w:val="none"/>
          <w:lang w:eastAsia="zh-CN"/>
        </w:rPr>
      </w:pPr>
      <w:bookmarkStart w:id="649" w:name="_Toc29240"/>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6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13" name="文本框 1093"/>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026" o:spt="202" type="#_x0000_t202" style="position:absolute;left:0pt;margin-left:-9pt;margin-top:2.55pt;height:31.2pt;width:72pt;z-index:252064768;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C+2ftBcCAAAYBAAADgAAAGRycy9lMm9Eb2MueG1srVNLjhMx&#10;EN0jcQfLe9KdDwPTSmc0TDQIafhIAwdw3O60Rdtlyk66wwGYG7Biw55z5RyU3ZkQhs0s2Fi2q/zq&#10;vVfl+UVvWrZV6DXYko9HOWfKSqi0XZf808frZy8580HYSrRgVcl3yvOLxdMn884VagINtJVCRiDW&#10;F50reROCK7LMy0YZ4UfglKVgDWhEoCOuswpFR+imzSZ5fpZ1gJVDkMp7ul0OQX5AxMcAQl1rqZYg&#10;N0bZMKCiakUgSb7RzvNFYlvXSob3de1VYG3JSWlIKxWh/Squ2WIuijUK12h5oCAeQ+GBJiO0paJH&#10;qKUIgm1Q/wNltETwUIeRBJMNQpIjpGKcP/DmthFOJS1ktXdH0/3/g5Xvth+Q6YomYcqZFYY6vv9+&#10;t//xa//zGxvn59NoUed8QZm3jnJD/wp6Sk9yvbsB+dkzC1eNsGt1iQhdo0RFFMfxZXbydMDxEWTV&#10;vYWKSolNgATU12iif+QII3Rqz+7YHtUHJunyfDyb5RSRFJqen01mqX2ZKO4fO/ThtQLD4qbkSN1P&#10;4GJ740MkI4r7lFjLwrVu2zQBrf3rghLjTSIf+Q7MQ7/qD2asoNqRDIRhoOg70aYB/MpZR8NUcv9l&#10;I1Bx1r6xZEViTtOXDrPnLyakAk8jq9OIsJKgSh44G7ZXYZjYjUO9bqjSYL6FS7Kv1kla9HlgdeBN&#10;A5MUH4Y7TuTpOWX9+dC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qj8jPVAAAACAEAAA8AAAAA&#10;AAAAAQAgAAAAIgAAAGRycy9kb3ducmV2LnhtbFBLAQIUABQAAAAIAIdO4kAL7Z+0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50" w:name="_Toc47694378"/>
      <w:bookmarkStart w:id="651" w:name="_Toc469384076"/>
      <w:bookmarkStart w:id="652" w:name="_Toc167"/>
      <w:bookmarkStart w:id="653" w:name="_Toc1797"/>
      <w:r>
        <w:rPr>
          <w:rFonts w:hint="eastAsia" w:ascii="仿宋" w:hAnsi="仿宋" w:eastAsia="仿宋" w:cs="仿宋"/>
          <w:bCs w:val="0"/>
          <w:color w:val="auto"/>
          <w:sz w:val="24"/>
          <w:szCs w:val="24"/>
          <w:highlight w:val="none"/>
        </w:rPr>
        <w:t>99</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保密要求</w:t>
      </w:r>
      <w:bookmarkEnd w:id="650"/>
      <w:bookmarkEnd w:id="651"/>
      <w:bookmarkEnd w:id="652"/>
      <w:bookmarkEnd w:id="653"/>
    </w:p>
    <w:p>
      <w:pPr>
        <w:pStyle w:val="22"/>
        <w:adjustRightInd w:val="0"/>
        <w:snapToGrid w:val="0"/>
        <w:spacing w:line="360" w:lineRule="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99</w:t>
      </w:r>
      <w:r>
        <w:rPr>
          <w:rFonts w:ascii="仿宋" w:hAnsi="仿宋" w:eastAsia="仿宋" w:cs="仿宋"/>
          <w:b/>
          <w:bCs/>
          <w:color w:val="auto"/>
          <w:sz w:val="24"/>
          <w:szCs w:val="24"/>
          <w:highlight w:val="none"/>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12" name="文本框 1094"/>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026" o:spt="202" type="#_x0000_t202" style="position:absolute;left:0pt;margin-left:-9pt;margin-top:2.7pt;height:46.8pt;width:72pt;z-index:252065792;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ZpOZCxcCAAAYBAAADgAAAGRycy9lMm9Eb2MueG1srVPNbhMx&#10;EL4j8Q6W72Q3IS1klU1VGhUhlR+p8ACO15u1WHvM2MlueAD6Bpy4cOe58hyMvWkI5dIDF8v2jL/5&#10;vm/G84vetGyr0GuwJR+Pcs6UlVBpuy75p4/Xz15y5oOwlWjBqpLvlOcXi6dP5p0r1AQaaCuFjECs&#10;LzpX8iYEV2SZl40ywo/AKUvBGtCIQEdcZxWKjtBNm03y/DzrACuHIJX3dLscgvyAiI8BhLrWUi1B&#10;boyyYUBF1YpAknyjneeLxLaulQzv69qrwNqSk9KQVipC+1Vcs8VcFGsUrtHyQEE8hsIDTUZoS0WP&#10;UEsRBNug/gfKaIngoQ4jCSYbhCRHSMU4f+DNbSOcSlrIau+Opvv/ByvfbT8g0xVNwoQzKwx1fP/9&#10;bv/j1/7nNzbOZ9NoUed8QZm3jnJD/wp6Sk9yvbsB+dkzC1eNsGt1iQhdo0RFFMfxZXbydMDxEWTV&#10;vYWKSolNgATU12iif+QII3Rqz+7YHtUHJulyNp5Oc4pICp3Nps/PU/syUdw/dujDawWGxU3Jkbqf&#10;wMX2xodIRhT3KbGWhWvdtmkCWvvXBSXGm0Q+8h2Yh37VH8xYQbUjGQjDQNF3ok0D+JWzjoap5P7L&#10;RqDirH1jyYrEnKYvHaZnLyakAk8jq9OIsJKgSh44G7ZXYZjYjUO9bqjSYL6FS7Kv1kla9HlgdeBN&#10;A5MUH4Y7TuTpOWX9+dC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tmtfXVAAAACAEAAA8AAAAA&#10;AAAAAQAgAAAAIgAAAGRycy9kb3ducmV2LnhtbFBLAQIUABQAAAAIAIdO4kBmk5kLFwIAABgEAAAO&#10;AAAAAAAAAAEAIAAAACQBAABkcnMvZTJvRG9jLnhtbFBLBQYAAAAABgAGAFkBAACtBQ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pPr>
        <w:spacing w:line="360" w:lineRule="auto"/>
        <w:rPr>
          <w:rFonts w:ascii="仿宋" w:hAnsi="仿宋" w:eastAsia="仿宋" w:cs="仿宋"/>
          <w:b/>
          <w:bCs/>
          <w:color w:val="auto"/>
          <w:highlight w:val="none"/>
          <w:u w:val="dotted"/>
          <w:lang w:eastAsia="zh-CN"/>
        </w:rPr>
      </w:pPr>
      <w:bookmarkStart w:id="654"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6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11" name="文本框 1095"/>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026" o:spt="202" type="#_x0000_t202" style="position:absolute;left:0pt;margin-left:-9pt;margin-top:5.4pt;height:39pt;width:72pt;z-index:252066816;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1q9FkBYCAAAYBAAADgAAAGRycy9lMm9Eb2MueG1srVPBjtMw&#10;EL0j8Q+W7zRJaWEbNV0tWy1CWlikhQ9wHaexSDxm7DYpH8D+AScu3Pmufgdjp9sty2UPXKLxzPjN&#10;e8+T+XnfNmyr0GkwBc9GKWfKSCi1WRf886erF2ecOS9MKRowquA75fj54vmzeWdzNYYamlIhIxDj&#10;8s4WvPbe5kniZK1a4UZglaFiBdgKT0dcJyWKjtDbJhmn6aukAywtglTOUXY5FPkBEZ8CCFWlpVqC&#10;3LTK+AEVVSM8SXK1to4vItuqUtLfVJVTnjUFJ6U+fmkIxavwTRZzka9R2FrLAwXxFAqPNLVCGxp6&#10;hFoKL9gG9T9QrZYIDio/ktAmg5DoCKnI0kfe3NbCqqiFrHb2aLr7f7Dyw/YjMl3SJmScGdHSi+9/&#10;3O1//t7/+s6ydDYNFnXW5dR5a6nX92+gp/Yo19lrkF8cM3BZC7NWF4jQ1UqURDELN5OTqwOOCyCr&#10;7j2UNEpsPESgvsI2+EeOMEKn59kdn0f1nklKzrLJJKWKpNJkNn1JcZgg8vvLFp1/q6BlISg40utH&#10;cLG9dn5ovW8Jswxc6aahvMgb81eCMEMmkg98B+a+X/XUHRStoNyRDIRhoeh3oqAG/MZZR8tUcPd1&#10;I1Bx1rwzZEVkTtsXD5Pp6zGpwNPK6rQijCSognvOhvDSDxu7sajXNU0azDdwQfZVOkp7YHXgTQsT&#10;zTksd9jI03PsevihF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Figu9UAAAAJAQAADwAAAAAA&#10;AAABACAAAAAiAAAAZHJzL2Rvd25yZXYueG1sUEsBAhQAFAAAAAgAh07iQNavRZAWAgAAGAQAAA4A&#10;AAAAAAAAAQAgAAAAJAEAAGRycy9lMm9Eb2MueG1sUEsFBgAAAAAGAAYAWQEAAKw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99</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10" name="文本框 1096"/>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026" o:spt="202" type="#_x0000_t202" style="position:absolute;left:0pt;margin-left:-9pt;margin-top:0.25pt;height:23.7pt;width:81pt;z-index:252067840;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CTOQ3VGQIAABkEAAAOAAAAZHJzL2Uyb0RvYy54bWytU81uEzEQ&#10;viPxDpbvZDchtM0qm6o0KkIqP1LhARyvN2ux9pixk93wAPAGnLhw57nyHIy9aQjl0gMXa+wZf/N9&#10;n8fzy960bKvQa7AlH49yzpSVUGm7LvnHDzfPLjjzQdhKtGBVyXfK88vF0yfzzhVqAg20lUJGINYX&#10;nSt5E4IrsszLRhnhR+CUpWQNaESgLa6zCkVH6KbNJnl+lnWAlUOQyns6XQ5JfkDExwBCXWupliA3&#10;RtkwoKJqRSBJvtHO80ViW9dKhnd17VVgbclJaUgrNaF4FddsMRfFGoVrtDxQEI+h8ECTEdpS0yPU&#10;UgTBNqj/gTJaIniow0iCyQYhyRFSMc4feHPXCKeSFrLau6Pp/v/Byrfb98h0RZNAllhh6MX337/t&#10;f/za//zKxvnsLFrUOV9Q5Z2j2tC/hJ7Kk1zvbkF+8szCdSPsWl0hQtcoURHFcbyZnVwdcHwEWXVv&#10;oKJWYhMgAfU1mugfOcIInbjsjs+j+sBkbJlPLs5zSknKPc/z2Sy9XyaK+9sOfXilwLAYlBzp+RO6&#10;2N76ENmI4r4kNrNwo9s2jUBr/zqgwniS2EfCA/XQr/qDGyuodqQDYZgo+k8UNIBfOOtomkruP28E&#10;Ks7a15a8mI2nUyIe0mb64nxCGzzNrE4zwkqCKnngbAivwzCyG4d63VCnwX0LV+RfrZO0aPTA6sCb&#10;JiYpPkx3HMnTfar686M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cmCo1AAAAAcBAAAPAAAA&#10;AAAAAAEAIAAAACIAAABkcnMvZG93bnJldi54bWxQSwECFAAUAAAACACHTuJAkzkN1RkCAAAZBAAA&#10;DgAAAAAAAAABACAAAAAj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spacing w:line="360" w:lineRule="auto"/>
        <w:rPr>
          <w:rFonts w:ascii="仿宋" w:hAnsi="仿宋" w:eastAsia="仿宋"/>
          <w:b/>
          <w:bCs/>
          <w:color w:val="auto"/>
          <w:highlight w:val="none"/>
          <w:lang w:eastAsia="zh-CN"/>
        </w:rPr>
      </w:pPr>
      <w:bookmarkStart w:id="655"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6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9" name="文本框 1097"/>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026" o:spt="202" type="#_x0000_t202" style="position:absolute;left:0pt;margin-left:-9pt;margin-top:5.15pt;height:57.3pt;width:72pt;z-index:252068864;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EJAFOoXAgAAFwQAAA4AAABkcnMvZTJvRG9jLnhtbK1TzY7T&#10;MBC+I/EOlu80SVUojZqulq0WIS0/0sIDuI7TWCQeM3ablAeAN9gTF+48V5+DsZMtZbnsgYtle8bf&#10;fN834+VF3zZsr9BpMAXPJilnykgotdkW/NPH62cvOXNemFI0YFTBD8rxi9XTJ8vO5moKNTSlQkYg&#10;xuWdLXjtvc2TxMlatcJNwCpDwQqwFZ6OuE1KFB2ht00yTdMXSQdYWgSpnKPb9RDkIyI+BhCqSku1&#10;BrlrlfEDKqpGeJLkam0dX0W2VaWkf19VTnnWFJyU+rhSEdpvwpqsliLforC1liMF8RgKDzS1Qhsq&#10;eoJaCy/YDvU/UK2WCA4qP5HQJoOQ6AipyNIH3tzWwqqohax29mS6+3+w8t3+AzJdFnzBmREtNfx4&#10;9/3449fx5zeWpYt5cKizLqfEW0upvn8FPc1NVOvsDcjPjhm4qoXZqktE6GolSmKYhZfJ2dMBxwWQ&#10;TfcWSioldh4iUF9hG+wjQxihU3cOp+6o3jNJl4tsNkspIik0n87nWexeIvL7xxadf62gZWFTcKTm&#10;R3Cxv3E+kBH5fUqoZeBaN00cgMb8dUGJ4SaSD3wH5r7f9KMZGygPJANhmCf6TbSpAb9y1tEsFdx9&#10;2QlUnDVvDFkRmdPwxcPs+XxKKvA8sjmPCCMJquCes2F75YeB3VnU25oqDeYbuCT7Kh2lBZ8HViNv&#10;mpeoeJztMJDn55j15z+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6G9n1gAAAAoBAAAPAAAA&#10;AAAAAAEAIAAAACIAAABkcnMvZG93bnJldi54bWxQSwECFAAUAAAACACHTuJAQkAU6hcCAAAXBAAA&#10;DgAAAAAAAAABACAAAAAl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22"/>
        <w:adjustRightInd w:val="0"/>
        <w:snapToGrid w:val="0"/>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rPr>
        <w:t>99</w:t>
      </w:r>
      <w:r>
        <w:rPr>
          <w:rFonts w:ascii="仿宋" w:hAnsi="仿宋" w:eastAsia="仿宋" w:cs="仿宋"/>
          <w:b/>
          <w:bCs/>
          <w:color w:val="auto"/>
          <w:sz w:val="24"/>
          <w:szCs w:val="24"/>
          <w:highlight w:val="none"/>
        </w:rPr>
        <w:t xml:space="preserve">.5  </w:t>
      </w:r>
      <w:r>
        <w:rPr>
          <w:rFonts w:ascii="仿宋" w:hAnsi="仿宋" w:eastAsia="仿宋" w:cs="仿宋"/>
          <w:b/>
          <w:bCs/>
          <w:color w:val="auto"/>
          <w:sz w:val="24"/>
          <w:szCs w:val="24"/>
          <w:highlight w:val="none"/>
          <w:u w:val="dotted"/>
        </w:rPr>
        <w:t xml:space="preserve">                                                                      </w:t>
      </w:r>
    </w:p>
    <w:p>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lang w:eastAsia="zh-CN" w:bidi="ar-SA"/>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8" name="文本框 1098"/>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026" o:spt="202" type="#_x0000_t202" style="position:absolute;left:0pt;margin-left:-9pt;margin-top:1.75pt;height:39pt;width:72pt;z-index:252069888;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SKr+5RYCAAAXBAAADgAAAGRycy9lMm9Eb2MueG1srVPNjtMw&#10;EL4j8Q6W7zRp6cI2arpatlqEtPxICw/gOk5jEXvM2G1SHgDegBMX7jxXn4Ox0+2W5bIHLtF4ZvzN&#10;932ezC9607KtQq/Blnw8yjlTVkKl7brknz5ePzvnzAdhK9GCVSXfKc8vFk+fzDtXqAk00FYKGYFY&#10;X3Su5E0IrsgyLxtlhB+BU5aKNaARgY64zioUHaGbNpvk+YusA6wcglTeU3Y5FPkBER8DCHWtpVqC&#10;3Bhlw4CKqhWBJPlGO88XiW1dKxne17VXgbUlJ6UhfWkIxav4zRZzUaxRuEbLAwXxGAoPNBmhLQ09&#10;Qi1FEGyD+h8ooyWChzqMJJhsEJIcIRXj/IE3t41wKmkhq707mu7/H6x8t/2ATFclp2e3wtCD7398&#10;3//8vf/1jY3z2Xl0qHO+oMZbR62hfwU97U1S690NyM+eWbhqhF2rS0ToGiUqYjiON7OTqwOOjyCr&#10;7i1UNEpsAiSgvkYT7SNDGKHT6+yOr6P6wCQlZ+PpNKeKpNJ0dvac4jhBFHeXHfrwWoFhMSg50uMn&#10;cLG98WFovWuJsyxc67alvCha+1eCMGMmkY98B+ahX/XUHRWtoNqRDIRhn+hvoqAB/MpZR7tUcv9l&#10;I1Bx1r6xZEViTsuXDtOzlxNSgaeV1WlFWElQJQ+cDeFVGBZ241CvG5o0mG/hkuyrdZJ2z+rAm/Yl&#10;mXPY7biQp+fUdf8/L/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BSM6NUAAAAIAQAADwAAAAAA&#10;AAABACAAAAAiAAAAZHJzL2Rvd25yZXYueG1sUEsBAhQAFAAAAAgAh07iQEiq/uUWAgAAFwQAAA4A&#10;AAAAAAAAAQAgAAAAJAEAAGRycy9lMm9Eb2MueG1sUEsFBgAAAAAGAAYAWQEAAKw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 28 天内以书面形式予以确认。保密信息不但包括合同双方当事人确认的信息，还包括与工程材料和工程设备、价格、工程设计、图纸、技术、工艺和财务等相关信息。但不包括下述信息</w:t>
      </w:r>
      <w:r>
        <w:rPr>
          <w:rFonts w:hint="eastAsia" w:ascii="仿宋" w:hAnsi="仿宋" w:eastAsia="仿宋" w:cs="仿宋"/>
          <w:color w:val="auto"/>
          <w:highlight w:val="none"/>
        </w:rPr>
        <w:t>：</w:t>
      </w:r>
    </w:p>
    <w:p>
      <w:pPr>
        <w:pStyle w:val="22"/>
        <w:widowControl w:val="0"/>
        <w:numPr>
          <w:ilvl w:val="0"/>
          <w:numId w:val="20"/>
        </w:numPr>
        <w:snapToGrid w:val="0"/>
        <w:spacing w:line="360" w:lineRule="auto"/>
        <w:ind w:left="1850" w:leftChars="771" w:firstLine="0"/>
        <w:jc w:val="both"/>
        <w:rPr>
          <w:rFonts w:ascii="仿宋" w:hAnsi="仿宋" w:eastAsia="仿宋"/>
          <w:color w:val="auto"/>
          <w:sz w:val="24"/>
          <w:szCs w:val="24"/>
          <w:highlight w:val="none"/>
        </w:rPr>
      </w:pPr>
      <w:bookmarkStart w:id="656" w:name="_Toc3104"/>
      <w:r>
        <w:rPr>
          <w:rFonts w:hint="eastAsia" w:ascii="仿宋" w:hAnsi="仿宋" w:eastAsia="仿宋" w:cs="仿宋"/>
          <w:color w:val="auto"/>
          <w:sz w:val="24"/>
          <w:szCs w:val="24"/>
          <w:highlight w:val="none"/>
        </w:rPr>
        <w:t>提供前已由合同双方当事人所持有的；</w:t>
      </w:r>
      <w:bookmarkEnd w:id="656"/>
    </w:p>
    <w:p>
      <w:pPr>
        <w:pStyle w:val="22"/>
        <w:widowControl w:val="0"/>
        <w:numPr>
          <w:ilvl w:val="0"/>
          <w:numId w:val="20"/>
        </w:numPr>
        <w:snapToGrid w:val="0"/>
        <w:spacing w:line="360" w:lineRule="auto"/>
        <w:ind w:left="1850" w:leftChars="771" w:firstLine="0"/>
        <w:jc w:val="both"/>
        <w:rPr>
          <w:rFonts w:ascii="仿宋" w:hAnsi="仿宋" w:eastAsia="仿宋" w:cs="仿宋"/>
          <w:color w:val="auto"/>
          <w:sz w:val="24"/>
          <w:szCs w:val="24"/>
          <w:highlight w:val="none"/>
        </w:rPr>
      </w:pPr>
      <w:bookmarkStart w:id="657" w:name="_Toc11051"/>
      <w:r>
        <w:rPr>
          <w:rFonts w:hint="eastAsia" w:ascii="仿宋" w:hAnsi="仿宋" w:eastAsia="仿宋" w:cs="仿宋"/>
          <w:color w:val="auto"/>
          <w:sz w:val="24"/>
          <w:szCs w:val="24"/>
          <w:highlight w:val="none"/>
        </w:rPr>
        <w:t>已公开发表或非对方当事人原因向公众公开的；</w:t>
      </w:r>
      <w:bookmarkEnd w:id="657"/>
    </w:p>
    <w:p>
      <w:pPr>
        <w:pStyle w:val="22"/>
        <w:widowControl w:val="0"/>
        <w:numPr>
          <w:ilvl w:val="0"/>
          <w:numId w:val="20"/>
        </w:numPr>
        <w:snapToGrid w:val="0"/>
        <w:spacing w:line="360" w:lineRule="auto"/>
        <w:ind w:left="1850" w:leftChars="771" w:firstLine="0"/>
        <w:jc w:val="both"/>
        <w:rPr>
          <w:rFonts w:ascii="仿宋" w:hAnsi="仿宋" w:eastAsia="仿宋" w:cs="仿宋"/>
          <w:color w:val="auto"/>
          <w:sz w:val="24"/>
          <w:szCs w:val="24"/>
          <w:highlight w:val="none"/>
        </w:rPr>
      </w:pPr>
      <w:bookmarkStart w:id="658" w:name="_Toc21480"/>
      <w:r>
        <w:rPr>
          <w:rFonts w:hint="eastAsia" w:ascii="仿宋" w:hAnsi="仿宋" w:eastAsia="仿宋" w:cs="仿宋"/>
          <w:color w:val="auto"/>
          <w:sz w:val="24"/>
          <w:szCs w:val="24"/>
          <w:highlight w:val="none"/>
        </w:rPr>
        <w:t>已由各相关方书面同意其公开的；</w:t>
      </w:r>
      <w:bookmarkEnd w:id="658"/>
    </w:p>
    <w:p>
      <w:pPr>
        <w:pStyle w:val="22"/>
        <w:widowControl w:val="0"/>
        <w:numPr>
          <w:ilvl w:val="0"/>
          <w:numId w:val="20"/>
        </w:numPr>
        <w:snapToGrid w:val="0"/>
        <w:spacing w:line="360" w:lineRule="auto"/>
        <w:ind w:left="1850" w:leftChars="771" w:firstLine="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在未获取保密信息前由对方当事人独立开发的；</w:t>
      </w:r>
    </w:p>
    <w:p>
      <w:pPr>
        <w:pStyle w:val="22"/>
        <w:widowControl w:val="0"/>
        <w:numPr>
          <w:ilvl w:val="0"/>
          <w:numId w:val="20"/>
        </w:numPr>
        <w:snapToGrid w:val="0"/>
        <w:spacing w:line="360" w:lineRule="auto"/>
        <w:ind w:left="1850" w:leftChars="771" w:firstLine="0"/>
        <w:jc w:val="both"/>
        <w:rPr>
          <w:rFonts w:ascii="仿宋" w:hAnsi="仿宋" w:eastAsia="仿宋"/>
          <w:color w:val="auto"/>
          <w:sz w:val="24"/>
          <w:szCs w:val="24"/>
          <w:highlight w:val="none"/>
        </w:rPr>
      </w:pPr>
      <w:bookmarkStart w:id="659" w:name="_Toc7745"/>
      <w:r>
        <w:rPr>
          <w:rFonts w:hint="eastAsia" w:ascii="仿宋" w:hAnsi="仿宋" w:eastAsia="仿宋" w:cs="仿宋"/>
          <w:color w:val="auto"/>
          <w:sz w:val="24"/>
          <w:szCs w:val="24"/>
          <w:highlight w:val="none"/>
        </w:rPr>
        <w:t>对方当事人从对保密信息不承担保密义务的第三方处合法获得的。</w:t>
      </w:r>
      <w:bookmarkEnd w:id="659"/>
    </w:p>
    <w:p>
      <w:pPr>
        <w:pStyle w:val="22"/>
        <w:tabs>
          <w:tab w:val="left" w:pos="162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60" w:name="_Toc30752"/>
      <w:bookmarkStart w:id="661" w:name="_Toc469384077"/>
      <w:bookmarkStart w:id="662" w:name="_Toc47694379"/>
      <w:bookmarkStart w:id="663" w:name="_Toc29934"/>
      <w:r>
        <w:rPr>
          <w:rFonts w:hint="eastAsia" w:ascii="仿宋" w:hAnsi="仿宋" w:eastAsia="仿宋" w:cs="仿宋"/>
          <w:bCs w:val="0"/>
          <w:color w:val="auto"/>
          <w:sz w:val="24"/>
          <w:szCs w:val="24"/>
          <w:highlight w:val="none"/>
        </w:rPr>
        <w:t>100</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 xml:space="preserve"> 廉政建设</w:t>
      </w:r>
      <w:bookmarkEnd w:id="660"/>
      <w:bookmarkEnd w:id="661"/>
      <w:bookmarkEnd w:id="662"/>
      <w:bookmarkEnd w:id="663"/>
    </w:p>
    <w:p>
      <w:pPr>
        <w:rPr>
          <w:rFonts w:ascii="仿宋" w:hAnsi="仿宋" w:eastAsia="仿宋" w:cs="仿宋"/>
          <w:b/>
          <w:bCs/>
          <w:color w:val="auto"/>
          <w:highlight w:val="none"/>
          <w:lang w:eastAsia="zh-CN"/>
        </w:rPr>
      </w:pPr>
      <w:bookmarkStart w:id="664"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664"/>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7" name="文本框 1099"/>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026" o:spt="202" type="#_x0000_t202" style="position:absolute;left:0pt;margin-left:-9pt;margin-top:1.25pt;height:23.4pt;width:63pt;z-index:25207091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s/+hWhgCAAAXBAAADgAAAGRycy9lMm9Eb2MueG1srVPNjtMw&#10;EL4j8Q6W7zRJVWgbNV0tWy1CWn6kXR7AdZzGIvGYsdukPAC8AScu3HmuPseOnW4py2UPXCzbM/7m&#10;+74ZLy76tmE7hU6DKXg2SjlTRkKpzabgn+6uX8w4c16YUjRgVMH3yvGL5fNni87magw1NKVCRiDG&#10;5Z0teO29zZPEyVq1wo3AKkPBCrAVno64SUoUHaG3TTJO01dJB1haBKmco9vVEORHRHwKIFSVlmoF&#10;ctsq4wdUVI3wJMnV2jq+jGyrSkn/oaqc8qwpOCn1caUitF+HNVkuRL5BYWstjxTEUyg80tQKbajo&#10;CWolvGBb1P9AtVoiOKj8SEKbDEKiI6QiSx95c1sLq6IWstrZk+nu/8HK97uPyHRZ8ClnRrTU8MOP&#10;74efvw+/vrEsnc+DQ511OSXeWkr1/WvoaW6iWmdvQH52zMBVLcxGXSJCVytREsMsvEzOng44LoCs&#10;u3dQUimx9RCB+grbYB8ZwgidurM/dUf1nkm6nKXkEEUkhcbzaTaL3UtE/vDYovNvFLQsbAqO1PwI&#10;LnY3zgcyIn9ICbUMXOumiQPQmL8uKDHcRPKB78Dc9+v+aMYayj3JQBjmiX4TbWrAr5x1NEsFd1+2&#10;AhVnzVtDVsyzySQMXzxMXk7HdMDzyPo8IowkqIJ7zobtlR8GdmtRb2qqNJhv4JLsq3SUFnweWB15&#10;07xExcfZDgN5fo5Zf/7z8h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h2yR1QAAAAgBAAAPAAAA&#10;AAAAAAEAIAAAACIAAABkcnMvZG93bnJldi54bWxQSwECFAAUAAAACACHTuJAs/+hWhgCAAAXBAAA&#10;DgAAAAAAAAABACAAAAAkAQAAZHJzL2Uyb0RvYy54bWxQSwUGAAAAAAYABgBZAQAArg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pPr>
        <w:pStyle w:val="22"/>
        <w:adjustRightInd w:val="0"/>
        <w:snapToGrid w:val="0"/>
        <w:spacing w:line="360" w:lineRule="auto"/>
        <w:rPr>
          <w:rFonts w:ascii="仿宋" w:hAnsi="仿宋" w:eastAsia="仿宋" w:cs="仿宋"/>
          <w:b/>
          <w:bCs/>
          <w:color w:val="auto"/>
          <w:sz w:val="24"/>
          <w:szCs w:val="24"/>
          <w:highlight w:val="none"/>
          <w:u w:val="dotted"/>
        </w:rPr>
      </w:pPr>
      <w:r>
        <w:rPr>
          <w:rFonts w:hint="eastAsia" w:ascii="仿宋" w:hAnsi="仿宋" w:eastAsia="仿宋" w:cs="仿宋"/>
          <w:b/>
          <w:bCs/>
          <w:color w:val="auto"/>
          <w:sz w:val="24"/>
          <w:szCs w:val="24"/>
          <w:highlight w:val="none"/>
        </w:rPr>
        <w:t>100</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6" name="文本框 1100"/>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026" o:spt="202" type="#_x0000_t202" style="position:absolute;left:0pt;margin-left:-9pt;margin-top:4.25pt;height:24.95pt;width:63pt;z-index:252071936;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A6XV10GAIAABcEAAAOAAAAZHJzL2Uyb0RvYy54bWytU8GO0zAQ&#10;vSPxD5bvNEnplhI1XS1bLUJaYKWFD3Adp7FIPGbsNikfAH/AiQv3/a5+B2On2y3LZQ9cLNszfvPe&#10;m/H8vG8btlXoNJiCZ6OUM2UklNqsC/7509WLGWfOC1OKBowq+E45fr54/mze2VyNoYamVMgIxLi8&#10;swWvvbd5kjhZq1a4EVhlKFgBtsLTEddJiaIj9LZJxmk6TTrA0iJI5RzdLocgPyDiUwChqrRUS5Cb&#10;Vhk/oKJqhCdJrtbW8UVkW1VK+o9V5ZRnTcFJqY8rFaH9KqzJYi7yNQpba3mgIJ5C4ZGmVmhDRY9Q&#10;S+EF26D+B6rVEsFB5UcS2mQQEh0hFVn6yJvbWlgVtZDVzh5Nd/8PVn7Y3iDTZcGnnBnRUsP3P3/s&#10;f93tf39nWZZGhzrrckq8tZTq+zfQ09xEtc5eg/zimIHLWpi1ukCErlaiJIZZ8DY5eRp64nIXQFbd&#10;eyiplNh4iEB9hW2wjwxhhE7d2R27o3rPJF3OUnKIIpJCL7PpbHoWK4j8/rFF598qaFnYFByp+RFc&#10;bK+dD2REfp8Sahm40k0TB6Axf11QYriJ5APfgbnvVz1lBxErKHckA2GYJ/pNtKkBv3HW0SwV3H3d&#10;CFScNe8MWfE6m0zC8MXD5OzVmA54GlmdRoSRBFVwz9mwvfTDwG4s6nVNlQbzDVyQfZWO0h5YHXjT&#10;vETFh9kOA3l6jlkP/3n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cx2CfUAAAACAEAAA8AAAAA&#10;AAAAAQAgAAAAIgAAAGRycy9kb3ducmV2LnhtbFBLAQIUABQAAAAIAIdO4kA6XV10GAIAABcEAAAO&#10;AAAAAAAAAAEAIAAAACMBAABkcnMvZTJvRG9jLnhtbFBLBQYAAAAABgAGAFkBAACt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 92.3款约定解除合同，并按照第 93.3 款约定办理合同解除的支付。</w:t>
      </w:r>
    </w:p>
    <w:p>
      <w:pPr>
        <w:pStyle w:val="22"/>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65" w:name="_Toc21305"/>
      <w:bookmarkStart w:id="666" w:name="_Toc47694380"/>
      <w:bookmarkStart w:id="667" w:name="_Toc4154"/>
      <w:bookmarkStart w:id="668" w:name="_Toc469384078"/>
      <w:r>
        <w:rPr>
          <w:rFonts w:hint="eastAsia" w:ascii="仿宋" w:hAnsi="仿宋" w:eastAsia="仿宋" w:cs="仿宋"/>
          <w:bCs w:val="0"/>
          <w:color w:val="auto"/>
          <w:sz w:val="24"/>
          <w:szCs w:val="24"/>
          <w:highlight w:val="none"/>
        </w:rPr>
        <w:t>101</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禁止转让</w:t>
      </w:r>
      <w:bookmarkEnd w:id="665"/>
      <w:bookmarkEnd w:id="666"/>
      <w:bookmarkEnd w:id="667"/>
      <w:bookmarkEnd w:id="668"/>
    </w:p>
    <w:p>
      <w:pPr>
        <w:pStyle w:val="22"/>
        <w:adjustRightInd w:val="0"/>
        <w:snapToGrid w:val="0"/>
        <w:spacing w:line="360" w:lineRule="auto"/>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101</w:t>
      </w:r>
      <w:r>
        <w:rPr>
          <w:rFonts w:ascii="仿宋" w:hAnsi="仿宋" w:eastAsia="仿宋" w:cs="仿宋"/>
          <w:b/>
          <w:bCs/>
          <w:color w:val="auto"/>
          <w:sz w:val="24"/>
          <w:szCs w:val="24"/>
          <w:highlight w:val="none"/>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5" name="文本框 1101"/>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026" o:spt="202" type="#_x0000_t202" style="position:absolute;left:0pt;margin-left:-9pt;margin-top:1.25pt;height:23.4pt;width:63pt;z-index:25207296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5psCXBcCAAAXBAAADgAAAGRycy9lMm9Eb2MueG1srVNLbtsw&#10;EN0X6B0I7mtJhtM4guUgjZGiQPoB0h6ApiiLqMRhh7Ql9wDtDbLqpvuey+fokFJcN91k0Q1BcoZv&#10;3nszXFz2bcN2Cp0GU/BsknKmjIRSm03BP328eTHnzHlhStGAUQXfK8cvl8+fLTqbqynU0JQKGYEY&#10;l3e24LX3Nk8SJ2vVCjcBqwwFK8BWeDriJilRdITeNsk0TV8mHWBpEaRyjm5XQ5CPiPgUQKgqLdUK&#10;5LZVxg+oqBrhSZKrtXV8GdlWlZL+fVU55VlTcFLq40pFaL8Oa7JciHyDwtZajhTEUyg80tQKbajo&#10;EWolvGBb1P9AtVoiOKj8REKbDEKiI6QiSx95c1cLq6IWstrZo+nu/8HKd7sPyHRZ8DPOjGip4Yf7&#10;74cfvw4/v7EsS7PgUGddTol3llJ9/wp6mpuo1tlbkJ8dM3BdC7NRV4jQ1UqUxDC+TE6eDjgugKy7&#10;t1BSKbH1EIH6CttgHxnCCJ26sz92R/WeSbqcp+QQRSSFphfn2Tx2LxH5w2OLzr9W0LKwKThS8yO4&#10;2N06TzIo9SEl1DJwo5smDkBj/rqgxHATyQe+A3Pfr/vRjDWUe5KBMMwT/Sba1IBfOetolgruvmwF&#10;Ks6aN4asuMhmszB88TA7O5/SAU8j69OIMJKgCu45G7bXfhjYrUW9qanSYL6BK7Kv0lFa8HlgNfKm&#10;eYmKx9kOA3l6jll//vP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WHbJHVAAAACAEAAA8AAAAA&#10;AAAAAQAgAAAAIgAAAGRycy9kb3ducmV2LnhtbFBLAQIUABQAAAAIAIdO4kDmmwJcFwIAABcEAAAO&#10;AAAAAAAAAAEAIAAAACQBAABkcnMvZTJvRG9jLnhtbFBLBQYAAAAABgAGAFkBAACtBQ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本合同一经签署，合同双方当事人均应按照本合同规定行使各自的权利、履行各自的义务。</w:t>
      </w:r>
    </w:p>
    <w:p>
      <w:pPr>
        <w:spacing w:line="360" w:lineRule="auto"/>
        <w:rPr>
          <w:rFonts w:ascii="仿宋" w:hAnsi="仿宋" w:eastAsia="仿宋" w:cs="仿宋"/>
          <w:b/>
          <w:bCs/>
          <w:color w:val="auto"/>
          <w:highlight w:val="none"/>
          <w:u w:val="dotted"/>
          <w:lang w:eastAsia="zh-CN"/>
        </w:rPr>
      </w:pPr>
      <w:bookmarkStart w:id="669"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6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4" name="文本框 1102"/>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026" o:spt="202" type="#_x0000_t202" style="position:absolute;left:0pt;margin-left:-9pt;margin-top:7.75pt;height:23.4pt;width:63pt;z-index:252073984;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DTKUKYYAgAAFwQAAA4AAABkcnMvZTJvRG9jLnhtbK1TzY7T&#10;MBC+I/EOlu80SVXY3ajpatlqEdLyIy08gOs4jUXsMWO3SXkAeANOXLjzXH0Oxk63lOWyBy6W7Rl/&#10;833fjOeXg+nYVqHXYCteTHLOlJVQa7uu+McPN8/OOfNB2Fp0YFXFd8rzy8XTJ/PelWoKLXS1QkYg&#10;1pe9q3gbgiuzzMtWGeEn4JSlYANoRKAjrrMaRU/opsumef4i6wFrhyCV93S7HIP8gIiPAYSm0VIt&#10;QW6MsmFERdWJQJJ8q53ni8S2aZQM75rGq8C6ipPSkFYqQvtVXLPFXJRrFK7V8kBBPIbCA01GaEtF&#10;j1BLEQTboP4HymiJ4KEJEwkmG4UkR0hFkT/w5q4VTiUtZLV3R9P9/4OVb7fvkem64jPOrDDU8P33&#10;b/sfv/Y/v7KiyKfRod75khLvHKWG4SUMNDdJrXe3ID95ZuG6FXatrhChb5WoiWERX2YnT0ccH0FW&#10;/RuoqZTYBEhAQ4Mm2keGMEKn7uyO3VFDYJIuz3NyiCKSQtOLs+I8dS8T5f1jhz68UmBY3FQcqfkJ&#10;XGxvfYhkRHmfEmtZuNFdlwags39dUGK8SeQj35F5GFbDwYwV1DuSgTDOE/0m2rSAXzjraZYq7j9v&#10;BCrOuteWrLgoZrM4fOkwe342pQOeRlanEWElQVU8cDZur8M4sBuHet1SpdF8C1dkX6OTtOjzyOrA&#10;m+YlKT7MdhzI03PK+vOf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EeyaNYAAAAJAQAADwAA&#10;AAAAAAABACAAAAAiAAAAZHJzL2Rvd25yZXYueG1sUEsBAhQAFAAAAAgAh07iQDTKUKYYAgAAFwQA&#10;AA4AAAAAAAAAAQAgAAAAJQEAAGRycy9lMm9Eb2MueG1sUEsFBgAAAAAGAAYAWQEAAK8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pPr>
        <w:pStyle w:val="22"/>
        <w:adjustRightInd w:val="0"/>
        <w:snapToGrid w:val="0"/>
        <w:spacing w:line="480" w:lineRule="auto"/>
        <w:rPr>
          <w:rFonts w:ascii="仿宋" w:hAnsi="仿宋" w:eastAsia="仿宋"/>
          <w:b/>
          <w:bCs/>
          <w:color w:val="auto"/>
          <w:sz w:val="24"/>
          <w:szCs w:val="24"/>
          <w:highlight w:val="non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70" w:name="_Toc47694381"/>
      <w:bookmarkStart w:id="671" w:name="_Toc469384079"/>
      <w:bookmarkStart w:id="672" w:name="_Toc9907"/>
      <w:bookmarkStart w:id="673" w:name="_Toc22348"/>
      <w:r>
        <w:rPr>
          <w:rFonts w:hint="eastAsia" w:ascii="仿宋" w:hAnsi="仿宋" w:eastAsia="仿宋" w:cs="仿宋"/>
          <w:bCs w:val="0"/>
          <w:color w:val="auto"/>
          <w:sz w:val="24"/>
          <w:szCs w:val="24"/>
          <w:highlight w:val="none"/>
        </w:rPr>
        <w:t>102</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合同份数</w:t>
      </w:r>
      <w:bookmarkEnd w:id="670"/>
      <w:bookmarkEnd w:id="671"/>
      <w:bookmarkEnd w:id="672"/>
      <w:bookmarkEnd w:id="673"/>
    </w:p>
    <w:p>
      <w:pPr>
        <w:pStyle w:val="22"/>
        <w:adjustRightInd w:val="0"/>
        <w:snapToGrid w:val="0"/>
        <w:spacing w:line="360" w:lineRule="auto"/>
        <w:ind w:left="1312" w:hanging="1312" w:hangingChars="656"/>
        <w:rPr>
          <w:rFonts w:ascii="仿宋" w:hAnsi="仿宋" w:eastAsia="仿宋" w:cs="仿宋"/>
          <w:b/>
          <w:bCs/>
          <w:color w:val="auto"/>
          <w:sz w:val="24"/>
          <w:szCs w:val="24"/>
          <w:highlight w:val="none"/>
        </w:rPr>
      </w:pPr>
      <w:r>
        <w:rPr>
          <w:color w:val="auto"/>
          <w:highlight w:val="none"/>
          <w:lang w:val="en-US"/>
        </w:rPr>
        <mc:AlternateContent>
          <mc:Choice Requires="wps">
            <w:drawing>
              <wp:anchor distT="0" distB="0" distL="114300" distR="114300" simplePos="0" relativeHeight="252102656" behindDoc="0" locked="0" layoutInCell="1" allowOverlap="1">
                <wp:simplePos x="0" y="0"/>
                <wp:positionH relativeFrom="column">
                  <wp:posOffset>-66675</wp:posOffset>
                </wp:positionH>
                <wp:positionV relativeFrom="paragraph">
                  <wp:posOffset>273685</wp:posOffset>
                </wp:positionV>
                <wp:extent cx="889000" cy="396240"/>
                <wp:effectExtent l="0" t="0" r="0" b="0"/>
                <wp:wrapNone/>
                <wp:docPr id="3" name="文本框 1103"/>
                <wp:cNvGraphicFramePr/>
                <a:graphic xmlns:a="http://schemas.openxmlformats.org/drawingml/2006/main">
                  <a:graphicData uri="http://schemas.microsoft.com/office/word/2010/wordprocessingShape">
                    <wps:wsp>
                      <wps:cNvSpPr txBox="1">
                        <a:spLocks noChangeArrowheads="1"/>
                      </wps:cNvSpPr>
                      <wps:spPr bwMode="auto">
                        <a:xfrm>
                          <a:off x="0" y="0"/>
                          <a:ext cx="88900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026" o:spt="202" type="#_x0000_t202" style="position:absolute;left:0pt;margin-left:-5.25pt;margin-top:21.55pt;height:31.2pt;width:70pt;z-index:252102656;mso-width-relative:page;mso-height-relative:page;" filled="f" stroked="f" coordsize="21600,21600" o:gfxdata="UEsDBAoAAAAAAIdO4kAAAAAAAAAAAAAAAAAEAAAAZHJzL1BLAwQUAAAACACHTuJAUl+LbdYAAAAK&#10;AQAADwAAAGRycy9kb3ducmV2LnhtbE2PTU/DMAyG70j8h8hI3LakY0WsNN0BxBXE+JC4eY3XVjRO&#10;1WRr+fd4J7j549Hrx+V29r060Ri7wBaypQFFXAfXcWPh/e1pcQcqJmSHfWCy8EMRttXlRYmFCxO/&#10;0mmXGiUhHAu00KY0FFrHuiWPcRkGYtkdwugxSTs22o04Sbjv9cqYW+2xY7nQ4kAPLdXfu6O38PF8&#10;+Ppcm5fm0efDFGaj2W+0tddXmbkHlWhOfzCc9UUdKnHahyO7qHoLi8zkglpY32SgzsBqI4O9FCbP&#10;QVel/v9C9QtQSwMEFAAAAAgAh07iQE1hotcZAgAAFwQAAA4AAABkcnMvZTJvRG9jLnhtbK1TzY7T&#10;MBC+I/EOlu80SVuWNmq6WrZahLT8SAsP4DpOY5F4zNhtUh4A3oATF+48V5+DsdMtZbnsgYtle8bf&#10;fN8348Vl3zZsp9BpMAXPRilnykgotdkU/OOHm2czzpwXphQNGFXwvXL8cvn0yaKzuRpDDU2pkBGI&#10;cXlnC157b/MkcbJWrXAjsMpQsAJshacjbpISRUfobZOM0/Qi6QBLiyCVc3S7GoL8iIiPAYSq0lKt&#10;QG5bZfyAiqoRniS5WlvHl5FtVSnp31WVU541BSelPq5UhPbrsCbLhcg3KGyt5ZGCeAyFB5paoQ0V&#10;PUGthBdsi/ofqFZLBAeVH0lok0FIdIRUZOkDb+5qYVXUQlY7ezLd/T9Y+Xb3HpkuCz7hzIiWGn74&#10;/u3w49fh51eWZekkONRZl1PinaVU37+EnuYmqnX2FuQnxwxc18Js1BUidLUSJTHMwsvk7OmA4wLI&#10;unsDJZUSWw8RqK+wDfaRIYzQqTv7U3dU75mky9lsnqYUkRSazC/G09i9ROT3jy06/0pBy8Km4EjN&#10;j+Bid+t8ICPy+5RQy8CNbpo4AI3564ISw00kH/gOzH2/7o9mrKHckwyEYZ7oN9GmBvzCWUezVHD3&#10;eStQcda8NmTFPJsSWebjYfr8xZgOeB5Zn0eEkQRVcM/ZsL32w8BuLepNTZUG8w1ckX2VjtKCzwOr&#10;I2+al6j4ONthIM/PMevPf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fi23WAAAACgEAAA8A&#10;AAAAAAAAAQAgAAAAIgAAAGRycy9kb3ducmV2LnhtbFBLAQIUABQAAAAIAIdO4kBNYaLXGQIAABcE&#10;AAAOAAAAAAAAAAEAIAAAACUBAABkcnMvZTJvRG9jLnhtbFBLBQYAAAAABgAGAFkBAACw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rPr>
        <w:t>102</w:t>
      </w:r>
      <w:r>
        <w:rPr>
          <w:rFonts w:ascii="仿宋" w:hAnsi="仿宋" w:eastAsia="仿宋" w:cs="仿宋"/>
          <w:b/>
          <w:bCs/>
          <w:color w:val="auto"/>
          <w:sz w:val="24"/>
          <w:szCs w:val="24"/>
          <w:highlight w:val="none"/>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pPr>
        <w:spacing w:line="360" w:lineRule="auto"/>
        <w:rPr>
          <w:rFonts w:ascii="仿宋" w:hAnsi="仿宋" w:eastAsia="仿宋"/>
          <w:color w:val="auto"/>
          <w:highlight w:val="none"/>
          <w:lang w:eastAsia="zh-CN"/>
        </w:rPr>
      </w:pPr>
      <w:bookmarkStart w:id="674"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6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2" name="文本框 1104"/>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026" o:spt="202" type="#_x0000_t202" style="position:absolute;left:0pt;margin-left:-9pt;margin-top:0.65pt;height:23.6pt;width:63pt;z-index:252075008;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AU9yQiFwIAABcEAAAOAAAAZHJzL2Uyb0RvYy54bWytU82O0zAQ&#10;viPxDpbvNElVYBs1XS1bLUJafqSFB3Adp7GIPWbsNlkeAN5gT1y481x9DsZOt5Tlsgculu0Zf/N9&#10;34wX54Pp2E6h12ArXkxyzpSVUGu7qfinj1fPzjjzQdhadGBVxW+V5+fLp08WvSvVFFroaoWMQKwv&#10;e1fxNgRXZpmXrTLCT8ApS8EG0IhAR9xkNYqe0E2XTfP8RdYD1g5BKu/pdjUG+QERHwMITaOlWoHc&#10;GmXDiIqqE4Ek+VY7z5eJbdMoGd43jVeBdRUnpSGtVIT267hmy4UoNyhcq+WBgngMhQeajNCWih6h&#10;ViIItkX9D5TREsFDEyYSTDYKSY6QiiJ/4M1NK5xKWshq746m+/8HK9/tPiDTdcWnnFlhqOH7u+/7&#10;H7/2P7+xoshn0aHe+ZISbxylhuEVDDQ3Sa131yA/e2bhshV2oy4QoW+VqIlhEV9mJ09HHB9B1v1b&#10;qKmU2AZIQEODJtpHhjBCp+7cHrujhsAkXZ7l5BBFJIWm8/nLaepeJsr7xw59eK3AsLipOFLzE7jY&#10;XfsQyYjyPiXWsnCluy4NQGf/uqDEeJPIR74j8zCsh4MZa6hvSQbCOE/0m2jTAn7lrKdZqrj/shWo&#10;OOveWLJiXsxmcfjSYfY8Mmd4GlmfRoSVBFXxwNm4vQzjwG4d6k1LlUbzLVyQfY1O0qLPI6sDb5qX&#10;pPgw23EgT88p689/X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H92+tQAAAAIAQAADwAAAAAA&#10;AAABACAAAAAiAAAAZHJzL2Rvd25yZXYueG1sUEsBAhQAFAAAAAgAh07iQBT3JCIXAgAAFwQAAA4A&#10;AAAAAAAAAQAgAAAAIwEAAGRycy9lMm9Eb2MueG1sUEsFBgAAAAAGAAYAWQEAAKw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pPr>
        <w:pStyle w:val="22"/>
        <w:adjustRightInd w:val="0"/>
        <w:snapToGrid w:val="0"/>
        <w:spacing w:line="48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hint="eastAsia"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u w:val="single"/>
        </w:rPr>
        <w:t xml:space="preserve">                </w:t>
      </w:r>
    </w:p>
    <w:p>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675" w:name="_Toc469384080"/>
      <w:bookmarkStart w:id="676" w:name="_Toc47694382"/>
      <w:bookmarkStart w:id="677" w:name="_Toc28131"/>
      <w:bookmarkStart w:id="678" w:name="_Toc29483"/>
      <w:r>
        <w:rPr>
          <w:rFonts w:hint="eastAsia" w:ascii="仿宋" w:hAnsi="仿宋" w:eastAsia="仿宋" w:cs="仿宋"/>
          <w:bCs w:val="0"/>
          <w:color w:val="auto"/>
          <w:sz w:val="24"/>
          <w:szCs w:val="24"/>
          <w:highlight w:val="none"/>
        </w:rPr>
        <w:t>103</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合同</w:t>
      </w:r>
      <w:bookmarkEnd w:id="675"/>
      <w:r>
        <w:rPr>
          <w:rFonts w:hint="eastAsia" w:ascii="仿宋" w:hAnsi="仿宋" w:eastAsia="仿宋" w:cs="仿宋"/>
          <w:bCs w:val="0"/>
          <w:color w:val="auto"/>
          <w:sz w:val="24"/>
          <w:szCs w:val="24"/>
          <w:highlight w:val="none"/>
        </w:rPr>
        <w:t>管理</w:t>
      </w:r>
      <w:bookmarkEnd w:id="676"/>
      <w:bookmarkEnd w:id="677"/>
      <w:bookmarkEnd w:id="678"/>
    </w:p>
    <w:p>
      <w:pPr>
        <w:pStyle w:val="22"/>
        <w:adjustRightInd w:val="0"/>
        <w:snapToGrid w:val="0"/>
        <w:spacing w:line="360" w:lineRule="auto"/>
        <w:rPr>
          <w:rFonts w:ascii="仿宋" w:hAnsi="仿宋" w:eastAsia="仿宋"/>
          <w:b/>
          <w:bCs/>
          <w:color w:val="auto"/>
          <w:sz w:val="24"/>
          <w:szCs w:val="24"/>
          <w:highlight w:val="none"/>
        </w:rPr>
      </w:pPr>
      <w:r>
        <w:rPr>
          <w:color w:val="auto"/>
          <w:highlight w:val="none"/>
          <w:lang w:val="en-US"/>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1"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026" o:spt="202" type="#_x0000_t202" style="position:absolute;left:0pt;margin-left:-9pt;margin-top:16.45pt;height:41.7pt;width:81.85pt;z-index:252103680;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EEYhBBgCAAAYBAAADgAAAGRycy9lMm9Eb2MueG1srVPN&#10;jtMwEL4j8Q6W7zRJaYFETVfLVouQlh9p4QFcx2ksEo8Zu03KA8AbcOLCnefqczB2uqUslz1wsWzP&#10;+Jvv+2a8uBi6lu0UOg2m5Nkk5UwZCZU2m5J//HD95AVnzgtTiRaMKvleOX6xfPxo0dtCTaGBtlLI&#10;CMS4orclb7y3RZI42ahOuAlYZShYA3bC0xE3SYWiJ/SuTaZp+izpASuLIJVzdLsag/yIiA8BhLrW&#10;Uq1Abjtl/IiKqhWeJLlGW8eXkW1dK+nf1bVTnrUlJ6U+rlSE9uuwJsuFKDYobKPlkYJ4CIV7mjqh&#10;DRU9Qa2EF2yL+h+oTksEB7WfSOiSUUh0hFRk6T1vbhthVdRCVjt7Mt39P1j5dvcema5oEjgzoqOG&#10;H75/O/z4dfj5lWVZOg8O9dYVlHhrKdUPL2EI2UGtszcgPzlm4KoRZqMuEaFvlKiIYRZeJmdPRxwX&#10;QNb9G6iolNh6iEBDjV0AJEMYoVN39qfuqMEzGUqmT/NZPudMUmw+zed5bF8iirvXFp1/paBjYVNy&#10;pO5HdLG7cT6wEcVdSihm4Fq3bZyA1vx1QYnhJrIPhEfqflgPRzfWUO1JB8I4UPSdaNMAfuGsp2Eq&#10;ufu8Fag4a18b8iLPZrMwffEwmz+f0gHPI+vziDCSoEruORu3V36c2K1FvWmo0ui+gUvyr9ZRWjB6&#10;ZHXkTQMTFR+HO0zk+Tlm/fnQ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uqzY2AAAAAoBAAAP&#10;AAAAAAAAAAEAIAAAACIAAABkcnMvZG93bnJldi54bWxQSwECFAAUAAAACACHTuJAEEYhBBgCAAAY&#10;BAAADgAAAAAAAAABACAAAAAnAQAAZHJzL2Uyb0RvYy54bWxQSwUGAAAAAAYABgBZAQAAs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rPr>
        <w:t>103</w:t>
      </w:r>
      <w:r>
        <w:rPr>
          <w:rFonts w:ascii="仿宋" w:hAnsi="仿宋" w:eastAsia="仿宋" w:cs="仿宋"/>
          <w:b/>
          <w:bCs/>
          <w:color w:val="auto"/>
          <w:sz w:val="24"/>
          <w:szCs w:val="24"/>
          <w:highlight w:val="none"/>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 25 条至第 29 条的职责划分，督促各自人员认真履行合同管理职责，加强合同管理。</w:t>
      </w:r>
    </w:p>
    <w:p>
      <w:pPr>
        <w:spacing w:line="360" w:lineRule="auto"/>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涉及国有资金投资的工程，建设行政主管部门应依据建设行政主管部门存档合同实施合同监督管理；合同双方当事人应随时接受执法人员对本合同的监督管理，并为监督管理活动提供配合和协助。</w:t>
      </w:r>
    </w:p>
    <w:p>
      <w:pPr>
        <w:spacing w:line="360" w:lineRule="auto"/>
        <w:rPr>
          <w:color w:val="auto"/>
          <w:highlight w:val="none"/>
          <w:lang w:eastAsia="zh-CN"/>
        </w:rPr>
        <w:sectPr>
          <w:endnotePr>
            <w:numFmt w:val="decimal"/>
          </w:endnotePr>
          <w:pgSz w:w="11906" w:h="16838"/>
          <w:pgMar w:top="1361" w:right="1361" w:bottom="1361" w:left="1361" w:header="794" w:footer="850" w:gutter="0"/>
          <w:cols w:space="0" w:num="1"/>
        </w:sectPr>
      </w:pPr>
    </w:p>
    <w:bookmarkEnd w:id="103"/>
    <w:p>
      <w:pPr>
        <w:pStyle w:val="3"/>
        <w:tabs>
          <w:tab w:val="left" w:pos="420"/>
        </w:tabs>
        <w:ind w:left="494" w:leftChars="206" w:firstLine="176" w:firstLineChars="49"/>
        <w:jc w:val="center"/>
        <w:rPr>
          <w:rFonts w:hAnsi="宋体"/>
          <w:b w:val="0"/>
          <w:bCs w:val="0"/>
          <w:color w:val="auto"/>
          <w:sz w:val="36"/>
          <w:szCs w:val="36"/>
          <w:highlight w:val="none"/>
        </w:rPr>
      </w:pPr>
      <w:bookmarkStart w:id="679" w:name="_Toc28010"/>
      <w:bookmarkStart w:id="680" w:name="_Toc11964"/>
      <w:bookmarkStart w:id="681" w:name="_Toc47694383"/>
      <w:bookmarkStart w:id="682" w:name="_Toc469384081"/>
      <w:r>
        <w:rPr>
          <w:rFonts w:hint="eastAsia" w:hAnsi="宋体"/>
          <w:b w:val="0"/>
          <w:bCs w:val="0"/>
          <w:color w:val="auto"/>
          <w:sz w:val="36"/>
          <w:szCs w:val="36"/>
          <w:highlight w:val="none"/>
        </w:rPr>
        <w:t>第三部分  专用条款</w:t>
      </w:r>
      <w:bookmarkEnd w:id="679"/>
      <w:bookmarkEnd w:id="680"/>
      <w:bookmarkEnd w:id="681"/>
    </w:p>
    <w:p>
      <w:pPr>
        <w:jc w:val="center"/>
        <w:rPr>
          <w:rFonts w:ascii="宋体"/>
          <w:b/>
          <w:bCs/>
          <w:color w:val="auto"/>
          <w:highlight w:val="none"/>
          <w:lang w:eastAsia="zh-CN"/>
        </w:rPr>
      </w:pPr>
    </w:p>
    <w:p>
      <w:pPr>
        <w:pStyle w:val="4"/>
        <w:numPr>
          <w:ilvl w:val="0"/>
          <w:numId w:val="21"/>
        </w:numPr>
        <w:tabs>
          <w:tab w:val="left" w:pos="420"/>
        </w:tabs>
        <w:spacing w:line="360" w:lineRule="auto"/>
        <w:rPr>
          <w:rFonts w:ascii="仿宋" w:hAnsi="仿宋" w:eastAsia="仿宋"/>
          <w:i w:val="0"/>
          <w:iCs w:val="0"/>
          <w:color w:val="auto"/>
          <w:sz w:val="24"/>
          <w:szCs w:val="24"/>
          <w:highlight w:val="none"/>
        </w:rPr>
      </w:pPr>
      <w:bookmarkStart w:id="683" w:name="_Toc25024"/>
      <w:bookmarkStart w:id="684" w:name="_Toc47694384"/>
      <w:bookmarkStart w:id="685" w:name="_Toc26414"/>
      <w:r>
        <w:rPr>
          <w:rFonts w:hint="eastAsia" w:ascii="仿宋" w:hAnsi="仿宋" w:eastAsia="仿宋" w:cs="仿宋"/>
          <w:i w:val="0"/>
          <w:iCs w:val="0"/>
          <w:color w:val="auto"/>
          <w:sz w:val="24"/>
          <w:szCs w:val="24"/>
          <w:highlight w:val="none"/>
        </w:rPr>
        <w:t>定义</w:t>
      </w:r>
      <w:bookmarkEnd w:id="683"/>
      <w:bookmarkEnd w:id="684"/>
      <w:bookmarkEnd w:id="685"/>
    </w:p>
    <w:p>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1.10.</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 xml:space="preserve">  所采用的书面形式包括： </w:t>
      </w:r>
    </w:p>
    <w:p>
      <w:pPr>
        <w:autoSpaceDE w:val="0"/>
        <w:autoSpaceDN w:val="0"/>
        <w:adjustRightInd w:val="0"/>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合同文书；</w:t>
      </w:r>
    </w:p>
    <w:p>
      <w:pPr>
        <w:autoSpaceDE w:val="0"/>
        <w:autoSpaceDN w:val="0"/>
        <w:adjustRightInd w:val="0"/>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信函；</w:t>
      </w:r>
    </w:p>
    <w:p>
      <w:pPr>
        <w:autoSpaceDE w:val="0"/>
        <w:autoSpaceDN w:val="0"/>
        <w:adjustRightInd w:val="0"/>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电报；</w:t>
      </w:r>
    </w:p>
    <w:p>
      <w:pPr>
        <w:autoSpaceDE w:val="0"/>
        <w:autoSpaceDN w:val="0"/>
        <w:adjustRightInd w:val="0"/>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传真；</w:t>
      </w:r>
    </w:p>
    <w:p>
      <w:pPr>
        <w:autoSpaceDE w:val="0"/>
        <w:autoSpaceDN w:val="0"/>
        <w:adjustRightInd w:val="0"/>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会议纪要；</w:t>
      </w:r>
    </w:p>
    <w:p>
      <w:pPr>
        <w:autoSpaceDE w:val="0"/>
        <w:autoSpaceDN w:val="0"/>
        <w:adjustRightInd w:val="0"/>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电子邮件；</w:t>
      </w:r>
    </w:p>
    <w:p>
      <w:pPr>
        <w:autoSpaceDE w:val="0"/>
        <w:autoSpaceDN w:val="0"/>
        <w:adjustRightInd w:val="0"/>
        <w:spacing w:line="360" w:lineRule="auto"/>
        <w:ind w:firstLine="360" w:firstLineChars="1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其他：</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rPr>
          <w:rFonts w:ascii="仿宋" w:hAnsi="仿宋" w:eastAsia="仿宋" w:cs="仿宋"/>
          <w:i w:val="0"/>
          <w:iCs w:val="0"/>
          <w:color w:val="auto"/>
          <w:sz w:val="24"/>
          <w:szCs w:val="24"/>
          <w:highlight w:val="none"/>
        </w:rPr>
      </w:pPr>
      <w:bookmarkStart w:id="686" w:name="_Toc29272"/>
      <w:bookmarkStart w:id="687" w:name="_Toc5483"/>
      <w:bookmarkStart w:id="688" w:name="_Toc47694385"/>
      <w:r>
        <w:rPr>
          <w:rFonts w:hint="eastAsia" w:ascii="仿宋" w:hAnsi="仿宋" w:eastAsia="仿宋" w:cs="仿宋"/>
          <w:i w:val="0"/>
          <w:iCs w:val="0"/>
          <w:color w:val="auto"/>
          <w:sz w:val="24"/>
          <w:szCs w:val="24"/>
          <w:highlight w:val="none"/>
        </w:rPr>
        <w:t>2．合同文件及解释</w:t>
      </w:r>
      <w:bookmarkEnd w:id="686"/>
      <w:bookmarkEnd w:id="687"/>
      <w:bookmarkEnd w:id="688"/>
    </w:p>
    <w:p>
      <w:pPr>
        <w:spacing w:line="360" w:lineRule="auto"/>
        <w:rPr>
          <w:rFonts w:ascii="仿宋" w:hAnsi="仿宋" w:eastAsia="仿宋" w:cs="仿宋"/>
          <w:color w:val="auto"/>
          <w:highlight w:val="none"/>
          <w:lang w:eastAsia="zh-CN"/>
        </w:rPr>
      </w:pPr>
      <w:bookmarkStart w:id="689" w:name="_Toc20134"/>
      <w:r>
        <w:rPr>
          <w:rFonts w:hint="eastAsia" w:ascii="仿宋" w:hAnsi="仿宋" w:eastAsia="仿宋" w:cs="仿宋"/>
          <w:color w:val="auto"/>
          <w:highlight w:val="none"/>
          <w:lang w:eastAsia="zh-CN"/>
        </w:rPr>
        <w:t>2.2 合同文件组成及优先顺序</w:t>
      </w:r>
      <w:bookmarkEnd w:id="689"/>
    </w:p>
    <w:p>
      <w:pPr>
        <w:pStyle w:val="22"/>
        <w:tabs>
          <w:tab w:val="left" w:pos="1320"/>
        </w:tabs>
        <w:spacing w:line="360" w:lineRule="auto"/>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组成合同的其他文件及优先顺序：</w:t>
      </w:r>
      <w:r>
        <w:rPr>
          <w:rFonts w:hint="eastAsia" w:ascii="仿宋" w:hAnsi="仿宋" w:eastAsia="仿宋" w:cs="仿宋"/>
          <w:color w:val="auto"/>
          <w:sz w:val="24"/>
          <w:szCs w:val="24"/>
          <w:highlight w:val="none"/>
          <w:u w:val="single"/>
        </w:rPr>
        <w:t>下列组成本合同的文件是一个合同整体，彼此应当能相互解释，互为说明。当出现相互矛盾时，组成本合同文件的优先解释顺序如下：</w:t>
      </w:r>
    </w:p>
    <w:p>
      <w:pPr>
        <w:pStyle w:val="22"/>
        <w:tabs>
          <w:tab w:val="left" w:pos="1320"/>
        </w:tabs>
        <w:autoSpaceDE w:val="0"/>
        <w:autoSpaceDN w:val="0"/>
        <w:adjustRightInd w:val="0"/>
        <w:spacing w:line="360" w:lineRule="auto"/>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（1）本合同的相关补充协议；</w:t>
      </w:r>
    </w:p>
    <w:p>
      <w:pPr>
        <w:pStyle w:val="22"/>
        <w:tabs>
          <w:tab w:val="left" w:pos="1320"/>
        </w:tabs>
        <w:autoSpaceDE w:val="0"/>
        <w:autoSpaceDN w:val="0"/>
        <w:adjustRightInd w:val="0"/>
        <w:spacing w:line="360" w:lineRule="auto"/>
        <w:ind w:right="-40"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（2）协议书；</w:t>
      </w:r>
    </w:p>
    <w:p>
      <w:pPr>
        <w:pStyle w:val="22"/>
        <w:tabs>
          <w:tab w:val="left" w:pos="1320"/>
        </w:tabs>
        <w:autoSpaceDE w:val="0"/>
        <w:autoSpaceDN w:val="0"/>
        <w:adjustRightInd w:val="0"/>
        <w:spacing w:line="360" w:lineRule="auto"/>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（3）中标通知书；</w:t>
      </w:r>
    </w:p>
    <w:p>
      <w:pPr>
        <w:pStyle w:val="22"/>
        <w:tabs>
          <w:tab w:val="left" w:pos="1320"/>
        </w:tabs>
        <w:autoSpaceDE w:val="0"/>
        <w:autoSpaceDN w:val="0"/>
        <w:adjustRightInd w:val="0"/>
        <w:spacing w:line="360" w:lineRule="auto"/>
        <w:ind w:right="-40" w:firstLine="480" w:firstLineChars="200"/>
        <w:rPr>
          <w:rFonts w:eastAsia="仿宋"/>
          <w:color w:val="auto"/>
          <w:highlight w:val="none"/>
        </w:rPr>
      </w:pP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rPr>
        <w:t>4</w:t>
      </w:r>
      <w:r>
        <w:rPr>
          <w:rFonts w:hint="eastAsia" w:ascii="仿宋" w:hAnsi="仿宋" w:eastAsia="仿宋" w:cs="仿宋"/>
          <w:color w:val="auto"/>
          <w:sz w:val="24"/>
          <w:szCs w:val="24"/>
          <w:highlight w:val="none"/>
          <w:u w:val="single"/>
        </w:rPr>
        <w:t>）专用条款；</w:t>
      </w:r>
    </w:p>
    <w:p>
      <w:pPr>
        <w:pStyle w:val="22"/>
        <w:tabs>
          <w:tab w:val="left" w:pos="1320"/>
        </w:tabs>
        <w:autoSpaceDE w:val="0"/>
        <w:autoSpaceDN w:val="0"/>
        <w:adjustRightInd w:val="0"/>
        <w:spacing w:line="360" w:lineRule="auto"/>
        <w:ind w:right="-40"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rPr>
        <w:t>5</w:t>
      </w:r>
      <w:r>
        <w:rPr>
          <w:rFonts w:hint="eastAsia" w:ascii="仿宋" w:hAnsi="仿宋" w:eastAsia="仿宋" w:cs="仿宋"/>
          <w:color w:val="auto"/>
          <w:sz w:val="24"/>
          <w:szCs w:val="24"/>
          <w:highlight w:val="none"/>
          <w:u w:val="single"/>
        </w:rPr>
        <w:t>）通用条款；</w:t>
      </w:r>
    </w:p>
    <w:p>
      <w:pPr>
        <w:pStyle w:val="22"/>
        <w:tabs>
          <w:tab w:val="left" w:pos="1320"/>
        </w:tabs>
        <w:autoSpaceDE w:val="0"/>
        <w:autoSpaceDN w:val="0"/>
        <w:adjustRightInd w:val="0"/>
        <w:spacing w:line="360" w:lineRule="auto"/>
        <w:ind w:right="-40"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rPr>
        <w:t>6</w:t>
      </w:r>
      <w:r>
        <w:rPr>
          <w:rFonts w:hint="eastAsia" w:ascii="仿宋" w:hAnsi="仿宋" w:eastAsia="仿宋" w:cs="仿宋"/>
          <w:color w:val="auto"/>
          <w:sz w:val="24"/>
          <w:szCs w:val="24"/>
          <w:highlight w:val="none"/>
          <w:u w:val="single"/>
        </w:rPr>
        <w:t>）《发包人要求》；</w:t>
      </w:r>
    </w:p>
    <w:p>
      <w:pPr>
        <w:pStyle w:val="22"/>
        <w:tabs>
          <w:tab w:val="left" w:pos="1320"/>
        </w:tabs>
        <w:autoSpaceDE w:val="0"/>
        <w:autoSpaceDN w:val="0"/>
        <w:adjustRightInd w:val="0"/>
        <w:spacing w:line="360" w:lineRule="auto"/>
        <w:ind w:right="-40"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rPr>
        <w:t>7</w:t>
      </w:r>
      <w:r>
        <w:rPr>
          <w:rFonts w:hint="eastAsia" w:ascii="仿宋" w:hAnsi="仿宋" w:eastAsia="仿宋" w:cs="仿宋"/>
          <w:color w:val="auto"/>
          <w:sz w:val="24"/>
          <w:szCs w:val="24"/>
          <w:highlight w:val="none"/>
          <w:u w:val="single"/>
        </w:rPr>
        <w:t>）标准、规范及有关技术文件；</w:t>
      </w:r>
    </w:p>
    <w:p>
      <w:pPr>
        <w:pStyle w:val="22"/>
        <w:tabs>
          <w:tab w:val="left" w:pos="1320"/>
        </w:tabs>
        <w:autoSpaceDE w:val="0"/>
        <w:autoSpaceDN w:val="0"/>
        <w:adjustRightInd w:val="0"/>
        <w:spacing w:line="360" w:lineRule="auto"/>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rPr>
        <w:t>8</w:t>
      </w:r>
      <w:r>
        <w:rPr>
          <w:rFonts w:hint="eastAsia" w:ascii="仿宋" w:hAnsi="仿宋" w:eastAsia="仿宋" w:cs="仿宋"/>
          <w:color w:val="auto"/>
          <w:sz w:val="24"/>
          <w:szCs w:val="24"/>
          <w:highlight w:val="none"/>
          <w:u w:val="single"/>
        </w:rPr>
        <w:t>）项目基础资料；</w:t>
      </w:r>
    </w:p>
    <w:p>
      <w:pPr>
        <w:pStyle w:val="22"/>
        <w:tabs>
          <w:tab w:val="left" w:pos="1320"/>
        </w:tabs>
        <w:autoSpaceDE w:val="0"/>
        <w:autoSpaceDN w:val="0"/>
        <w:adjustRightInd w:val="0"/>
        <w:spacing w:line="360" w:lineRule="auto"/>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rPr>
        <w:t>9</w:t>
      </w:r>
      <w:r>
        <w:rPr>
          <w:rFonts w:hint="eastAsia" w:ascii="仿宋" w:hAnsi="仿宋" w:eastAsia="仿宋" w:cs="仿宋"/>
          <w:color w:val="auto"/>
          <w:sz w:val="24"/>
          <w:szCs w:val="24"/>
          <w:highlight w:val="none"/>
          <w:u w:val="single"/>
        </w:rPr>
        <w:t>）招标文件（包括补充、修改、澄清的文件、答疑纪要）；</w:t>
      </w:r>
    </w:p>
    <w:p>
      <w:pPr>
        <w:pStyle w:val="22"/>
        <w:tabs>
          <w:tab w:val="left" w:pos="1320"/>
        </w:tabs>
        <w:autoSpaceDE w:val="0"/>
        <w:autoSpaceDN w:val="0"/>
        <w:adjustRightInd w:val="0"/>
        <w:spacing w:line="360" w:lineRule="auto"/>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rPr>
        <w:t>10</w:t>
      </w:r>
      <w:r>
        <w:rPr>
          <w:rFonts w:hint="eastAsia" w:ascii="仿宋" w:hAnsi="仿宋" w:eastAsia="仿宋" w:cs="仿宋"/>
          <w:color w:val="auto"/>
          <w:sz w:val="24"/>
          <w:szCs w:val="24"/>
          <w:highlight w:val="none"/>
          <w:u w:val="single"/>
        </w:rPr>
        <w:t>）承包人投标文件及其附件（含评标期间的澄清文件和补充资料）；</w:t>
      </w:r>
    </w:p>
    <w:p>
      <w:pPr>
        <w:pStyle w:val="22"/>
        <w:tabs>
          <w:tab w:val="left" w:pos="1320"/>
        </w:tabs>
        <w:autoSpaceDE w:val="0"/>
        <w:autoSpaceDN w:val="0"/>
        <w:adjustRightInd w:val="0"/>
        <w:spacing w:line="360" w:lineRule="auto"/>
        <w:ind w:firstLine="480" w:firstLineChars="20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rPr>
        <w:t>11</w:t>
      </w:r>
      <w:r>
        <w:rPr>
          <w:rFonts w:hint="eastAsia" w:ascii="仿宋" w:hAnsi="仿宋" w:eastAsia="仿宋" w:cs="仿宋"/>
          <w:color w:val="auto"/>
          <w:sz w:val="24"/>
          <w:szCs w:val="24"/>
          <w:highlight w:val="none"/>
          <w:u w:val="single"/>
        </w:rPr>
        <w:t>）专用条款约定的其他文件</w:t>
      </w:r>
    </w:p>
    <w:p>
      <w:pPr>
        <w:rPr>
          <w:color w:val="auto"/>
          <w:highlight w:val="none"/>
          <w:lang w:eastAsia="zh-CN"/>
        </w:rPr>
      </w:pPr>
    </w:p>
    <w:p>
      <w:pPr>
        <w:spacing w:line="360" w:lineRule="auto"/>
        <w:ind w:firstLine="480" w:firstLineChars="200"/>
        <w:rPr>
          <w:rFonts w:ascii="仿宋" w:hAnsi="仿宋" w:eastAsia="仿宋" w:cs="仿宋"/>
          <w:color w:val="auto"/>
          <w:highlight w:val="none"/>
          <w:u w:val="single"/>
          <w:lang w:val="zh-CN" w:eastAsia="zh-CN" w:bidi="ar-SA"/>
        </w:rPr>
      </w:pPr>
      <w:bookmarkStart w:id="690" w:name="_Toc47694386"/>
      <w:r>
        <w:rPr>
          <w:rFonts w:hint="eastAsia" w:ascii="仿宋" w:hAnsi="仿宋" w:eastAsia="仿宋" w:cs="仿宋"/>
          <w:color w:val="auto"/>
          <w:highlight w:val="none"/>
          <w:u w:val="single"/>
          <w:lang w:val="zh-CN" w:eastAsia="zh-CN" w:bidi="ar-SA"/>
        </w:rPr>
        <w:t>上述各项合同文件包括合同当事人就该项合同文件所作出的补充和修改，属于同一类内容的文件，应以最新签署的为准。</w:t>
      </w:r>
    </w:p>
    <w:p>
      <w:pPr>
        <w:pStyle w:val="4"/>
        <w:tabs>
          <w:tab w:val="left" w:pos="420"/>
        </w:tabs>
        <w:spacing w:line="360" w:lineRule="auto"/>
        <w:rPr>
          <w:rFonts w:ascii="仿宋" w:hAnsi="仿宋" w:eastAsia="仿宋"/>
          <w:i w:val="0"/>
          <w:iCs w:val="0"/>
          <w:color w:val="auto"/>
          <w:sz w:val="24"/>
          <w:szCs w:val="24"/>
          <w:highlight w:val="none"/>
        </w:rPr>
      </w:pPr>
      <w:bookmarkStart w:id="691" w:name="_Toc19475"/>
      <w:bookmarkStart w:id="692" w:name="_Toc4486"/>
      <w:r>
        <w:rPr>
          <w:rFonts w:hint="eastAsia" w:ascii="仿宋" w:hAnsi="仿宋" w:eastAsia="仿宋" w:cs="仿宋"/>
          <w:i w:val="0"/>
          <w:iCs w:val="0"/>
          <w:color w:val="auto"/>
          <w:sz w:val="24"/>
          <w:szCs w:val="24"/>
          <w:highlight w:val="none"/>
        </w:rPr>
        <w:t>4．语言及适用的法律、标准与</w:t>
      </w:r>
      <w:r>
        <w:rPr>
          <w:rFonts w:hint="eastAsia" w:ascii="仿宋" w:hAnsi="仿宋" w:eastAsia="仿宋"/>
          <w:i w:val="0"/>
          <w:iCs w:val="0"/>
          <w:color w:val="auto"/>
          <w:sz w:val="24"/>
          <w:szCs w:val="24"/>
          <w:highlight w:val="none"/>
        </w:rPr>
        <w:t>规范</w:t>
      </w:r>
      <w:bookmarkEnd w:id="690"/>
      <w:bookmarkEnd w:id="691"/>
      <w:bookmarkEnd w:id="692"/>
      <w:r>
        <w:rPr>
          <w:rFonts w:hint="eastAsia" w:ascii="仿宋" w:hAnsi="仿宋" w:eastAsia="仿宋"/>
          <w:i w:val="0"/>
          <w:iCs w:val="0"/>
          <w:color w:val="auto"/>
          <w:sz w:val="24"/>
          <w:szCs w:val="24"/>
          <w:highlight w:val="none"/>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语言文字</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与合同有关的联络应使用的语言：</w:t>
      </w:r>
      <w:r>
        <w:rPr>
          <w:rFonts w:hint="eastAsia" w:ascii="仿宋" w:hAnsi="仿宋" w:eastAsia="仿宋" w:cs="仿宋"/>
          <w:color w:val="auto"/>
          <w:highlight w:val="none"/>
          <w:u w:val="single"/>
          <w:lang w:val="en-US" w:bidi="en-US"/>
        </w:rPr>
        <w:t xml:space="preserve"> 汉语</w:t>
      </w:r>
      <w:r>
        <w:rPr>
          <w:rFonts w:ascii="仿宋" w:hAnsi="仿宋" w:eastAsia="仿宋" w:cs="仿宋"/>
          <w:color w:val="auto"/>
          <w:highlight w:val="none"/>
          <w:u w:val="single"/>
          <w:lang w:val="en-US" w:bidi="en-US"/>
        </w:rPr>
        <w:t xml:space="preserve">  </w:t>
      </w:r>
    </w:p>
    <w:p>
      <w:pPr>
        <w:spacing w:line="360" w:lineRule="auto"/>
        <w:ind w:firstLine="240" w:firstLineChars="100"/>
        <w:rPr>
          <w:rFonts w:ascii="仿宋" w:hAnsi="仿宋" w:eastAsia="仿宋" w:cs="仿宋"/>
          <w:color w:val="auto"/>
          <w:highlight w:val="none"/>
          <w:lang w:eastAsia="zh-CN"/>
        </w:rPr>
      </w:pPr>
      <w:r>
        <w:rPr>
          <w:rFonts w:ascii="仿宋" w:hAnsi="仿宋" w:eastAsia="仿宋" w:cs="仿宋"/>
          <w:color w:val="auto"/>
          <w:highlight w:val="none"/>
          <w:lang w:eastAsia="zh-CN"/>
        </w:rPr>
        <w:t xml:space="preserve">4.2 </w:t>
      </w:r>
      <w:r>
        <w:rPr>
          <w:rFonts w:hint="eastAsia" w:ascii="仿宋" w:hAnsi="仿宋" w:eastAsia="仿宋" w:cs="仿宋"/>
          <w:color w:val="auto"/>
          <w:highlight w:val="none"/>
          <w:lang w:eastAsia="zh-CN"/>
        </w:rPr>
        <w:t>使用法律</w:t>
      </w:r>
      <w:r>
        <w:rPr>
          <w:rFonts w:ascii="仿宋" w:hAnsi="仿宋" w:eastAsia="仿宋" w:cs="仿宋"/>
          <w:color w:val="auto"/>
          <w:highlight w:val="none"/>
          <w:lang w:eastAsia="zh-CN"/>
        </w:rPr>
        <w:t xml:space="preserve">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合同适用的其他规范性文件：</w:t>
      </w:r>
      <w:r>
        <w:rPr>
          <w:rFonts w:hint="eastAsia" w:ascii="仿宋" w:hAnsi="仿宋" w:eastAsia="仿宋" w:cs="仿宋"/>
          <w:color w:val="auto"/>
          <w:highlight w:val="none"/>
          <w:u w:val="single"/>
          <w:lang w:val="en-US" w:bidi="en-US"/>
        </w:rPr>
        <w:t xml:space="preserve"> </w:t>
      </w:r>
      <w:r>
        <w:rPr>
          <w:rFonts w:hint="eastAsia" w:ascii="仿宋" w:hAnsi="仿宋" w:eastAsia="仿宋" w:cs="仿宋"/>
          <w:color w:val="auto"/>
          <w:highlight w:val="none"/>
          <w:u w:val="single"/>
        </w:rPr>
        <w:t>《中华人民共和国民法典》、《中华人民共和国建筑法》</w:t>
      </w:r>
      <w:r>
        <w:rPr>
          <w:rFonts w:ascii="仿宋" w:hAnsi="仿宋" w:eastAsia="仿宋" w:cs="仿宋"/>
          <w:color w:val="auto"/>
          <w:highlight w:val="none"/>
          <w:u w:val="single"/>
          <w:lang w:val="en-US" w:bidi="en-US"/>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约定适用的标准、规范的名称：</w:t>
      </w:r>
      <w:r>
        <w:rPr>
          <w:rFonts w:hint="eastAsia" w:ascii="仿宋" w:hAnsi="仿宋" w:eastAsia="仿宋" w:cs="仿宋"/>
          <w:color w:val="auto"/>
          <w:highlight w:val="none"/>
          <w:u w:val="single"/>
          <w:lang w:eastAsia="zh-CN"/>
        </w:rPr>
        <w:t>《建筑工程质量管理条例》、《建筑工程施工质量验收统一标准》、《建设工程安全生产管理条例》及现行的国家、广东省、广州市有相关法律、法规，现行国家及广东省、广州市规定的标准及技术规范。如施工期间国家或地方标准、规范发生变动，承包人应按新标准、规范执行。</w:t>
      </w:r>
    </w:p>
    <w:p>
      <w:pPr>
        <w:pStyle w:val="4"/>
        <w:tabs>
          <w:tab w:val="left" w:pos="420"/>
        </w:tabs>
        <w:spacing w:line="360" w:lineRule="auto"/>
        <w:rPr>
          <w:rFonts w:ascii="仿宋" w:hAnsi="仿宋" w:eastAsia="仿宋"/>
          <w:i w:val="0"/>
          <w:iCs w:val="0"/>
          <w:color w:val="auto"/>
          <w:sz w:val="24"/>
          <w:szCs w:val="24"/>
          <w:highlight w:val="none"/>
        </w:rPr>
      </w:pPr>
      <w:bookmarkStart w:id="693" w:name="_Toc5996"/>
      <w:bookmarkStart w:id="694" w:name="_Toc47694387"/>
      <w:bookmarkStart w:id="695" w:name="_Toc26643"/>
      <w:r>
        <w:rPr>
          <w:rFonts w:hint="eastAsia" w:ascii="仿宋" w:hAnsi="仿宋" w:eastAsia="仿宋" w:cs="仿宋"/>
          <w:i w:val="0"/>
          <w:iCs w:val="0"/>
          <w:color w:val="auto"/>
          <w:sz w:val="24"/>
          <w:szCs w:val="24"/>
          <w:highlight w:val="none"/>
        </w:rPr>
        <w:t>5. 发包人要求</w:t>
      </w:r>
      <w:bookmarkEnd w:id="693"/>
      <w:bookmarkEnd w:id="694"/>
      <w:bookmarkEnd w:id="695"/>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5.1 发包人要求的提供</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☑勘察要求：按勘察设计任务书</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根据实际情况，按发包人要求。</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2、提供的数量：</w:t>
      </w:r>
      <w:r>
        <w:rPr>
          <w:rFonts w:hint="eastAsia" w:ascii="仿宋" w:hAnsi="仿宋" w:eastAsia="仿宋" w:cs="仿宋"/>
          <w:color w:val="auto"/>
          <w:highlight w:val="none"/>
          <w:u w:val="single"/>
          <w:lang w:eastAsia="zh-CN"/>
        </w:rPr>
        <w:t>根据实际需要提供。</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☑初步设计与施工图设计要求（适用于可行性研究报告批准或备案后发包）：按勘察设计任务书 </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根据实际情况，按发包人要求。</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2、提供的数量：</w:t>
      </w:r>
      <w:r>
        <w:rPr>
          <w:rFonts w:hint="eastAsia" w:ascii="仿宋" w:hAnsi="仿宋" w:eastAsia="仿宋" w:cs="仿宋"/>
          <w:color w:val="auto"/>
          <w:highlight w:val="none"/>
          <w:u w:val="single"/>
          <w:lang w:eastAsia="zh-CN"/>
        </w:rPr>
        <w:t>根据实际需要提供。</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☑建筑信息模型（BIM）和技术应用要求：按勘察设计任务书</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根据实际情况，按发包人要求。</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2、提供的数量：</w:t>
      </w:r>
      <w:r>
        <w:rPr>
          <w:rFonts w:hint="eastAsia" w:ascii="仿宋" w:hAnsi="仿宋" w:eastAsia="仿宋" w:cs="仿宋"/>
          <w:color w:val="auto"/>
          <w:highlight w:val="none"/>
          <w:u w:val="single"/>
          <w:lang w:eastAsia="zh-CN"/>
        </w:rPr>
        <w:t>根据实际需要提供。</w:t>
      </w:r>
    </w:p>
    <w:p>
      <w:pPr>
        <w:pStyle w:val="4"/>
        <w:tabs>
          <w:tab w:val="left" w:pos="420"/>
        </w:tabs>
        <w:spacing w:line="360" w:lineRule="auto"/>
        <w:rPr>
          <w:rFonts w:ascii="仿宋" w:hAnsi="仿宋" w:eastAsia="仿宋"/>
          <w:i w:val="0"/>
          <w:iCs w:val="0"/>
          <w:color w:val="auto"/>
          <w:sz w:val="24"/>
          <w:szCs w:val="24"/>
          <w:highlight w:val="none"/>
        </w:rPr>
      </w:pPr>
      <w:bookmarkStart w:id="696" w:name="_Toc30047"/>
      <w:bookmarkStart w:id="697" w:name="_Toc11032"/>
      <w:bookmarkStart w:id="698" w:name="_Toc47694388"/>
      <w:r>
        <w:rPr>
          <w:rFonts w:hint="eastAsia" w:ascii="仿宋" w:hAnsi="仿宋" w:eastAsia="仿宋" w:cs="仿宋"/>
          <w:i w:val="0"/>
          <w:iCs w:val="0"/>
          <w:color w:val="auto"/>
          <w:sz w:val="24"/>
          <w:szCs w:val="24"/>
          <w:highlight w:val="none"/>
        </w:rPr>
        <w:t>6. 项目基础资料</w:t>
      </w:r>
      <w:bookmarkEnd w:id="696"/>
      <w:bookmarkEnd w:id="697"/>
      <w:bookmarkEnd w:id="698"/>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6.1发包人提供项目基础资料</w:t>
      </w:r>
    </w:p>
    <w:p>
      <w:pPr>
        <w:numPr>
          <w:ilvl w:val="0"/>
          <w:numId w:val="22"/>
        </w:num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招标时提供。</w:t>
      </w:r>
    </w:p>
    <w:p>
      <w:pPr>
        <w:numPr>
          <w:ilvl w:val="0"/>
          <w:numId w:val="22"/>
        </w:num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根据实际需要提供。</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项目基础资料中不可变更数据或资料的约定：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pStyle w:val="40"/>
        <w:rPr>
          <w:color w:val="auto"/>
          <w:highlight w:val="none"/>
          <w:lang w:val="en-US" w:bidi="en-US"/>
        </w:rPr>
      </w:pPr>
    </w:p>
    <w:p>
      <w:pPr>
        <w:pStyle w:val="4"/>
        <w:tabs>
          <w:tab w:val="left" w:pos="420"/>
        </w:tabs>
        <w:spacing w:line="360" w:lineRule="auto"/>
        <w:rPr>
          <w:rFonts w:ascii="仿宋" w:hAnsi="仿宋" w:eastAsia="仿宋" w:cs="仿宋"/>
          <w:i w:val="0"/>
          <w:iCs w:val="0"/>
          <w:color w:val="auto"/>
          <w:sz w:val="24"/>
          <w:szCs w:val="24"/>
          <w:highlight w:val="none"/>
        </w:rPr>
      </w:pPr>
      <w:bookmarkStart w:id="699" w:name="_Toc47694389"/>
      <w:bookmarkStart w:id="700" w:name="_Toc20710"/>
      <w:bookmarkStart w:id="701" w:name="_Toc1540"/>
      <w:r>
        <w:rPr>
          <w:rFonts w:hint="eastAsia" w:ascii="仿宋" w:hAnsi="仿宋" w:eastAsia="仿宋" w:cs="仿宋"/>
          <w:i w:val="0"/>
          <w:iCs w:val="0"/>
          <w:color w:val="auto"/>
          <w:sz w:val="24"/>
          <w:szCs w:val="24"/>
          <w:highlight w:val="none"/>
        </w:rPr>
        <w:t>7. 勘察报告、设计文件、建筑信息模型（BIM）</w:t>
      </w:r>
      <w:bookmarkEnd w:id="699"/>
      <w:bookmarkEnd w:id="700"/>
      <w:bookmarkEnd w:id="701"/>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7.1 承包人提供勘察报告</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 xml:space="preserve"> 根据实际情况，按发包人要求。 </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2、提供的数量：</w:t>
      </w:r>
      <w:r>
        <w:rPr>
          <w:rFonts w:hint="eastAsia" w:ascii="仿宋" w:hAnsi="仿宋" w:eastAsia="仿宋" w:cs="仿宋"/>
          <w:color w:val="auto"/>
          <w:highlight w:val="none"/>
          <w:u w:val="single"/>
          <w:lang w:eastAsia="zh-CN"/>
        </w:rPr>
        <w:t xml:space="preserve"> 按发包人要求提供。</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3、发包人或设计顾问人答复的时间：</w:t>
      </w:r>
      <w:r>
        <w:rPr>
          <w:rFonts w:hint="eastAsia" w:ascii="仿宋" w:hAnsi="仿宋" w:eastAsia="仿宋" w:cs="仿宋"/>
          <w:color w:val="auto"/>
          <w:highlight w:val="none"/>
          <w:u w:val="single"/>
          <w:lang w:eastAsia="zh-CN"/>
        </w:rPr>
        <w:t xml:space="preserve">                 /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 承包人提供设计文件</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☑初步设计文件（适用于可行性研究报告批准后或备案发包）：</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 xml:space="preserve">根据实际情况，按发包人要求。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2、提供的数量：</w:t>
      </w:r>
      <w:r>
        <w:rPr>
          <w:rFonts w:hint="eastAsia" w:ascii="仿宋" w:hAnsi="仿宋" w:eastAsia="仿宋" w:cs="仿宋"/>
          <w:color w:val="auto"/>
          <w:highlight w:val="none"/>
          <w:u w:val="single"/>
          <w:lang w:eastAsia="zh-CN"/>
        </w:rPr>
        <w:t>22份，具体数量按甲方要求提供。</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3、发包人或设计顾问人答复的时间：</w:t>
      </w:r>
      <w:r>
        <w:rPr>
          <w:rFonts w:hint="eastAsia" w:ascii="仿宋" w:hAnsi="仿宋" w:eastAsia="仿宋" w:cs="仿宋"/>
          <w:color w:val="auto"/>
          <w:highlight w:val="none"/>
          <w:u w:val="single"/>
          <w:lang w:eastAsia="zh-CN"/>
        </w:rPr>
        <w:t>针对承包人提出的一般性设计问题及设计条件待确认问题，需在收到文件后48小时内回复；针对承包人提供的阶段性设计成果，14日历天内，逾期未答复的视为发包人确认承包人提交的设计成果。如存在因发包人回复、确认不及时，导致承包人后续设计工作无法推进、节点延误的情况，承包人不应承担相关责任。</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☑承包人提供施工图设计文件（适用于初步设计批准后或备案发包）</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 xml:space="preserve">根据实际情况，按发包人要求。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2、提供的数量：</w:t>
      </w:r>
      <w:r>
        <w:rPr>
          <w:rFonts w:hint="eastAsia" w:ascii="仿宋" w:hAnsi="仿宋" w:eastAsia="仿宋" w:cs="仿宋"/>
          <w:color w:val="auto"/>
          <w:highlight w:val="none"/>
          <w:u w:val="single"/>
          <w:lang w:eastAsia="zh-CN"/>
        </w:rPr>
        <w:t>22份，具体数量按甲方要求提供。</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3、发包人或设计顾问人答复的时间：</w:t>
      </w:r>
      <w:r>
        <w:rPr>
          <w:rFonts w:hint="eastAsia" w:ascii="仿宋" w:hAnsi="仿宋" w:eastAsia="仿宋" w:cs="仿宋"/>
          <w:color w:val="auto"/>
          <w:highlight w:val="none"/>
          <w:u w:val="single"/>
          <w:lang w:eastAsia="zh-CN"/>
        </w:rPr>
        <w:t>针对承包人提出的一般性设计问题及设计条件待确认问题，需在收到文件后48小时内回复；针对承包人提供的阶段性设计成果，14日历天内，逾期未答复的视为发包人确认承包人提交的设计成果。如存在因发包人回复、确认不及时，导致承包人后续设计工作无法推进、节点延误的情况，承包人不应承担相关责任。</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7.3 承包人提供建筑信息模型（BIM）及技术应用</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w:t>
      </w:r>
    </w:p>
    <w:p>
      <w:pPr>
        <w:pStyle w:val="155"/>
        <w:numPr>
          <w:ilvl w:val="0"/>
          <w:numId w:val="23"/>
        </w:numPr>
        <w:spacing w:line="360" w:lineRule="auto"/>
        <w:ind w:left="0" w:firstLine="720" w:firstLineChars="30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根据实际情况，按发包人要求。</w:t>
      </w:r>
    </w:p>
    <w:p>
      <w:pPr>
        <w:pStyle w:val="155"/>
        <w:numPr>
          <w:ilvl w:val="0"/>
          <w:numId w:val="23"/>
        </w:numPr>
        <w:spacing w:line="360" w:lineRule="auto"/>
        <w:ind w:left="0" w:firstLine="720" w:firstLineChars="3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☑设计阶段</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☑初步设计（适用于可行性研究报告批准后发包）：</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 xml:space="preserve">根据实际情况，按发包人要求。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2、发包人或设计顾问人答复的时间：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☑施工图设计</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1、提供的时间：</w:t>
      </w:r>
      <w:r>
        <w:rPr>
          <w:rFonts w:hint="eastAsia" w:ascii="仿宋" w:hAnsi="仿宋" w:eastAsia="仿宋" w:cs="仿宋"/>
          <w:color w:val="auto"/>
          <w:highlight w:val="none"/>
          <w:u w:val="single"/>
          <w:lang w:eastAsia="zh-CN"/>
        </w:rPr>
        <w:t>根据实际情况，按发包人要求。</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2、发包人或设计顾问人答复的时间：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☑施工阶段</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☑深化设计  </w:t>
      </w:r>
    </w:p>
    <w:p>
      <w:pPr>
        <w:numPr>
          <w:ilvl w:val="0"/>
          <w:numId w:val="24"/>
        </w:num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根据实际情况，按发包人要求。</w:t>
      </w:r>
    </w:p>
    <w:p>
      <w:pPr>
        <w:numPr>
          <w:ilvl w:val="0"/>
          <w:numId w:val="24"/>
        </w:num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发包人或监理人答复的时间：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☑施工方案</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 xml:space="preserve"> 根据实际情况，按发包人要求。</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2、发包人或监理人答复的时间：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☑进度管理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 xml:space="preserve">根据实际情况，按发包人要求。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2、发包人或监理人答复的时间：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☑造价管理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 xml:space="preserve"> 根据实际情况，按发包人要求。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2、发包人或监理人答复的时间：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☑质量与安全管理</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 xml:space="preserve"> 根据实际情况，按发包人要求。</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2、发包人或监理人答复的时间：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☑竣工阶段的建筑信息模型（BIM）</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1、提供的时间：</w:t>
      </w:r>
      <w:r>
        <w:rPr>
          <w:rFonts w:hint="eastAsia" w:ascii="仿宋" w:hAnsi="仿宋" w:eastAsia="仿宋" w:cs="仿宋"/>
          <w:color w:val="auto"/>
          <w:highlight w:val="none"/>
          <w:u w:val="single"/>
          <w:lang w:eastAsia="zh-CN"/>
        </w:rPr>
        <w:t xml:space="preserve">根据实际情况，按发包人要求。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2、发包人或监理人答复的时间：</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rPr>
          <w:rFonts w:ascii="仿宋" w:hAnsi="仿宋" w:eastAsia="仿宋"/>
          <w:i w:val="0"/>
          <w:iCs w:val="0"/>
          <w:color w:val="auto"/>
          <w:sz w:val="24"/>
          <w:szCs w:val="24"/>
          <w:highlight w:val="none"/>
        </w:rPr>
      </w:pPr>
      <w:bookmarkStart w:id="702" w:name="_Toc2617"/>
      <w:bookmarkStart w:id="703" w:name="_Toc47694390"/>
      <w:bookmarkStart w:id="704" w:name="_Toc21798"/>
      <w:r>
        <w:rPr>
          <w:rFonts w:hint="eastAsia" w:ascii="仿宋" w:hAnsi="仿宋" w:eastAsia="仿宋" w:cs="仿宋"/>
          <w:i w:val="0"/>
          <w:iCs w:val="0"/>
          <w:color w:val="auto"/>
          <w:sz w:val="24"/>
          <w:szCs w:val="24"/>
          <w:highlight w:val="none"/>
        </w:rPr>
        <w:t>8. 合同价格的控制原则</w:t>
      </w:r>
      <w:bookmarkEnd w:id="702"/>
      <w:bookmarkEnd w:id="703"/>
      <w:bookmarkEnd w:id="704"/>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8.2工程勘察费的控制</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（1）计价方式：</w:t>
      </w:r>
      <w:r>
        <w:rPr>
          <w:rFonts w:hint="eastAsia" w:ascii="仿宋" w:hAnsi="仿宋" w:eastAsia="仿宋" w:cs="仿宋"/>
          <w:color w:val="auto"/>
          <w:highlight w:val="none"/>
          <w:u w:val="single"/>
          <w:lang w:eastAsia="zh-CN"/>
        </w:rPr>
        <w:t>勘察综合单价</w:t>
      </w:r>
      <w:r>
        <w:rPr>
          <w:rFonts w:hint="eastAsia" w:ascii="仿宋" w:hAnsi="仿宋" w:eastAsia="仿宋" w:cs="仿宋"/>
          <w:b/>
          <w:color w:val="auto"/>
          <w:highlight w:val="none"/>
          <w:u w:val="single"/>
          <w:lang w:eastAsia="zh-CN"/>
        </w:rPr>
        <w:t>按   元/米包干</w:t>
      </w:r>
      <w:r>
        <w:rPr>
          <w:rFonts w:hint="eastAsia" w:ascii="仿宋" w:hAnsi="仿宋" w:eastAsia="仿宋" w:cs="仿宋"/>
          <w:color w:val="auto"/>
          <w:highlight w:val="none"/>
          <w:u w:val="single"/>
          <w:lang w:eastAsia="zh-CN"/>
        </w:rPr>
        <w:t>，工程勘察费按实物工作量乘以合同约定的综合单价计算。</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（2）价格控制：</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  </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1）工程勘察费按实物工作量乘以合同约定的综合单价计算。实物工作量指按照工程勘察规范、规程、合同的规定及勘察作业实际情况完成且经发包人及发包人委托的第三方共同确认的工作量，但勘察费结算价不得超过经有权审核部门审定的初步设计概算中对应的勘察费金额。合同综合单价为全费用综合单价。</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本合同约定的勘察费为完成本合同约定的所有勘察工作内容及要求的全部费用，包括但不限于收集已有资料、现场踏勘、制定勘察纲要，进行测绘、勘探、取样、试验、测试、检测、监测等勘察作业，编制工程勘察文件和岩土工程设计文件、岩土工程技术说明、解决设计或施工中的工程勘察技术问题，参加工程测量交桩、水文地质交底、岩土工程验槽、购买有关资料、勘察文件的修改、实施勘察过程中发生的相关工作（包括障碍物拆除、开挖、地下管线的修复等）、勘察过程中发生的用材以及加工、勘察作业机具的进退场及现场搬运等服务，以及综合考虑不同自然条件下、不同作业内容、不同复杂程度及高温勘察等一切因素下的勘探作业的费用。本款约定的综合单价也已包含完成实施所有勘察工作内容的费用。</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8.3工程设计费的控制</w:t>
      </w:r>
    </w:p>
    <w:p>
      <w:pPr>
        <w:numPr>
          <w:ilvl w:val="0"/>
          <w:numId w:val="25"/>
        </w:num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计价方式：</w:t>
      </w:r>
      <w:r>
        <w:rPr>
          <w:rFonts w:hint="eastAsia" w:ascii="仿宋" w:hAnsi="仿宋" w:eastAsia="仿宋" w:cs="仿宋"/>
          <w:color w:val="auto"/>
          <w:highlight w:val="none"/>
          <w:u w:val="single"/>
          <w:lang w:eastAsia="zh-CN"/>
        </w:rPr>
        <w:t>工程设计费以经有权审核部门审定的初步设计概算中对应的设计费金额为基础，根据投标人的工程设计费中标下浮率计取工程设计费结算金额。建设规模减少时，按设计单位工作完成情况据实折算调整。</w:t>
      </w:r>
    </w:p>
    <w:p>
      <w:pPr>
        <w:numPr>
          <w:ilvl w:val="0"/>
          <w:numId w:val="25"/>
        </w:num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价格控制：</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ascii="仿宋" w:hAnsi="仿宋" w:eastAsia="仿宋" w:cs="仿宋"/>
          <w:color w:val="auto"/>
          <w:highlight w:val="none"/>
          <w:u w:val="single"/>
          <w:lang w:eastAsia="zh-CN"/>
        </w:rPr>
        <w:t xml:space="preserve">  /  </w:t>
      </w:r>
    </w:p>
    <w:p>
      <w:pPr>
        <w:spacing w:line="360" w:lineRule="auto"/>
        <w:ind w:firstLine="600" w:firstLineChars="250"/>
        <w:rPr>
          <w:rFonts w:ascii="仿宋" w:hAnsi="仿宋" w:eastAsia="仿宋" w:cs="仿宋"/>
          <w:color w:val="auto"/>
          <w:highlight w:val="none"/>
          <w:u w:val="single"/>
          <w:lang w:eastAsia="zh-CN"/>
        </w:rPr>
      </w:pPr>
      <w:r>
        <w:rPr>
          <w:rFonts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工程设计费结算金额</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初步设计概算中对应的设计费金额×（1-工程设计费中标下浮率）。建设规模减少时，按设计单位工作完成情况据实折算调整。</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3）施工图审查费由</w:t>
      </w:r>
      <w:r>
        <w:rPr>
          <w:rFonts w:ascii="仿宋" w:hAnsi="仿宋" w:eastAsia="仿宋" w:cs="仿宋"/>
          <w:color w:val="auto"/>
          <w:highlight w:val="none"/>
          <w:u w:val="single"/>
          <w:lang w:eastAsia="zh-CN"/>
        </w:rPr>
        <w:t xml:space="preserve"> 发包人 </w:t>
      </w:r>
      <w:r>
        <w:rPr>
          <w:rFonts w:hint="eastAsia" w:ascii="仿宋" w:hAnsi="仿宋" w:eastAsia="仿宋" w:cs="仿宋"/>
          <w:color w:val="auto"/>
          <w:highlight w:val="none"/>
          <w:lang w:eastAsia="zh-CN"/>
        </w:rPr>
        <w:t>支付。</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8.4 BIM技术应用费的控制</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（1）计价方式：BIM技术应用费由承包人</w:t>
      </w:r>
      <w:r>
        <w:rPr>
          <w:rFonts w:hint="eastAsia" w:ascii="仿宋" w:hAnsi="仿宋" w:eastAsia="仿宋" w:cs="仿宋"/>
          <w:color w:val="auto"/>
          <w:highlight w:val="none"/>
          <w:lang w:eastAsia="zh-CN"/>
        </w:rPr>
        <w:t>按</w:t>
      </w:r>
      <w:r>
        <w:rPr>
          <w:rFonts w:hint="eastAsia" w:ascii="仿宋" w:hAnsi="仿宋" w:eastAsia="仿宋" w:cs="仿宋"/>
          <w:color w:val="auto"/>
          <w:highlight w:val="none"/>
          <w:lang w:eastAsia="zh-CN"/>
        </w:rPr>
        <w:t>BIM技术应用费</w:t>
      </w:r>
      <w:r>
        <w:rPr>
          <w:rFonts w:hint="eastAsia" w:ascii="仿宋" w:hAnsi="仿宋" w:eastAsia="仿宋" w:cs="仿宋"/>
          <w:color w:val="auto"/>
          <w:highlight w:val="none"/>
          <w:lang w:eastAsia="zh-CN"/>
        </w:rPr>
        <w:t>中标价实行合同总价包干</w:t>
      </w:r>
      <w:r>
        <w:rPr>
          <w:rFonts w:hint="eastAsia" w:ascii="仿宋" w:hAnsi="仿宋" w:eastAsia="仿宋" w:cs="仿宋"/>
          <w:color w:val="auto"/>
          <w:highlight w:val="none"/>
          <w:lang w:eastAsia="zh-CN"/>
        </w:rPr>
        <w:t>，且BIM技术应用费不得超过经有权审核部门审定的初步设计概算中对应的BIM技术应用费金额</w:t>
      </w:r>
      <w:r>
        <w:rPr>
          <w:rFonts w:hint="eastAsia" w:ascii="仿宋" w:hAnsi="仿宋" w:eastAsia="仿宋" w:cs="仿宋"/>
          <w:color w:val="auto"/>
          <w:highlight w:val="none"/>
          <w:lang w:eastAsia="zh-CN"/>
        </w:rPr>
        <w:t>且不得超过投标总价</w:t>
      </w:r>
      <w:r>
        <w:rPr>
          <w:rFonts w:hint="eastAsia" w:ascii="仿宋" w:hAnsi="仿宋" w:eastAsia="仿宋" w:cs="仿宋"/>
          <w:color w:val="auto"/>
          <w:highlight w:val="none"/>
          <w:lang w:eastAsia="zh-CN"/>
        </w:rPr>
        <w:t>，建设规模减少时折算后据实调整。</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（2）价格控制：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BIM技术应用费不得超过经有权审核部门审定的初步设计概算中对应的BIM技术应用费金额，建设规模减少时折算后据实调整。</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8.5建筑安装工程费的控制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8.5.1限额设计</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限额设计其他要求： </w:t>
      </w:r>
      <w:r>
        <w:rPr>
          <w:rFonts w:hint="eastAsia" w:ascii="仿宋" w:hAnsi="仿宋" w:eastAsia="仿宋" w:cs="仿宋"/>
          <w:color w:val="auto"/>
          <w:highlight w:val="none"/>
          <w:u w:val="single"/>
          <w:lang w:eastAsia="zh-CN"/>
        </w:rPr>
        <w:t>本工程实行全过程限额设计和施工；严格控制每阶段投资目标，结算总金额控制在经有权审批部门审批的概算金额内，</w:t>
      </w:r>
      <w:r>
        <w:rPr>
          <w:rFonts w:hint="eastAsia" w:ascii="仿宋" w:hAnsi="仿宋" w:eastAsia="仿宋" w:cs="仿宋"/>
          <w:color w:val="auto"/>
          <w:highlight w:val="none"/>
          <w:u w:val="single"/>
          <w:lang w:eastAsia="zh-CN"/>
        </w:rPr>
        <w:t>预算金额应低于审批的概算金额所对应建筑安装工程费用的9</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概概算金额应低于项目立项批复的估算金额。承包人应制定各阶段、专业工程限额设计指标和具体控制措施，本合同结算金额不得超出由承包人实际实施范围所对应的批复概算金额。</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8.5.2初步设计概算控制（适用于可行性研究批准立项或备案后发包的）</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（1）编制规则：</w:t>
      </w:r>
      <w:r>
        <w:rPr>
          <w:rFonts w:hint="eastAsia" w:ascii="仿宋" w:hAnsi="仿宋" w:eastAsia="仿宋" w:cs="仿宋"/>
          <w:color w:val="auto"/>
          <w:highlight w:val="none"/>
          <w:u w:val="single"/>
          <w:lang w:eastAsia="zh-CN"/>
        </w:rPr>
        <w:t>概算金额应低于项目立项批复的估算金额。</w:t>
      </w:r>
      <w:r>
        <w:rPr>
          <w:rFonts w:hint="eastAsia"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（2）价格控制：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□不允许超过合同约定的相应价格，相应合同价格即为概算批准或备案金额。</w:t>
      </w:r>
    </w:p>
    <w:p>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 xml:space="preserve"> ☑按有权审定部门审批的价格为概算批准或备案金额，</w:t>
      </w:r>
    </w:p>
    <w:p>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若初步设计概算审批价≥（相应合同价格±初步设计阶段发生的调整事项价格），超出部分由承包人自行承担；</w:t>
      </w:r>
    </w:p>
    <w:p>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若初步设计概算审批价＜（相应合同价格±初步设计阶段发生的调整事项价格），则采用总价合同的工程项目（子项目）的差额部分视为</w:t>
      </w:r>
      <w:r>
        <w:rPr>
          <w:rFonts w:hint="eastAsia" w:ascii="仿宋" w:hAnsi="仿宋" w:eastAsia="仿宋" w:cs="仿宋"/>
          <w:color w:val="auto"/>
          <w:highlight w:val="none"/>
          <w:u w:val="single"/>
          <w:lang w:eastAsia="zh-CN"/>
        </w:rPr>
        <w:t>优化设计降低的造价</w:t>
      </w:r>
      <w:r>
        <w:rPr>
          <w:rFonts w:hint="eastAsia" w:ascii="仿宋" w:hAnsi="仿宋" w:eastAsia="仿宋" w:cs="仿宋"/>
          <w:color w:val="auto"/>
          <w:highlight w:val="none"/>
          <w:lang w:eastAsia="zh-CN"/>
        </w:rPr>
        <w:t>，双方</w:t>
      </w:r>
      <w:r>
        <w:rPr>
          <w:rFonts w:ascii="仿宋" w:hAnsi="仿宋" w:eastAsia="仿宋" w:cs="仿宋"/>
          <w:color w:val="auto"/>
          <w:highlight w:val="none"/>
          <w:lang w:eastAsia="zh-CN"/>
        </w:rPr>
        <w:t>约定</w:t>
      </w:r>
      <w:r>
        <w:rPr>
          <w:rFonts w:hint="eastAsia" w:ascii="仿宋" w:hAnsi="仿宋" w:eastAsia="仿宋" w:cs="仿宋"/>
          <w:color w:val="auto"/>
          <w:highlight w:val="none"/>
          <w:lang w:eastAsia="zh-CN"/>
        </w:rPr>
        <w:t>无</w:t>
      </w:r>
      <w:r>
        <w:rPr>
          <w:rFonts w:ascii="仿宋" w:hAnsi="仿宋" w:eastAsia="仿宋" w:cs="仿宋"/>
          <w:color w:val="auto"/>
          <w:highlight w:val="none"/>
          <w:lang w:eastAsia="zh-CN"/>
        </w:rPr>
        <w:t>奖励。</w:t>
      </w:r>
    </w:p>
    <w:p>
      <w:pPr>
        <w:spacing w:line="360" w:lineRule="auto"/>
        <w:ind w:left="480" w:left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8.5.3施工图预算控制（适用于初步设计概算批复后发包的）</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（1）编制规则：</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（2）价格控制：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□不允许超过合同约定的相应价格，相应合同价格即为预算批准或备案金额。</w:t>
      </w:r>
    </w:p>
    <w:p>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 xml:space="preserve"> ☑按有权审定部门审批的价格为预算批准或备案金额。</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8.6设备及工器具购置费的控制</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（1）计价方式：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（2）价格控制：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rPr>
          <w:rFonts w:ascii="仿宋" w:hAnsi="仿宋" w:eastAsia="仿宋"/>
          <w:i w:val="0"/>
          <w:iCs w:val="0"/>
          <w:color w:val="auto"/>
          <w:sz w:val="24"/>
          <w:szCs w:val="24"/>
          <w:highlight w:val="none"/>
        </w:rPr>
      </w:pPr>
      <w:bookmarkStart w:id="705" w:name="_Toc13949"/>
      <w:bookmarkStart w:id="706" w:name="_Toc9344"/>
      <w:bookmarkStart w:id="707" w:name="_Toc47694391"/>
      <w:r>
        <w:rPr>
          <w:rFonts w:hint="eastAsia" w:ascii="仿宋" w:hAnsi="仿宋" w:eastAsia="仿宋" w:cs="仿宋"/>
          <w:i w:val="0"/>
          <w:iCs w:val="0"/>
          <w:color w:val="auto"/>
          <w:sz w:val="24"/>
          <w:szCs w:val="24"/>
          <w:highlight w:val="none"/>
        </w:rPr>
        <w:t>9. 通信联络</w:t>
      </w:r>
      <w:bookmarkEnd w:id="705"/>
      <w:bookmarkEnd w:id="706"/>
      <w:bookmarkEnd w:id="707"/>
    </w:p>
    <w:p>
      <w:pPr>
        <w:spacing w:line="360" w:lineRule="auto"/>
        <w:ind w:firstLine="240" w:firstLineChars="100"/>
        <w:rPr>
          <w:rFonts w:ascii="仿宋" w:hAnsi="仿宋" w:eastAsia="仿宋" w:cs="仿宋"/>
          <w:color w:val="auto"/>
          <w:highlight w:val="none"/>
          <w:lang w:eastAsia="zh-CN"/>
        </w:rPr>
      </w:pPr>
      <w:bookmarkStart w:id="708" w:name="_Toc47694392"/>
      <w:r>
        <w:rPr>
          <w:rFonts w:hint="eastAsia" w:ascii="仿宋" w:hAnsi="仿宋" w:eastAsia="仿宋" w:cs="仿宋"/>
          <w:color w:val="auto"/>
          <w:highlight w:val="none"/>
          <w:lang w:eastAsia="zh-CN"/>
        </w:rPr>
        <w:t>9.2 发送通讯</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1、各方通讯地址和收件人：</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u w:val="single"/>
          <w:lang w:eastAsia="zh-CN"/>
        </w:rPr>
        <w:t xml:space="preserve"> 中山大学附属第一医院 </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广州市越秀区中山二路5</w:t>
      </w:r>
      <w:r>
        <w:rPr>
          <w:rFonts w:ascii="仿宋" w:hAnsi="仿宋" w:eastAsia="仿宋" w:cs="仿宋"/>
          <w:color w:val="auto"/>
          <w:highlight w:val="none"/>
          <w:u w:val="single"/>
          <w:lang w:eastAsia="zh-CN"/>
        </w:rPr>
        <w:t>8</w:t>
      </w:r>
      <w:r>
        <w:rPr>
          <w:rFonts w:hint="eastAsia" w:ascii="仿宋" w:hAnsi="仿宋" w:eastAsia="仿宋" w:cs="仿宋"/>
          <w:color w:val="auto"/>
          <w:highlight w:val="none"/>
          <w:u w:val="single"/>
          <w:lang w:eastAsia="zh-CN"/>
        </w:rPr>
        <w:t xml:space="preserve">号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510080</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承包人（单一主体或联合体主办方）：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承包人（联合体成员一）：</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承包人（联合体成员二）：</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收件人：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工程造价咨询人：</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2、视为送达的其他方式：特快专递、挂号信等方式送至通讯地址的，视为送达。</w:t>
      </w:r>
    </w:p>
    <w:p>
      <w:pPr>
        <w:pStyle w:val="4"/>
        <w:tabs>
          <w:tab w:val="left" w:pos="420"/>
        </w:tabs>
        <w:spacing w:line="360" w:lineRule="auto"/>
        <w:rPr>
          <w:rFonts w:ascii="仿宋" w:hAnsi="仿宋" w:eastAsia="仿宋"/>
          <w:i w:val="0"/>
          <w:iCs w:val="0"/>
          <w:color w:val="auto"/>
          <w:sz w:val="24"/>
          <w:szCs w:val="24"/>
          <w:highlight w:val="none"/>
        </w:rPr>
      </w:pPr>
      <w:bookmarkStart w:id="709" w:name="_Toc92"/>
      <w:bookmarkStart w:id="710" w:name="_Toc24487"/>
      <w:r>
        <w:rPr>
          <w:rFonts w:hint="eastAsia" w:ascii="仿宋" w:hAnsi="仿宋" w:eastAsia="仿宋" w:cs="仿宋"/>
          <w:i w:val="0"/>
          <w:iCs w:val="0"/>
          <w:color w:val="auto"/>
          <w:sz w:val="24"/>
          <w:szCs w:val="24"/>
          <w:highlight w:val="none"/>
        </w:rPr>
        <w:t>10. 分包</w:t>
      </w:r>
      <w:bookmarkEnd w:id="708"/>
      <w:bookmarkEnd w:id="709"/>
      <w:bookmarkEnd w:id="710"/>
    </w:p>
    <w:p>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10.2 分包事项的批准</w:t>
      </w:r>
    </w:p>
    <w:p>
      <w:pPr>
        <w:spacing w:line="360" w:lineRule="auto"/>
        <w:ind w:left="137" w:leftChars="57" w:firstLine="360" w:firstLineChars="1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指定分包事项名称：</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10.4 分包合同价款结算与支付</w:t>
      </w:r>
    </w:p>
    <w:p>
      <w:pPr>
        <w:spacing w:line="360" w:lineRule="auto"/>
        <w:ind w:left="137" w:leftChars="57"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分包合同价款的支付方式：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rPr>
          <w:rFonts w:ascii="仿宋" w:hAnsi="仿宋" w:eastAsia="仿宋" w:cs="仿宋"/>
          <w:i w:val="0"/>
          <w:iCs w:val="0"/>
          <w:color w:val="auto"/>
          <w:sz w:val="24"/>
          <w:szCs w:val="24"/>
          <w:highlight w:val="none"/>
        </w:rPr>
      </w:pPr>
      <w:bookmarkStart w:id="711" w:name="_Toc20094"/>
      <w:bookmarkStart w:id="712" w:name="_Toc30263"/>
      <w:bookmarkStart w:id="713" w:name="_Toc47694393"/>
      <w:r>
        <w:rPr>
          <w:rFonts w:hint="eastAsia" w:ascii="仿宋" w:hAnsi="仿宋" w:eastAsia="仿宋" w:cs="仿宋"/>
          <w:i w:val="0"/>
          <w:iCs w:val="0"/>
          <w:color w:val="auto"/>
          <w:sz w:val="24"/>
          <w:szCs w:val="24"/>
          <w:highlight w:val="none"/>
        </w:rPr>
        <w:t>16. 交通运输</w:t>
      </w:r>
      <w:bookmarkEnd w:id="711"/>
      <w:bookmarkEnd w:id="712"/>
      <w:bookmarkEnd w:id="713"/>
    </w:p>
    <w:p>
      <w:pPr>
        <w:spacing w:line="360" w:lineRule="auto"/>
        <w:rPr>
          <w:rFonts w:ascii="仿宋" w:hAnsi="仿宋" w:eastAsia="仿宋" w:cs="仿宋"/>
          <w:color w:val="auto"/>
          <w:highlight w:val="none"/>
          <w:lang w:eastAsia="zh-CN"/>
        </w:rPr>
      </w:pPr>
      <w:bookmarkStart w:id="714" w:name="_Toc15287"/>
      <w:r>
        <w:rPr>
          <w:rFonts w:hint="eastAsia" w:ascii="仿宋" w:hAnsi="仿宋" w:eastAsia="仿宋" w:cs="仿宋"/>
          <w:color w:val="auto"/>
          <w:highlight w:val="none"/>
          <w:lang w:eastAsia="zh-CN"/>
        </w:rPr>
        <w:t>16.1 道路通行权和场外设施</w:t>
      </w:r>
      <w:bookmarkEnd w:id="714"/>
    </w:p>
    <w:p>
      <w:pPr>
        <w:spacing w:line="360" w:lineRule="auto"/>
        <w:ind w:firstLine="600" w:firstLineChars="2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办理道路通行权和修建场外设施的费用：</w:t>
      </w:r>
      <w:r>
        <w:rPr>
          <w:rFonts w:hint="eastAsia" w:ascii="仿宋" w:hAnsi="仿宋" w:eastAsia="仿宋" w:cs="仿宋"/>
          <w:color w:val="auto"/>
          <w:highlight w:val="none"/>
          <w:u w:val="single"/>
          <w:lang w:eastAsia="zh-CN"/>
        </w:rPr>
        <w:t xml:space="preserve"> 通道按现状，不论满足施工要求与否，该通道及施工便道均由承包人自行解决，费用视为承包人在投标报价综合考虑，发包人不再另行支付。</w:t>
      </w:r>
    </w:p>
    <w:p>
      <w:pPr>
        <w:spacing w:line="360" w:lineRule="auto"/>
        <w:rPr>
          <w:rFonts w:ascii="仿宋" w:hAnsi="仿宋" w:eastAsia="仿宋" w:cs="仿宋"/>
          <w:color w:val="auto"/>
          <w:highlight w:val="none"/>
          <w:lang w:eastAsia="zh-CN"/>
        </w:rPr>
      </w:pPr>
      <w:bookmarkStart w:id="715" w:name="_Toc10888"/>
      <w:r>
        <w:rPr>
          <w:rFonts w:hint="eastAsia" w:ascii="仿宋" w:hAnsi="仿宋" w:eastAsia="仿宋" w:cs="仿宋"/>
          <w:color w:val="auto"/>
          <w:highlight w:val="none"/>
          <w:lang w:eastAsia="zh-CN"/>
        </w:rPr>
        <w:t>16.2 场内临时道路和交通设施</w:t>
      </w:r>
      <w:bookmarkEnd w:id="715"/>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修建场内临时道路和交通设施的费用：</w:t>
      </w:r>
      <w:r>
        <w:rPr>
          <w:rFonts w:hint="eastAsia" w:ascii="仿宋" w:hAnsi="仿宋" w:eastAsia="仿宋" w:cs="仿宋"/>
          <w:color w:val="auto"/>
          <w:highlight w:val="none"/>
          <w:u w:val="single"/>
          <w:lang w:eastAsia="zh-CN"/>
        </w:rPr>
        <w:t xml:space="preserve"> 通道按现状，不论满足施工要求与否，该通道及施工便道均由承包人自行解决，费用视为承包人在投标报价综合考虑，发包人不再另行支付。</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运输超大件和超重件的费用：</w:t>
      </w:r>
      <w:r>
        <w:rPr>
          <w:rFonts w:hint="eastAsia" w:ascii="仿宋" w:hAnsi="仿宋" w:eastAsia="仿宋" w:cs="仿宋"/>
          <w:color w:val="auto"/>
          <w:highlight w:val="none"/>
          <w:u w:val="single"/>
          <w:lang w:eastAsia="zh-CN"/>
        </w:rPr>
        <w:t xml:space="preserve"> 不论满足施工要求与否，均由承包人自行解决，费用视为承包人在投标报价综合考虑，发包人不再另行支付。</w:t>
      </w:r>
    </w:p>
    <w:p>
      <w:pPr>
        <w:pStyle w:val="4"/>
        <w:tabs>
          <w:tab w:val="left" w:pos="420"/>
        </w:tabs>
        <w:spacing w:line="360" w:lineRule="auto"/>
        <w:rPr>
          <w:i w:val="0"/>
          <w:iCs w:val="0"/>
          <w:color w:val="auto"/>
          <w:highlight w:val="none"/>
        </w:rPr>
      </w:pPr>
      <w:bookmarkStart w:id="716" w:name="_Toc16555"/>
      <w:bookmarkStart w:id="717" w:name="_Toc47694394"/>
      <w:bookmarkStart w:id="718" w:name="_Toc26766"/>
      <w:r>
        <w:rPr>
          <w:rFonts w:hint="eastAsia" w:ascii="仿宋" w:hAnsi="仿宋" w:eastAsia="仿宋" w:cs="仿宋"/>
          <w:i w:val="0"/>
          <w:iCs w:val="0"/>
          <w:color w:val="auto"/>
          <w:sz w:val="24"/>
          <w:szCs w:val="24"/>
          <w:highlight w:val="none"/>
        </w:rPr>
        <w:t>17. 专项批准事项的签认</w:t>
      </w:r>
      <w:bookmarkEnd w:id="716"/>
      <w:bookmarkEnd w:id="717"/>
      <w:bookmarkEnd w:id="718"/>
    </w:p>
    <w:p>
      <w:pPr>
        <w:rPr>
          <w:rFonts w:ascii="仿宋" w:hAnsi="仿宋" w:eastAsia="仿宋" w:cs="仿宋"/>
          <w:color w:val="auto"/>
          <w:highlight w:val="none"/>
          <w:lang w:eastAsia="zh-CN"/>
        </w:rPr>
      </w:pPr>
      <w:bookmarkStart w:id="719" w:name="_Toc25987"/>
      <w:r>
        <w:rPr>
          <w:rFonts w:hint="eastAsia" w:ascii="仿宋" w:hAnsi="仿宋" w:eastAsia="仿宋" w:cs="仿宋"/>
          <w:color w:val="auto"/>
          <w:highlight w:val="none"/>
          <w:lang w:eastAsia="zh-CN"/>
        </w:rPr>
        <w:t>17.2 专项批准事项签认人的要求</w:t>
      </w:r>
      <w:bookmarkEnd w:id="719"/>
    </w:p>
    <w:p>
      <w:pPr>
        <w:spacing w:line="360" w:lineRule="auto"/>
        <w:ind w:left="137" w:leftChars="57"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p>
    <w:p>
      <w:pPr>
        <w:spacing w:line="360" w:lineRule="auto"/>
        <w:ind w:left="274" w:leftChars="11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1、设计顾问人代表：</w:t>
      </w:r>
    </w:p>
    <w:p>
      <w:pPr>
        <w:snapToGrid w:val="0"/>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印章样式：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 xml:space="preserve">     签字样式：</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274" w:leftChars="11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2、监理人代表：</w:t>
      </w:r>
    </w:p>
    <w:p>
      <w:pPr>
        <w:snapToGrid w:val="0"/>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印章样式：         签字样式：</w:t>
      </w:r>
      <w:r>
        <w:rPr>
          <w:rFonts w:hint="eastAsia" w:ascii="仿宋" w:hAnsi="仿宋" w:eastAsia="仿宋" w:cs="仿宋"/>
          <w:color w:val="auto"/>
          <w:highlight w:val="none"/>
          <w:u w:val="single"/>
          <w:lang w:eastAsia="zh-CN"/>
        </w:rPr>
        <w:t xml:space="preserve">                  </w:t>
      </w:r>
    </w:p>
    <w:p>
      <w:pPr>
        <w:spacing w:line="360" w:lineRule="auto"/>
        <w:ind w:left="274" w:leftChars="11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3、造价咨询人代表：</w:t>
      </w:r>
    </w:p>
    <w:p>
      <w:pPr>
        <w:snapToGrid w:val="0"/>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姓名：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印章样式：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签字样式：</w:t>
      </w:r>
      <w:r>
        <w:rPr>
          <w:rFonts w:hint="eastAsia" w:ascii="仿宋" w:hAnsi="仿宋" w:eastAsia="仿宋" w:cs="仿宋"/>
          <w:color w:val="auto"/>
          <w:highlight w:val="none"/>
          <w:u w:val="single"/>
          <w:lang w:eastAsia="zh-CN"/>
        </w:rPr>
        <w:t xml:space="preserve">                  </w:t>
      </w:r>
    </w:p>
    <w:p>
      <w:pPr>
        <w:spacing w:line="360" w:lineRule="auto"/>
        <w:ind w:left="274" w:leftChars="11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4、承包人代表：</w:t>
      </w:r>
    </w:p>
    <w:p>
      <w:pPr>
        <w:snapToGrid w:val="0"/>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姓名：</w:t>
      </w:r>
      <w:r>
        <w:rPr>
          <w:rFonts w:hint="eastAsia" w:ascii="仿宋" w:hAnsi="仿宋" w:eastAsia="仿宋" w:cs="仿宋"/>
          <w:b/>
          <w:color w:val="auto"/>
          <w:highlight w:val="none"/>
          <w:u w:val="single"/>
          <w:lang w:eastAsia="zh-CN"/>
        </w:rPr>
        <w:t xml:space="preserve"> </w:t>
      </w:r>
      <w:r>
        <w:rPr>
          <w:rFonts w:ascii="仿宋" w:hAnsi="仿宋" w:eastAsia="仿宋" w:cs="仿宋"/>
          <w:b/>
          <w:color w:val="auto"/>
          <w:highlight w:val="none"/>
          <w:u w:val="single"/>
          <w:lang w:eastAsia="zh-CN"/>
        </w:rPr>
        <w:t xml:space="preserve"> </w:t>
      </w:r>
      <w:r>
        <w:rPr>
          <w:rFonts w:hint="eastAsia" w:ascii="仿宋" w:hAnsi="仿宋" w:eastAsia="仿宋" w:cs="仿宋"/>
          <w:b/>
          <w:color w:val="auto"/>
          <w:highlight w:val="none"/>
          <w:u w:val="single"/>
          <w:lang w:eastAsia="zh-CN"/>
        </w:rPr>
        <w:t xml:space="preserve">      </w:t>
      </w:r>
      <w:r>
        <w:rPr>
          <w:rFonts w:hint="eastAsia" w:ascii="仿宋" w:hAnsi="仿宋" w:eastAsia="仿宋" w:cs="仿宋"/>
          <w:color w:val="auto"/>
          <w:highlight w:val="none"/>
          <w:lang w:eastAsia="zh-CN"/>
        </w:rPr>
        <w:t xml:space="preserve"> 印章样式：          签字样式：</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rPr>
          <w:rFonts w:eastAsia="仿宋"/>
          <w:i w:val="0"/>
          <w:iCs w:val="0"/>
          <w:color w:val="auto"/>
          <w:highlight w:val="none"/>
        </w:rPr>
      </w:pPr>
      <w:bookmarkStart w:id="720" w:name="_Toc27360"/>
      <w:bookmarkStart w:id="721" w:name="_Toc47694395"/>
      <w:bookmarkStart w:id="722" w:name="_Toc3933"/>
      <w:r>
        <w:rPr>
          <w:rFonts w:hint="eastAsia" w:ascii="仿宋" w:hAnsi="仿宋" w:eastAsia="仿宋" w:cs="仿宋"/>
          <w:i w:val="0"/>
          <w:iCs w:val="0"/>
          <w:color w:val="auto"/>
          <w:sz w:val="24"/>
          <w:szCs w:val="24"/>
          <w:highlight w:val="none"/>
        </w:rPr>
        <w:t>18. 专利技术和知识产权</w:t>
      </w:r>
      <w:bookmarkEnd w:id="720"/>
      <w:bookmarkEnd w:id="721"/>
      <w:bookmarkEnd w:id="722"/>
    </w:p>
    <w:p>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18.3版权和知识产权</w:t>
      </w:r>
    </w:p>
    <w:p>
      <w:pPr>
        <w:spacing w:line="360" w:lineRule="auto"/>
        <w:ind w:left="240" w:leftChars="100"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18.3.2 承包人为实施工程所编制的文件，其著作权归属的约定：</w:t>
      </w:r>
      <w:r>
        <w:rPr>
          <w:rFonts w:hint="eastAsia" w:ascii="仿宋" w:hAnsi="仿宋" w:eastAsia="仿宋" w:cs="仿宋"/>
          <w:color w:val="auto"/>
          <w:highlight w:val="none"/>
          <w:u w:val="single"/>
          <w:lang w:eastAsia="zh-CN"/>
        </w:rPr>
        <w:t>施工图和竣工图的知识产权归属发包人所有，非经发包人许可，承包人不得以任何方式复制、备份、转让和利用。否则，由此引起的任何纠纷和责任由承包人承担。</w:t>
      </w:r>
    </w:p>
    <w:p>
      <w:pPr>
        <w:pStyle w:val="4"/>
        <w:tabs>
          <w:tab w:val="left" w:pos="420"/>
        </w:tabs>
        <w:spacing w:line="360" w:lineRule="auto"/>
        <w:rPr>
          <w:i w:val="0"/>
          <w:iCs w:val="0"/>
          <w:color w:val="auto"/>
          <w:highlight w:val="none"/>
        </w:rPr>
      </w:pPr>
      <w:bookmarkStart w:id="723" w:name="_Toc9619"/>
      <w:bookmarkStart w:id="724" w:name="_Toc47694396"/>
      <w:bookmarkStart w:id="725" w:name="_Toc17095"/>
      <w:r>
        <w:rPr>
          <w:rFonts w:hint="eastAsia" w:ascii="仿宋" w:hAnsi="仿宋" w:eastAsia="仿宋" w:cs="仿宋"/>
          <w:i w:val="0"/>
          <w:iCs w:val="0"/>
          <w:color w:val="auto"/>
          <w:sz w:val="24"/>
          <w:szCs w:val="24"/>
          <w:highlight w:val="none"/>
        </w:rPr>
        <w:t>19.  联合的责任</w:t>
      </w:r>
      <w:bookmarkEnd w:id="723"/>
      <w:bookmarkEnd w:id="724"/>
      <w:bookmarkEnd w:id="725"/>
    </w:p>
    <w:p>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19.1联合体的组成及责任</w:t>
      </w:r>
    </w:p>
    <w:p>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19.1.2联合主办方的管理责任</w:t>
      </w:r>
    </w:p>
    <w:p>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□设计单位为联合体主办方时的管理责任：</w:t>
      </w:r>
      <w:r>
        <w:rPr>
          <w:rFonts w:hint="eastAsia" w:ascii="仿宋" w:hAnsi="仿宋" w:eastAsia="仿宋" w:cs="仿宋"/>
          <w:color w:val="auto"/>
          <w:highlight w:val="none"/>
          <w:u w:val="single"/>
          <w:lang w:eastAsia="zh-CN"/>
        </w:rPr>
        <w:t xml:space="preserve">  /  </w:t>
      </w:r>
    </w:p>
    <w:p>
      <w:pPr>
        <w:topLinePunct/>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☑施工单位为联合体主办方时的管理责任：</w:t>
      </w:r>
    </w:p>
    <w:p>
      <w:pPr>
        <w:topLinePunct/>
        <w:adjustRightInd w:val="0"/>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：作为联合体的主办方除负责本工程的施工外，还应承担设计施工总承包管理的职责，具体按合同要求。</w:t>
      </w:r>
    </w:p>
    <w:p>
      <w:pPr>
        <w:topLinePunct/>
        <w:adjustRightInd w:val="0"/>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：主要负责本工程的勘察工作，具体按合同要求。</w:t>
      </w:r>
    </w:p>
    <w:p>
      <w:pPr>
        <w:topLinePunct/>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               ：主要负责本工程的设计、设计优化、BIM技术应用等工作，具体按合同要求。</w:t>
      </w:r>
    </w:p>
    <w:p>
      <w:pPr>
        <w:pStyle w:val="4"/>
        <w:tabs>
          <w:tab w:val="left" w:pos="420"/>
        </w:tabs>
        <w:spacing w:line="360" w:lineRule="auto"/>
        <w:rPr>
          <w:i w:val="0"/>
          <w:iCs w:val="0"/>
          <w:color w:val="auto"/>
          <w:highlight w:val="none"/>
        </w:rPr>
      </w:pPr>
      <w:bookmarkStart w:id="726" w:name="_Toc23669"/>
      <w:bookmarkStart w:id="727" w:name="_Toc1903"/>
      <w:bookmarkStart w:id="728" w:name="_Toc47694397"/>
      <w:r>
        <w:rPr>
          <w:rFonts w:hint="eastAsia" w:ascii="仿宋" w:hAnsi="仿宋" w:eastAsia="仿宋" w:cs="仿宋"/>
          <w:i w:val="0"/>
          <w:iCs w:val="0"/>
          <w:color w:val="auto"/>
          <w:sz w:val="24"/>
          <w:szCs w:val="24"/>
          <w:highlight w:val="none"/>
        </w:rPr>
        <w:t>22.  发包人</w:t>
      </w:r>
      <w:bookmarkEnd w:id="726"/>
      <w:bookmarkEnd w:id="727"/>
      <w:bookmarkEnd w:id="728"/>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w:t>
      </w:r>
      <w:bookmarkStart w:id="729" w:name="_Hlk53305925"/>
      <w:r>
        <w:rPr>
          <w:rFonts w:hint="eastAsia" w:ascii="仿宋" w:hAnsi="仿宋" w:eastAsia="仿宋" w:cs="仿宋"/>
          <w:color w:val="auto"/>
          <w:highlight w:val="none"/>
          <w:lang w:eastAsia="zh-CN"/>
        </w:rPr>
        <w:t>提供标准与规范的时间：</w:t>
      </w:r>
      <w:r>
        <w:rPr>
          <w:rFonts w:hint="eastAsia" w:ascii="仿宋" w:hAnsi="仿宋" w:eastAsia="仿宋" w:cs="仿宋"/>
          <w:color w:val="auto"/>
          <w:highlight w:val="none"/>
          <w:u w:val="single"/>
          <w:lang w:eastAsia="zh-CN"/>
        </w:rPr>
        <w:t>发包人不提供，由承包人按国家、省、市标准和规范及设计图纸要求自备。</w:t>
      </w:r>
    </w:p>
    <w:bookmarkEnd w:id="729"/>
    <w:p>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（4）办理土地征用、拆迁、平整施工场地等工作的时间：</w:t>
      </w:r>
      <w:r>
        <w:rPr>
          <w:rFonts w:hint="eastAsia" w:ascii="仿宋" w:hAnsi="仿宋" w:eastAsia="仿宋" w:cs="仿宋"/>
          <w:color w:val="auto"/>
          <w:highlight w:val="none"/>
          <w:u w:val="single"/>
          <w:lang w:eastAsia="zh-CN"/>
        </w:rPr>
        <w:t xml:space="preserve">土地征用由发包人在开工前完成。 </w:t>
      </w:r>
      <w:r>
        <w:rPr>
          <w:rFonts w:ascii="仿宋" w:hAnsi="仿宋" w:eastAsia="仿宋" w:cs="仿宋"/>
          <w:color w:val="auto"/>
          <w:highlight w:val="none"/>
          <w:u w:val="single"/>
          <w:lang w:eastAsia="zh-CN"/>
        </w:rPr>
        <w:t xml:space="preserve"> </w:t>
      </w:r>
    </w:p>
    <w:p>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（5）完成施工所需水、电、通讯线路接驳的时间及地点：</w:t>
      </w:r>
      <w:r>
        <w:rPr>
          <w:rFonts w:hint="eastAsia" w:ascii="仿宋" w:hAnsi="仿宋" w:eastAsia="仿宋" w:cs="仿宋"/>
          <w:color w:val="auto"/>
          <w:highlight w:val="none"/>
          <w:u w:val="single"/>
          <w:lang w:eastAsia="zh-CN"/>
        </w:rPr>
        <w:t xml:space="preserve"> 开工前由发包人提供水电具体接入点（在红线范围内），由承包人安装独立水表、电表，承包人根据施工需要自行解决施工场地内的水电管线，由承包人向供电、供水以及网络运营商申请办理相关施工用水、用电及用网等手续以及承担相关手续费用，并负责自行按期缴纳相关费用，如承包人在办理上述手续中确需发包人协助的，发包人予以相应的配合，承包人逾期缴交费用的责任由承包人自行承担，如承包人不按发包人规定的水电接驳点接入水电，则承包人向发包人支付违约金5000元。</w:t>
      </w:r>
    </w:p>
    <w:p>
      <w:pPr>
        <w:spacing w:line="360" w:lineRule="auto"/>
        <w:ind w:left="274" w:leftChars="114"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（6）开通施工现场与城乡公共道路间的通道的时间：</w:t>
      </w:r>
      <w:r>
        <w:rPr>
          <w:rFonts w:hint="eastAsia" w:ascii="仿宋" w:hAnsi="仿宋" w:eastAsia="仿宋" w:cs="仿宋"/>
          <w:color w:val="auto"/>
          <w:highlight w:val="none"/>
          <w:u w:val="single"/>
          <w:lang w:eastAsia="zh-CN"/>
        </w:rPr>
        <w:t>通道按现状，不论满足施工要求与否，该通道及施工便道均由承包人自行解决，费用视为承包人在投标报价综合考虑，发包人不再另行支付。</w:t>
      </w:r>
    </w:p>
    <w:p>
      <w:pPr>
        <w:spacing w:line="360" w:lineRule="auto"/>
        <w:ind w:left="274" w:leftChars="114"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（7）办理施工所需的有关证件和批准手续的时间：</w:t>
      </w:r>
      <w:r>
        <w:rPr>
          <w:rFonts w:hint="eastAsia" w:ascii="仿宋" w:hAnsi="仿宋" w:eastAsia="仿宋" w:cs="仿宋"/>
          <w:color w:val="auto"/>
          <w:highlight w:val="none"/>
          <w:u w:val="single"/>
          <w:lang w:eastAsia="zh-CN"/>
        </w:rPr>
        <w:t xml:space="preserve"> 开工前办好施工所需证件。</w:t>
      </w:r>
    </w:p>
    <w:p>
      <w:pPr>
        <w:spacing w:line="360" w:lineRule="auto"/>
        <w:ind w:left="274" w:leftChars="114"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（8）确定水准点与坐标控制点，组织现场交验的时间：</w:t>
      </w:r>
      <w:r>
        <w:rPr>
          <w:rFonts w:hint="eastAsia" w:ascii="仿宋" w:hAnsi="仿宋" w:eastAsia="仿宋" w:cs="仿宋"/>
          <w:color w:val="auto"/>
          <w:highlight w:val="none"/>
          <w:u w:val="single"/>
          <w:lang w:eastAsia="zh-CN"/>
        </w:rPr>
        <w:t xml:space="preserve"> 开工前完成。</w:t>
      </w:r>
    </w:p>
    <w:p>
      <w:pPr>
        <w:spacing w:line="360" w:lineRule="auto"/>
        <w:ind w:left="274" w:leftChars="114" w:firstLine="240" w:firstLineChars="100"/>
        <w:rPr>
          <w:rFonts w:ascii="仿宋" w:hAnsi="仿宋" w:eastAsia="仿宋" w:cs="仿宋"/>
          <w:color w:val="auto"/>
          <w:highlight w:val="none"/>
          <w:u w:val="single"/>
          <w:lang w:eastAsia="zh-CN"/>
        </w:rPr>
      </w:pPr>
      <w:bookmarkStart w:id="730" w:name="_Hlk53308218"/>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w:t>
      </w:r>
      <w:bookmarkStart w:id="731" w:name="_Hlk79358426"/>
      <w:r>
        <w:rPr>
          <w:rFonts w:hint="eastAsia" w:ascii="仿宋" w:hAnsi="仿宋" w:eastAsia="仿宋" w:cs="仿宋"/>
          <w:color w:val="auto"/>
          <w:highlight w:val="none"/>
          <w:lang w:eastAsia="zh-CN"/>
        </w:rPr>
        <w:t>协调处理施工场地周围地形关系问题和邻近建筑物等保护</w:t>
      </w:r>
      <w:bookmarkEnd w:id="731"/>
      <w:r>
        <w:rPr>
          <w:rFonts w:hint="eastAsia" w:ascii="仿宋" w:hAnsi="仿宋" w:eastAsia="仿宋" w:cs="仿宋"/>
          <w:color w:val="auto"/>
          <w:highlight w:val="none"/>
          <w:lang w:eastAsia="zh-CN"/>
        </w:rPr>
        <w:t>工作的约定：</w:t>
      </w:r>
      <w:r>
        <w:rPr>
          <w:rFonts w:hint="eastAsia" w:ascii="仿宋" w:hAnsi="仿宋" w:eastAsia="仿宋" w:cs="仿宋"/>
          <w:color w:val="auto"/>
          <w:highlight w:val="none"/>
          <w:u w:val="single"/>
          <w:lang w:eastAsia="zh-CN"/>
        </w:rPr>
        <w:t xml:space="preserve"> 承包人完成地质勘探等相关工作，承包人在施工时应及时与有关方面联系，协调处理施工场地周围地形关系问题和邻近建筑物等保护，因承包人原因保护不当造成邻近建筑物、构筑物等的损坏，由承包人承担由此发生的全部费用与责任。</w:t>
      </w:r>
    </w:p>
    <w:bookmarkEnd w:id="730"/>
    <w:p>
      <w:pPr>
        <w:spacing w:line="360" w:lineRule="auto"/>
        <w:ind w:left="274" w:leftChars="114"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11</w:t>
      </w:r>
      <w:r>
        <w:rPr>
          <w:rFonts w:hint="eastAsia" w:ascii="仿宋" w:hAnsi="仿宋" w:eastAsia="仿宋" w:cs="仿宋"/>
          <w:color w:val="auto"/>
          <w:highlight w:val="none"/>
          <w:lang w:eastAsia="zh-CN"/>
        </w:rPr>
        <w:t>）其它约定：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bookmarkStart w:id="732" w:name="_Toc15645"/>
      <w:r>
        <w:rPr>
          <w:rFonts w:hint="eastAsia" w:ascii="仿宋" w:hAnsi="仿宋" w:eastAsia="仿宋" w:cs="仿宋"/>
          <w:color w:val="auto"/>
          <w:highlight w:val="none"/>
          <w:lang w:eastAsia="zh-CN"/>
        </w:rPr>
        <w:t>22.3 发包人提供施工场地</w:t>
      </w:r>
      <w:bookmarkEnd w:id="732"/>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双方协商确定。</w:t>
      </w:r>
    </w:p>
    <w:p>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22.4 发包人支付款项</w:t>
      </w:r>
    </w:p>
    <w:p>
      <w:pPr>
        <w:spacing w:line="360" w:lineRule="auto"/>
        <w:ind w:left="137" w:leftChars="57"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1、工程款支付期限</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按通用条款第85.3款、第86.3款、第88.3款等规定期限支付。</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2、工程款支付方式</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按协议书所注明的银行账户转账。</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支票支付。</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其他方式：</w:t>
      </w:r>
      <w:r>
        <w:rPr>
          <w:rFonts w:hint="eastAsia" w:ascii="仿宋" w:hAnsi="仿宋" w:eastAsia="仿宋" w:cs="仿宋"/>
          <w:color w:val="auto"/>
          <w:highlight w:val="none"/>
          <w:u w:val="single"/>
          <w:lang w:eastAsia="zh-CN"/>
        </w:rPr>
        <w:t>按协议书所注明的联合体各成员的银行账户分开转账支付。</w:t>
      </w:r>
    </w:p>
    <w:p>
      <w:pPr>
        <w:pStyle w:val="4"/>
        <w:tabs>
          <w:tab w:val="left" w:pos="420"/>
        </w:tabs>
        <w:spacing w:line="360" w:lineRule="auto"/>
        <w:rPr>
          <w:i w:val="0"/>
          <w:iCs w:val="0"/>
          <w:color w:val="auto"/>
          <w:highlight w:val="none"/>
        </w:rPr>
      </w:pPr>
      <w:bookmarkStart w:id="733" w:name="_Toc31834"/>
      <w:bookmarkStart w:id="734" w:name="_Toc26412"/>
      <w:bookmarkStart w:id="735" w:name="_Toc47694398"/>
      <w:r>
        <w:rPr>
          <w:rFonts w:hint="eastAsia" w:ascii="仿宋" w:hAnsi="仿宋" w:eastAsia="仿宋" w:cs="仿宋"/>
          <w:i w:val="0"/>
          <w:iCs w:val="0"/>
          <w:color w:val="auto"/>
          <w:sz w:val="24"/>
          <w:szCs w:val="24"/>
          <w:highlight w:val="none"/>
        </w:rPr>
        <w:t>23.  承包人</w:t>
      </w:r>
      <w:bookmarkEnd w:id="733"/>
      <w:bookmarkEnd w:id="734"/>
      <w:bookmarkEnd w:id="735"/>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23.1 遵守法律</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承包人在本项目中存在通用条款 23.1 所列行为的，将被拒绝参与发包人后续工程投标。拒绝投标时限：</w:t>
      </w:r>
    </w:p>
    <w:p>
      <w:pPr>
        <w:widowControl w:val="0"/>
        <w:spacing w:line="360" w:lineRule="auto"/>
        <w:ind w:firstLine="480" w:firstLine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（1）经相关行政管理部门认定为一般安全生产责任事故，造成1-2人死亡的，承包人在1年内将被拒绝参与发包人后续工程投标。</w:t>
      </w:r>
    </w:p>
    <w:p>
      <w:pPr>
        <w:spacing w:line="360" w:lineRule="auto"/>
        <w:ind w:firstLine="480" w:firstLine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（2）经相关行政管理部门认定为较大及以上安全生产责任事故，造成3人及以上死亡的，承包人在3年内将被拒绝参与发包人后续工程投标。</w:t>
      </w:r>
    </w:p>
    <w:p>
      <w:pPr>
        <w:spacing w:line="360" w:lineRule="auto"/>
        <w:ind w:firstLine="480" w:firstLine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因受到行政处罚、发生工程质量事故、串通投标、弄虚作假骗取中标、不正当竞争、违法分包转包、恶意拖欠分包单位工程款、拖欠或克扣工人工资引起群体群发事件等被广州市住房和城乡建设局纳入“黑名单”的，承包人自纳入黑名单之日起1年内将被拒绝参与发包人后续工程投标。</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pPr>
        <w:spacing w:line="360" w:lineRule="auto"/>
        <w:ind w:left="240" w:leftChars="100" w:firstLine="120" w:firstLineChars="50"/>
        <w:rPr>
          <w:rFonts w:ascii="仿宋" w:hAnsi="仿宋" w:eastAsia="仿宋" w:cs="仿宋"/>
          <w:color w:val="auto"/>
          <w:highlight w:val="none"/>
          <w:lang w:eastAsia="zh-CN"/>
        </w:rPr>
      </w:pPr>
      <w:r>
        <w:rPr>
          <w:rFonts w:ascii="仿宋" w:hAnsi="仿宋" w:eastAsia="仿宋" w:cs="仿宋"/>
          <w:color w:val="auto"/>
          <w:highlight w:val="none"/>
          <w:lang w:eastAsia="zh-CN"/>
        </w:rPr>
        <w:t>（1）除法律另有规定外，由承包人办理的许可、批准或备案：</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left="240" w:leftChars="100"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 提交支付申请和工程款额报告期限</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按通用条款第80.2款、第81.7款、第83.1款等规定期限提交。</w:t>
      </w:r>
    </w:p>
    <w:p>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）向发包人提供施工场地办公和生活的房屋及设施的数量和时间等要求：</w:t>
      </w:r>
      <w:r>
        <w:rPr>
          <w:rFonts w:hint="eastAsia" w:ascii="仿宋" w:hAnsi="仿宋" w:eastAsia="仿宋" w:cs="仿宋"/>
          <w:color w:val="auto"/>
          <w:highlight w:val="none"/>
          <w:u w:val="single"/>
          <w:lang w:eastAsia="zh-CN"/>
        </w:rPr>
        <w:t>项目原有建筑物拆除及完成场地平整等工作后</w:t>
      </w:r>
      <w:r>
        <w:rPr>
          <w:rFonts w:hint="eastAsia" w:ascii="仿宋" w:hAnsi="仿宋" w:eastAsia="仿宋" w:cs="仿宋"/>
          <w:color w:val="auto"/>
          <w:highlight w:val="none"/>
          <w:u w:val="single"/>
          <w:lang w:eastAsia="zh-CN"/>
        </w:rPr>
        <w:t xml:space="preserve">，提供包括但不限于现场发包人代表、跟踪审计单位和监理办公室、生活用房（约100㎡）和基本的家具（办公桌、椅子、空调、文件柜、床等），费用视为承包人在投标总价内综合考虑（包括使用过程的水电费用、竣工清场拆除费用）。完成施工所需水、电、通讯线路接驳的时间及地点：开工前由发包人提供水电具体接入点（在红线范围内），由承包人安装独立水表、电表，承包人根据施工需要自行解决施工场地内的水电管线，由承包人向供电、供水以及网络运营商申请办理相关施工用水、用电及用网等手续以及承担相关手续费用，并负责自行按期缴纳相关费用，如承包人在办理上述手续中确需发包人协助的，发包人予以相应的配合，承包人逾期缴交费用的责任由承包人自行承担，如承包人不按发包人规定的水电接驳点接入水电，则承包人向发包人支付违约金5000元。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（10）办完施工场地交通、环境保护、施工噪声、绿色施工安全防护等手续的时间：</w:t>
      </w:r>
      <w:r>
        <w:rPr>
          <w:rFonts w:hint="eastAsia" w:ascii="仿宋" w:hAnsi="仿宋" w:eastAsia="仿宋" w:cs="仿宋"/>
          <w:color w:val="auto"/>
          <w:highlight w:val="none"/>
          <w:u w:val="single"/>
          <w:lang w:val="en-US" w:bidi="en-US"/>
        </w:rPr>
        <w:t>严格遵守国家、省、市有关规定，负责办理施工有关手续（包括有关施工场地交通、环境保护、施工噪音、安全防护、文明施工、消防、爆破管理等），并在开工后2个月内以书面形式报备发包人。建立相应的规章制度和防护措施，并承担造成事故的责任和发生的费用。保证发包人免受因此造成的损失。如因此给发包人造成损失的，承包人按发包人损失实际产生的合理费用给予赔偿。造成竣工日期延误，由承包人负责。</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（11）做好施工场地地下管线和邻近建筑物、构筑物（包括文物保护建筑）、古树名木保护工作的约定：</w:t>
      </w:r>
      <w:r>
        <w:rPr>
          <w:rFonts w:hint="eastAsia" w:ascii="仿宋" w:hAnsi="仿宋" w:eastAsia="仿宋" w:cs="仿宋"/>
          <w:b/>
          <w:bCs/>
          <w:color w:val="auto"/>
          <w:highlight w:val="none"/>
          <w:lang w:val="en-US" w:bidi="en-US"/>
        </w:rPr>
        <w:t>当</w:t>
      </w:r>
      <w:r>
        <w:rPr>
          <w:rFonts w:hint="eastAsia" w:ascii="仿宋" w:hAnsi="仿宋" w:eastAsia="仿宋" w:cs="仿宋"/>
          <w:color w:val="auto"/>
          <w:highlight w:val="none"/>
          <w:lang w:val="en-US" w:bidi="en-US"/>
        </w:rPr>
        <w:t>造成破坏的，由承包人负责修复并承担所需费用。如承包人修复不及时，发包人有权自行委托第三方负责修复，由此产生的相关费用在下一期进度款支付中进行扣减。</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12）保证施工场地的清洁和做好交工前施工现场清理工作的约定：承包人须按发包人批准的施工组织设计进行施工现场布置、放置材料机械及其它设施，及时将施工垃圾、余泥运出场外，不低于达到广州市安全文明绿色施工工地标准，保证施工场地清洁符合环境卫生管理的有关规定。工程移交前，承包人应将施工场地清理完毕。</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（13）提交竣工验收申请报告和竣工结算文件：</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 xml:space="preserve">☑ 按通用条款第 87.2 款约定提交，结算文件清单按发包人要求提交。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 xml:space="preserve">□ 另作约定： </w:t>
      </w:r>
      <w:r>
        <w:rPr>
          <w:rFonts w:ascii="仿宋" w:hAnsi="仿宋" w:eastAsia="仿宋" w:cs="仿宋"/>
          <w:color w:val="auto"/>
          <w:highlight w:val="none"/>
          <w:u w:val="single"/>
          <w:lang w:val="en-US" w:bidi="en-US"/>
        </w:rPr>
        <w:t xml:space="preserve">        </w:t>
      </w:r>
      <w:r>
        <w:rPr>
          <w:rFonts w:hint="eastAsia" w:ascii="仿宋" w:hAnsi="仿宋" w:eastAsia="仿宋" w:cs="仿宋"/>
          <w:color w:val="auto"/>
          <w:highlight w:val="none"/>
          <w:u w:val="single"/>
          <w:lang w:val="en-US" w:bidi="en-US"/>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（15）承包人应做的其他工作及要求：</w:t>
      </w:r>
    </w:p>
    <w:p>
      <w:pPr>
        <w:widowControl w:val="0"/>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1)提供计划、报表的名称及完成时间：开工前五日历天提供施工组织设计、施工方案和进度计划，每月25 日前提供当月的工程进度表、当月完成的工程量报表及下月进度计划等。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2)承担施工安全保卫工作及非夜间施工照明的责任和要求：做好施工现场人员、材料、器材的保卫工作。施工现场要求全封闭管理，二十四小时保卫值班。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3)需承包人办理的有关施工场地交通、环卫和施工噪音管理等手续：按有关行政主管部门规定办理，同时需到发包人的保卫、计生等部门办理有关手续。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4)已完工程成品保护的特殊要求及费用承担：工程交付使用前，工程成品保护由承包人负责，本工程没有特殊保护要求。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5)施工场地周围地下管线和邻近建筑物、构筑物（含文物保护建筑）、古树名木的保护要求、周边建筑物、构筑物安全鉴定：由承包人负责，相关费用由承包人在投标时综合考虑，发包人不再另行支付相关费用。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6)施工场地清洁卫生的要求：施工期间按有关行政主管部门的规定执行，符合广州市安全生产文明施工优良标准要求。竣工后接到发包人书面退场通知15日历天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履约保证金不予退回。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7)施工时间及场地围蔽的要求：为了尽可能降低施工对周边环境的影响，工地可施工时间按相关规定，原则上从7:00至12:30；14:00至22:00，并按甲方需求相应调整。施工现场文明施工及围蔽，必须符合广州市的相关规定要求。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8)如遇到工程的设计更改或增加的工程项目，承包人必须做好工程量记录，承包人应在需签证的工程完成后 7日历天内发起由发包人、监理单位、承包人三方确认的签证单，并及时提交预算书，过期不予签认。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9)本工程使用商品混凝土、钢筋、水泥、墙体材料、装修材料、铝合金门窗（含成品）、给排水管、消防器材、卫生洁具、水龙头、配电箱、电器开关、照明灯具、插座、空调、水泵、楼地面及其它重点工程材料等，订货前，承包人应提供生产厂家的产品合格证书及检验试验报告，进场后必须按规定抽样送检，以上主要材料须提供样板并经发包人及监理工程师确认和封存，符合工程使用要求后，方可使用，如未经发包人及监理工程师同意，或发生货不对板，发包人及监理工程师有权拒用，并由承包人承担损失。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10)双方约定承包人应做的其他工作：a.负责协助发包人办理施工所需的有关证件；b.工程施工过程中需占用部分道路时，征得发包人同意后承包人派出人员对道路的交通进行维护疏导所发生的费用由承包人负责；c.红线范围内临时设施不能满足施工需要的、经发包人同意，可协调红线外场地给承包人使用，红线外临时设施搭拆、使用费由承包人自负，承包人应承担所占用红线范围外场地设施、地下管网的保护和修复费用；d.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e.承包人须按要求为现场施工人员办理平安卡，若经有关部门检查违反有关规定的，其责任由承包人负责。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11)承包人应按发包人要求提供与本合同项目相关的电子版管理文件资料。承包人有义务配合全过程跟踪审计的各项工作。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12)由于施工现场是医院，施工场地不足，承包人须服从发包人管理，按照广州市有关建设工程文明施工的规定，采取措施降低施工噪音及粉尘；在高考、中考等考试时期，承包人须服从发包人安排的停工时间，工期予以顺延。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w:t>
      </w:r>
      <w:r>
        <w:rPr>
          <w:rFonts w:ascii="仿宋" w:hAnsi="仿宋" w:eastAsia="仿宋" w:cs="仿宋"/>
          <w:color w:val="auto"/>
          <w:highlight w:val="none"/>
          <w:u w:val="single"/>
          <w:lang w:eastAsia="zh-CN"/>
        </w:rPr>
        <w:t>3</w:t>
      </w:r>
      <w:r>
        <w:rPr>
          <w:rFonts w:hint="eastAsia" w:ascii="仿宋" w:hAnsi="仿宋" w:eastAsia="仿宋" w:cs="仿宋"/>
          <w:color w:val="auto"/>
          <w:highlight w:val="none"/>
          <w:u w:val="single"/>
          <w:lang w:eastAsia="zh-CN"/>
        </w:rPr>
        <w:t xml:space="preserve">）承包人不按合同及有关规定按时、足额支付分包单位合同价款及施工人员工资而被投诉或上访属实的，发包人将严格按照合同约定追究其违约责任；如因此致使施工人员集体上访、集聚围阻而造成社会不良影响的，发包人将立即终止与承包人的合同，并上报省、市主管部门建议取消其参加广州地区省、市重大项目的投标资格，并予以公告。如属恶意煽动并造成社会不良影响的，发包人将提请司法部门追究其法律责任。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w:t>
      </w:r>
      <w:r>
        <w:rPr>
          <w:rFonts w:ascii="仿宋" w:hAnsi="仿宋" w:eastAsia="仿宋" w:cs="仿宋"/>
          <w:color w:val="auto"/>
          <w:highlight w:val="none"/>
          <w:u w:val="single"/>
          <w:lang w:eastAsia="zh-CN"/>
        </w:rPr>
        <w:t>4</w:t>
      </w:r>
      <w:r>
        <w:rPr>
          <w:rFonts w:hint="eastAsia" w:ascii="仿宋" w:hAnsi="仿宋" w:eastAsia="仿宋" w:cs="仿宋"/>
          <w:color w:val="auto"/>
          <w:highlight w:val="none"/>
          <w:u w:val="single"/>
          <w:lang w:eastAsia="zh-CN"/>
        </w:rPr>
        <w:t>）由于承包人或其管理的分包单位（包括施工专业分包、供货分包及劳务分包单位等）拖欠施工人员工资致使发包人被投诉或起诉并被判令先行垫付施工人员工资的，承包人除承担严重违约责任、向发包人赔付发包人先行垫付的施工人员工资等所有费用。</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承包人必须以高度负责的态度，对存在可能引发劳资纠纷的各种因素进行排查，及时化解、处理可能发生劳资纠纷的不稳定因素；尤其是对恶意煽动施工人员集体上访、集聚围阻的行为，要善于及时发现并敢于揭露、制止，创造安全、文明、和谐的环境。</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 xml:space="preserve">）承包人对发包人分包的专业工程需在相应的施工楼层提供水、电接驳点。发包人分包的专业工程项目人员应服从总承包的现场管理，费用已在总承包服务费中综合考虑，总承包单位不得向分包单位以任何形式另行计取。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w:t>
      </w:r>
      <w:r>
        <w:rPr>
          <w:rFonts w:ascii="仿宋" w:hAnsi="仿宋" w:eastAsia="仿宋" w:cs="仿宋"/>
          <w:color w:val="auto"/>
          <w:highlight w:val="none"/>
          <w:u w:val="single"/>
          <w:lang w:eastAsia="zh-CN"/>
        </w:rPr>
        <w:t>7</w:t>
      </w:r>
      <w:r>
        <w:rPr>
          <w:rFonts w:hint="eastAsia" w:ascii="仿宋" w:hAnsi="仿宋" w:eastAsia="仿宋" w:cs="仿宋"/>
          <w:color w:val="auto"/>
          <w:highlight w:val="none"/>
          <w:u w:val="single"/>
          <w:lang w:eastAsia="zh-CN"/>
        </w:rPr>
        <w:t xml:space="preserve">）承包人负责对发包人分包的专业工程的竣工资料接收、审核、统一组卷、移交发包人。费用已在总承包服务费中综合考虑，不另计取。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w:t>
      </w:r>
      <w:r>
        <w:rPr>
          <w:rFonts w:ascii="仿宋" w:hAnsi="仿宋" w:eastAsia="仿宋" w:cs="仿宋"/>
          <w:color w:val="auto"/>
          <w:highlight w:val="none"/>
          <w:u w:val="single"/>
          <w:lang w:eastAsia="zh-CN"/>
        </w:rPr>
        <w:t>8</w:t>
      </w:r>
      <w:r>
        <w:rPr>
          <w:rFonts w:hint="eastAsia" w:ascii="仿宋" w:hAnsi="仿宋" w:eastAsia="仿宋" w:cs="仿宋"/>
          <w:color w:val="auto"/>
          <w:highlight w:val="none"/>
          <w:u w:val="single"/>
          <w:lang w:eastAsia="zh-CN"/>
        </w:rPr>
        <w:t xml:space="preserve">）承包人须配合完成文物勘察的挖掘及搬运土方工作，相关费用不再补偿，发包人不再另行支付费用；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19）按照甲方指定位置，环绕项目现场配置至少6个高空实时高清监控摄像头，项目围墙上配置至少24个的高清监控摄像头，相关费用不再补偿。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w:t>
      </w:r>
      <w:r>
        <w:rPr>
          <w:rFonts w:ascii="仿宋" w:hAnsi="仿宋" w:eastAsia="仿宋" w:cs="仿宋"/>
          <w:color w:val="auto"/>
          <w:highlight w:val="none"/>
          <w:u w:val="single"/>
          <w:lang w:eastAsia="zh-CN"/>
        </w:rPr>
        <w:t>0</w:t>
      </w:r>
      <w:r>
        <w:rPr>
          <w:rFonts w:hint="eastAsia" w:ascii="仿宋" w:hAnsi="仿宋" w:eastAsia="仿宋" w:cs="仿宋"/>
          <w:color w:val="auto"/>
          <w:highlight w:val="none"/>
          <w:u w:val="single"/>
          <w:lang w:eastAsia="zh-CN"/>
        </w:rPr>
        <w:t>）工程项目交付发包人前应进行不少于3</w:t>
      </w:r>
      <w:r>
        <w:rPr>
          <w:rFonts w:ascii="仿宋" w:hAnsi="仿宋" w:eastAsia="仿宋" w:cs="仿宋"/>
          <w:color w:val="auto"/>
          <w:highlight w:val="none"/>
          <w:u w:val="single"/>
          <w:lang w:eastAsia="zh-CN"/>
        </w:rPr>
        <w:t>0</w:t>
      </w:r>
      <w:r>
        <w:rPr>
          <w:rFonts w:hint="eastAsia" w:ascii="仿宋" w:hAnsi="仿宋" w:eastAsia="仿宋" w:cs="仿宋"/>
          <w:color w:val="auto"/>
          <w:highlight w:val="none"/>
          <w:u w:val="single"/>
          <w:lang w:eastAsia="zh-CN"/>
        </w:rPr>
        <w:t xml:space="preserve">日历天的试运行，试运行期间产生的全部费用由承包人在投标报价时综合考虑，发包人不再另行支付。 </w:t>
      </w:r>
      <w:r>
        <w:rPr>
          <w:rFonts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21）承包人须承担所有来自市政相关管理部门的罚款，相关费用不再补偿。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 xml:space="preserve">23.3 承包人实施工作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承包人提供施工所需勘察资料、设计文件、建筑信息模型（BIM）、劳务、工程材料、工程设备、施工设备和其他物品的约定：</w:t>
      </w:r>
      <w:r>
        <w:rPr>
          <w:rFonts w:hint="eastAsia" w:ascii="仿宋" w:hAnsi="仿宋" w:eastAsia="仿宋" w:cs="仿宋"/>
          <w:color w:val="auto"/>
          <w:highlight w:val="none"/>
          <w:u w:val="single"/>
          <w:lang w:val="en-US" w:bidi="en-US"/>
        </w:rPr>
        <w:t>按通用条款约定。</w:t>
      </w:r>
    </w:p>
    <w:p>
      <w:pPr>
        <w:pStyle w:val="4"/>
        <w:tabs>
          <w:tab w:val="left" w:pos="420"/>
        </w:tabs>
        <w:spacing w:line="360" w:lineRule="auto"/>
        <w:rPr>
          <w:i w:val="0"/>
          <w:iCs w:val="0"/>
          <w:color w:val="auto"/>
          <w:highlight w:val="none"/>
        </w:rPr>
      </w:pPr>
      <w:bookmarkStart w:id="736" w:name="_Toc18035"/>
      <w:bookmarkStart w:id="737" w:name="_Toc31690"/>
      <w:bookmarkStart w:id="738" w:name="_Toc47694399"/>
      <w:r>
        <w:rPr>
          <w:rFonts w:hint="eastAsia" w:ascii="仿宋" w:hAnsi="仿宋" w:eastAsia="仿宋" w:cs="仿宋"/>
          <w:i w:val="0"/>
          <w:iCs w:val="0"/>
          <w:color w:val="auto"/>
          <w:sz w:val="24"/>
          <w:szCs w:val="24"/>
          <w:highlight w:val="none"/>
        </w:rPr>
        <w:t>24.  现场管理人员任命和更换</w:t>
      </w:r>
      <w:bookmarkEnd w:id="736"/>
      <w:bookmarkEnd w:id="737"/>
      <w:bookmarkEnd w:id="738"/>
    </w:p>
    <w:p>
      <w:pPr>
        <w:spacing w:line="360" w:lineRule="auto"/>
        <w:ind w:left="240" w:leftChars="100"/>
        <w:rPr>
          <w:rFonts w:ascii="仿宋" w:hAnsi="仿宋" w:eastAsia="仿宋" w:cs="仿宋"/>
          <w:color w:val="auto"/>
          <w:highlight w:val="none"/>
          <w:lang w:eastAsia="zh-CN"/>
        </w:rPr>
      </w:pPr>
      <w:bookmarkStart w:id="739" w:name="OLE_LINK13"/>
      <w:bookmarkStart w:id="740" w:name="OLE_LINK12"/>
      <w:r>
        <w:rPr>
          <w:rFonts w:hint="eastAsia" w:ascii="仿宋" w:hAnsi="仿宋" w:eastAsia="仿宋" w:cs="仿宋"/>
          <w:color w:val="auto"/>
          <w:highlight w:val="none"/>
          <w:lang w:eastAsia="zh-CN"/>
        </w:rPr>
        <w:t>24.1发包人现场管理人员任命和更换</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24.2 承包人代表及专业负责人任命和更换</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承包人代表及专业负责人任命和更换的约定</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w:t>
      </w:r>
      <w:r>
        <w:rPr>
          <w:rFonts w:hint="eastAsia" w:ascii="仿宋" w:hAnsi="仿宋" w:eastAsia="仿宋" w:cs="仿宋"/>
          <w:color w:val="auto"/>
          <w:highlight w:val="none"/>
          <w:u w:val="single"/>
          <w:lang w:eastAsia="zh-CN"/>
        </w:rPr>
        <w:t xml:space="preserve">  /  </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□勘察负责人：</w:t>
      </w:r>
      <w:r>
        <w:rPr>
          <w:rFonts w:hint="eastAsia" w:ascii="仿宋" w:hAnsi="仿宋" w:eastAsia="仿宋" w:cs="仿宋"/>
          <w:color w:val="auto"/>
          <w:highlight w:val="none"/>
          <w:u w:val="single"/>
          <w:lang w:eastAsia="zh-CN"/>
        </w:rPr>
        <w:t xml:space="preserve">  /  </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□设计负责人：</w:t>
      </w:r>
      <w:r>
        <w:rPr>
          <w:rFonts w:hint="eastAsia" w:ascii="仿宋" w:hAnsi="仿宋" w:eastAsia="仿宋" w:cs="仿宋"/>
          <w:color w:val="auto"/>
          <w:highlight w:val="none"/>
          <w:u w:val="single"/>
          <w:lang w:eastAsia="zh-CN"/>
        </w:rPr>
        <w:t xml:space="preserve">  /  </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□BIM技术负责人：</w:t>
      </w:r>
      <w:r>
        <w:rPr>
          <w:rFonts w:hint="eastAsia" w:ascii="仿宋" w:hAnsi="仿宋" w:eastAsia="仿宋" w:cs="仿宋"/>
          <w:color w:val="auto"/>
          <w:highlight w:val="none"/>
          <w:u w:val="single"/>
          <w:lang w:eastAsia="zh-CN"/>
        </w:rPr>
        <w:t xml:space="preserve">  /  </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□设备及工器具购置负责人：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□施工负责人：</w:t>
      </w:r>
      <w:r>
        <w:rPr>
          <w:rFonts w:hint="eastAsia" w:ascii="仿宋" w:hAnsi="仿宋" w:eastAsia="仿宋" w:cs="仿宋"/>
          <w:color w:val="auto"/>
          <w:highlight w:val="none"/>
          <w:u w:val="single"/>
          <w:lang w:eastAsia="zh-CN"/>
        </w:rPr>
        <w:t xml:space="preserve">  /  </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□其他工作负责人：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24.3设计顾问人代表、监理人代表、造价咨询人代表任命和撤回</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设计顾问人代表任命和撤回的约定：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监理人代表任命和撤回的约定：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造价咨询人代表任命和撤回的约定：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bookmarkEnd w:id="739"/>
    <w:bookmarkEnd w:id="740"/>
    <w:p>
      <w:pPr>
        <w:pStyle w:val="4"/>
        <w:tabs>
          <w:tab w:val="left" w:pos="420"/>
        </w:tabs>
        <w:spacing w:line="360" w:lineRule="auto"/>
        <w:rPr>
          <w:i w:val="0"/>
          <w:iCs w:val="0"/>
          <w:color w:val="auto"/>
          <w:highlight w:val="none"/>
        </w:rPr>
      </w:pPr>
      <w:bookmarkStart w:id="741" w:name="_Toc16854"/>
      <w:bookmarkStart w:id="742" w:name="_Toc47694400"/>
      <w:bookmarkStart w:id="743" w:name="_Toc11857"/>
      <w:r>
        <w:rPr>
          <w:rFonts w:hint="eastAsia" w:ascii="仿宋" w:hAnsi="仿宋" w:eastAsia="仿宋" w:cs="仿宋"/>
          <w:i w:val="0"/>
          <w:iCs w:val="0"/>
          <w:color w:val="auto"/>
          <w:sz w:val="24"/>
          <w:szCs w:val="24"/>
          <w:highlight w:val="none"/>
        </w:rPr>
        <w:t>25.  发包人代表</w:t>
      </w:r>
      <w:bookmarkEnd w:id="741"/>
      <w:bookmarkEnd w:id="742"/>
      <w:bookmarkEnd w:id="743"/>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1、发包人任命（              ）为发包人代表，其通讯方式为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numPr>
          <w:ilvl w:val="0"/>
          <w:numId w:val="26"/>
        </w:num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发包人对发包人代表权力做如下限制：</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pStyle w:val="4"/>
        <w:tabs>
          <w:tab w:val="left" w:pos="360"/>
          <w:tab w:val="left" w:pos="420"/>
        </w:tabs>
        <w:spacing w:line="360" w:lineRule="auto"/>
        <w:ind w:firstLine="105"/>
        <w:rPr>
          <w:rFonts w:eastAsia="仿宋"/>
          <w:i w:val="0"/>
          <w:iCs w:val="0"/>
          <w:color w:val="auto"/>
          <w:highlight w:val="none"/>
        </w:rPr>
      </w:pPr>
      <w:bookmarkStart w:id="744" w:name="_Toc47694401"/>
      <w:bookmarkStart w:id="745" w:name="_Toc22951"/>
      <w:bookmarkStart w:id="746" w:name="_Toc1527"/>
      <w:r>
        <w:rPr>
          <w:rFonts w:hint="eastAsia" w:ascii="仿宋" w:hAnsi="仿宋" w:eastAsia="仿宋" w:cs="仿宋"/>
          <w:i w:val="0"/>
          <w:iCs w:val="0"/>
          <w:color w:val="auto"/>
          <w:sz w:val="24"/>
          <w:szCs w:val="24"/>
          <w:highlight w:val="none"/>
        </w:rPr>
        <w:t>26.  设计顾问人</w:t>
      </w:r>
      <w:bookmarkEnd w:id="744"/>
      <w:bookmarkEnd w:id="745"/>
      <w:bookmarkEnd w:id="746"/>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1、设计顾问人：</w:t>
      </w:r>
      <w:r>
        <w:rPr>
          <w:rFonts w:hint="eastAsia" w:ascii="仿宋" w:hAnsi="仿宋" w:eastAsia="仿宋" w:cs="仿宋"/>
          <w:color w:val="auto"/>
          <w:highlight w:val="none"/>
          <w:u w:val="single"/>
          <w:lang w:eastAsia="zh-CN"/>
        </w:rPr>
        <w:t xml:space="preserve">（没有独立聘请设计顾问人的，可授权监理人或发包人代表或其他单位行使设计顾问人职权，并在本处明确）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2、任命（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 xml:space="preserve">    ）为设计顾问人代表，其通讯方式为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ind w:firstLine="105"/>
        <w:rPr>
          <w:rFonts w:eastAsia="仿宋"/>
          <w:i w:val="0"/>
          <w:iCs w:val="0"/>
          <w:color w:val="auto"/>
          <w:highlight w:val="none"/>
        </w:rPr>
      </w:pPr>
      <w:bookmarkStart w:id="747" w:name="_Toc47694402"/>
      <w:bookmarkStart w:id="748" w:name="_Toc20713"/>
      <w:bookmarkStart w:id="749" w:name="_Toc20114"/>
      <w:r>
        <w:rPr>
          <w:rFonts w:hint="eastAsia" w:ascii="仿宋" w:hAnsi="仿宋" w:eastAsia="仿宋" w:cs="仿宋"/>
          <w:i w:val="0"/>
          <w:iCs w:val="0"/>
          <w:color w:val="auto"/>
          <w:sz w:val="24"/>
          <w:szCs w:val="24"/>
          <w:highlight w:val="none"/>
        </w:rPr>
        <w:t>27.  监理人</w:t>
      </w:r>
      <w:bookmarkEnd w:id="747"/>
      <w:bookmarkEnd w:id="748"/>
      <w:bookmarkEnd w:id="749"/>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pPr>
        <w:spacing w:line="360" w:lineRule="auto"/>
        <w:ind w:left="240" w:leftChars="100"/>
        <w:rPr>
          <w:rFonts w:ascii="仿宋" w:hAnsi="仿宋" w:eastAsia="仿宋"/>
          <w:color w:val="auto"/>
          <w:highlight w:val="none"/>
          <w:lang w:eastAsia="zh-CN"/>
        </w:rPr>
      </w:pPr>
      <w:r>
        <w:rPr>
          <w:rFonts w:hint="eastAsia" w:ascii="仿宋" w:hAnsi="仿宋" w:eastAsia="仿宋" w:cs="仿宋"/>
          <w:color w:val="auto"/>
          <w:highlight w:val="none"/>
          <w:lang w:eastAsia="zh-CN"/>
        </w:rPr>
        <w:t>1、监理人：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240" w:left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2、任命（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 xml:space="preserve">    ）为监理人代表，其通讯方式为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ind w:firstLine="105"/>
        <w:rPr>
          <w:rFonts w:eastAsia="仿宋"/>
          <w:i w:val="0"/>
          <w:iCs w:val="0"/>
          <w:color w:val="auto"/>
          <w:highlight w:val="none"/>
        </w:rPr>
      </w:pPr>
      <w:bookmarkStart w:id="750" w:name="_Toc15235"/>
      <w:bookmarkStart w:id="751" w:name="_Toc3070"/>
      <w:bookmarkStart w:id="752" w:name="_Toc47694403"/>
      <w:r>
        <w:rPr>
          <w:rFonts w:hint="eastAsia" w:ascii="仿宋" w:hAnsi="仿宋" w:eastAsia="仿宋" w:cs="仿宋"/>
          <w:i w:val="0"/>
          <w:iCs w:val="0"/>
          <w:color w:val="auto"/>
          <w:sz w:val="24"/>
          <w:szCs w:val="24"/>
          <w:highlight w:val="none"/>
        </w:rPr>
        <w:t>28.  造价咨询人</w:t>
      </w:r>
      <w:bookmarkEnd w:id="750"/>
      <w:bookmarkEnd w:id="751"/>
      <w:bookmarkEnd w:id="752"/>
    </w:p>
    <w:p>
      <w:pPr>
        <w:spacing w:line="360" w:lineRule="auto"/>
        <w:rPr>
          <w:rFonts w:ascii="仿宋" w:hAnsi="仿宋" w:eastAsia="仿宋" w:cs="仿宋"/>
          <w:color w:val="auto"/>
          <w:highlight w:val="none"/>
          <w:lang w:eastAsia="zh-CN"/>
        </w:rPr>
      </w:pPr>
      <w:bookmarkStart w:id="753" w:name="_Toc9789"/>
      <w:r>
        <w:rPr>
          <w:rFonts w:hint="eastAsia" w:ascii="仿宋" w:hAnsi="仿宋" w:eastAsia="仿宋" w:cs="仿宋"/>
          <w:color w:val="auto"/>
          <w:highlight w:val="none"/>
          <w:lang w:eastAsia="zh-CN"/>
        </w:rPr>
        <w:t>28.1 发包人对造价咨询人授权</w:t>
      </w:r>
      <w:bookmarkEnd w:id="753"/>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1、造价咨询人：</w:t>
      </w:r>
      <w:r>
        <w:rPr>
          <w:rFonts w:hint="eastAsia" w:ascii="仿宋" w:hAnsi="仿宋" w:eastAsia="仿宋" w:cs="仿宋"/>
          <w:color w:val="auto"/>
          <w:highlight w:val="none"/>
          <w:u w:val="single"/>
          <w:lang w:eastAsia="zh-CN"/>
        </w:rPr>
        <w:t xml:space="preserve">（没有独立聘请造价咨询的，可授权监理人或发包人代表或其他单位行使造价咨询人职权，并在本处明确）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2、任命（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 xml:space="preserve">    ）为造价咨询人代表，其通讯方式为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s="仿宋"/>
          <w:color w:val="auto"/>
          <w:highlight w:val="none"/>
          <w:lang w:eastAsia="zh-CN"/>
        </w:rPr>
      </w:pPr>
      <w:bookmarkStart w:id="754" w:name="_Toc22730"/>
      <w:r>
        <w:rPr>
          <w:rFonts w:hint="eastAsia" w:ascii="仿宋" w:hAnsi="仿宋" w:eastAsia="仿宋" w:cs="仿宋"/>
          <w:color w:val="auto"/>
          <w:highlight w:val="none"/>
          <w:lang w:eastAsia="zh-CN"/>
        </w:rPr>
        <w:t>28.3 造价咨询人职权限制</w:t>
      </w:r>
      <w:bookmarkEnd w:id="754"/>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rPr>
          <w:i w:val="0"/>
          <w:iCs w:val="0"/>
          <w:color w:val="auto"/>
          <w:highlight w:val="none"/>
        </w:rPr>
      </w:pPr>
      <w:bookmarkStart w:id="755" w:name="_Toc9496"/>
      <w:bookmarkStart w:id="756" w:name="_Toc47694404"/>
      <w:bookmarkStart w:id="757" w:name="_Toc15458"/>
      <w:r>
        <w:rPr>
          <w:rFonts w:hint="eastAsia" w:ascii="仿宋" w:hAnsi="仿宋" w:eastAsia="仿宋" w:cs="仿宋"/>
          <w:i w:val="0"/>
          <w:iCs w:val="0"/>
          <w:color w:val="auto"/>
          <w:sz w:val="24"/>
          <w:szCs w:val="24"/>
          <w:highlight w:val="none"/>
        </w:rPr>
        <w:t>29.  承包人代表及其专业负责人</w:t>
      </w:r>
      <w:bookmarkEnd w:id="755"/>
      <w:bookmarkEnd w:id="756"/>
      <w:bookmarkEnd w:id="757"/>
    </w:p>
    <w:p>
      <w:pPr>
        <w:spacing w:line="360" w:lineRule="auto"/>
        <w:ind w:left="240" w:leftChars="100"/>
        <w:rPr>
          <w:rFonts w:ascii="仿宋" w:hAnsi="仿宋" w:eastAsia="仿宋" w:cs="仿宋"/>
          <w:color w:val="auto"/>
          <w:highlight w:val="none"/>
          <w:lang w:eastAsia="zh-CN"/>
        </w:rPr>
      </w:pPr>
      <w:bookmarkStart w:id="758" w:name="_Toc47694406"/>
      <w:r>
        <w:rPr>
          <w:rFonts w:hint="eastAsia" w:ascii="仿宋" w:hAnsi="仿宋" w:eastAsia="仿宋" w:cs="仿宋"/>
          <w:color w:val="auto"/>
          <w:highlight w:val="none"/>
          <w:lang w:eastAsia="zh-CN"/>
        </w:rPr>
        <w:t>29.1 承包人对其代表授权</w:t>
      </w:r>
    </w:p>
    <w:p>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承包人代表：承包人任命（     ）为承包人代表，其通讯方式为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☑勘察负责人：承包人任命（      ）为勘察负责人，其通讯方式为</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 </w:t>
      </w:r>
      <w:r>
        <w:rPr>
          <w:rFonts w:hint="eastAsia" w:ascii="仿宋" w:hAnsi="仿宋" w:eastAsia="仿宋" w:cs="仿宋"/>
          <w:color w:val="auto"/>
          <w:highlight w:val="none"/>
          <w:u w:val="single"/>
          <w:lang w:eastAsia="zh-CN"/>
        </w:rPr>
        <w:t xml:space="preserve">            </w:t>
      </w:r>
    </w:p>
    <w:p>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☑设计负责人：承包人任命（     ）为设计负责人，其通讯方式为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☑BIM技术负责人：承包人任命（    ）为BIM技术负责人，其通讯方式为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left="960" w:leftChars="400"/>
        <w:rPr>
          <w:rFonts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）为设备及工器具购置负责人，其通讯方式为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☑施工负责人：承包人任命（    ）为施工负责人，其通讯方式为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）为其他工作负责人，其通讯方式为</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ind w:firstLine="105"/>
        <w:rPr>
          <w:rFonts w:ascii="仿宋" w:hAnsi="仿宋" w:eastAsia="仿宋" w:cs="仿宋"/>
          <w:i w:val="0"/>
          <w:iCs w:val="0"/>
          <w:color w:val="auto"/>
          <w:sz w:val="24"/>
          <w:szCs w:val="24"/>
          <w:highlight w:val="none"/>
          <w:lang w:val="en-US"/>
        </w:rPr>
      </w:pPr>
      <w:bookmarkStart w:id="759" w:name="_Toc2336"/>
      <w:bookmarkStart w:id="760" w:name="_Toc31153"/>
      <w:r>
        <w:rPr>
          <w:rFonts w:hint="eastAsia" w:ascii="仿宋" w:hAnsi="仿宋" w:eastAsia="仿宋" w:cs="仿宋"/>
          <w:i w:val="0"/>
          <w:iCs w:val="0"/>
          <w:color w:val="auto"/>
          <w:sz w:val="24"/>
          <w:szCs w:val="24"/>
          <w:highlight w:val="none"/>
          <w:lang w:val="en-US"/>
        </w:rPr>
        <w:t xml:space="preserve">30. </w:t>
      </w:r>
      <w:r>
        <w:rPr>
          <w:rFonts w:hint="eastAsia" w:ascii="仿宋" w:hAnsi="仿宋" w:eastAsia="仿宋" w:cs="仿宋"/>
          <w:i w:val="0"/>
          <w:iCs w:val="0"/>
          <w:color w:val="auto"/>
          <w:sz w:val="24"/>
          <w:szCs w:val="24"/>
          <w:highlight w:val="none"/>
        </w:rPr>
        <w:t>指定分包人</w:t>
      </w:r>
      <w:bookmarkEnd w:id="759"/>
      <w:bookmarkEnd w:id="760"/>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30.1 指定分包人工作</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依法指定的分包人</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ind w:firstLine="105"/>
        <w:rPr>
          <w:i w:val="0"/>
          <w:iCs w:val="0"/>
          <w:color w:val="auto"/>
          <w:highlight w:val="none"/>
        </w:rPr>
      </w:pPr>
      <w:bookmarkStart w:id="761" w:name="_Toc32006"/>
      <w:bookmarkStart w:id="762" w:name="_Toc25567"/>
      <w:r>
        <w:rPr>
          <w:rFonts w:hint="eastAsia" w:ascii="仿宋" w:hAnsi="仿宋" w:eastAsia="仿宋" w:cs="仿宋"/>
          <w:i w:val="0"/>
          <w:iCs w:val="0"/>
          <w:color w:val="auto"/>
          <w:sz w:val="24"/>
          <w:szCs w:val="24"/>
          <w:highlight w:val="none"/>
        </w:rPr>
        <w:t>32.  工程担保</w:t>
      </w:r>
      <w:bookmarkEnd w:id="758"/>
      <w:bookmarkEnd w:id="761"/>
      <w:bookmarkEnd w:id="762"/>
    </w:p>
    <w:p>
      <w:pPr>
        <w:spacing w:line="360" w:lineRule="auto"/>
        <w:ind w:left="240" w:leftChars="100"/>
        <w:rPr>
          <w:rFonts w:ascii="仿宋" w:hAnsi="仿宋" w:eastAsia="仿宋"/>
          <w:color w:val="auto"/>
          <w:highlight w:val="none"/>
          <w:lang w:eastAsia="zh-CN"/>
        </w:rPr>
      </w:pPr>
      <w:r>
        <w:rPr>
          <w:rFonts w:hint="eastAsia" w:ascii="仿宋" w:hAnsi="仿宋" w:eastAsia="仿宋" w:cs="仿宋"/>
          <w:color w:val="auto"/>
          <w:highlight w:val="none"/>
          <w:lang w:eastAsia="zh-CN"/>
        </w:rPr>
        <w:t>32.1 承包人提供履约担保的约定</w:t>
      </w:r>
    </w:p>
    <w:p>
      <w:pPr>
        <w:spacing w:line="360" w:lineRule="auto"/>
        <w:ind w:firstLine="480" w:firstLineChars="200"/>
        <w:rPr>
          <w:rFonts w:ascii="仿宋" w:hAnsi="仿宋" w:eastAsia="仿宋" w:cs="仿宋"/>
          <w:strike/>
          <w:color w:val="auto"/>
          <w:highlight w:val="none"/>
          <w:u w:val="single"/>
          <w:lang w:eastAsia="zh-CN"/>
        </w:rPr>
      </w:pPr>
      <w:r>
        <w:rPr>
          <w:rFonts w:hint="eastAsia" w:ascii="仿宋" w:hAnsi="仿宋" w:eastAsia="仿宋" w:cs="仿宋"/>
          <w:color w:val="auto"/>
          <w:highlight w:val="none"/>
          <w:lang w:eastAsia="zh-CN"/>
        </w:rPr>
        <w:t>1、履约担保的金额：（大写）</w:t>
      </w:r>
      <w:r>
        <w:rPr>
          <w:rFonts w:hint="eastAsia" w:ascii="仿宋" w:hAnsi="仿宋" w:eastAsia="仿宋" w:cs="仿宋"/>
          <w:b/>
          <w:color w:val="auto"/>
          <w:highlight w:val="none"/>
          <w:u w:val="single"/>
          <w:lang w:eastAsia="zh-CN"/>
        </w:rPr>
        <w:t xml:space="preserve">              </w:t>
      </w:r>
      <w:r>
        <w:rPr>
          <w:rFonts w:hint="eastAsia" w:ascii="仿宋" w:hAnsi="仿宋" w:eastAsia="仿宋" w:cs="仿宋"/>
          <w:b/>
          <w:color w:val="auto"/>
          <w:highlight w:val="none"/>
          <w:lang w:eastAsia="zh-CN"/>
        </w:rPr>
        <w:t>（小写</w:t>
      </w:r>
      <w:r>
        <w:rPr>
          <w:rFonts w:hint="eastAsia" w:ascii="仿宋" w:hAnsi="仿宋" w:eastAsia="仿宋" w:cs="仿宋"/>
          <w:b/>
          <w:color w:val="auto"/>
          <w:highlight w:val="none"/>
          <w:u w:val="single"/>
          <w:lang w:eastAsia="zh-CN"/>
        </w:rPr>
        <w:t xml:space="preserve">           </w:t>
      </w:r>
      <w:r>
        <w:rPr>
          <w:rFonts w:hint="eastAsia" w:ascii="仿宋" w:hAnsi="仿宋" w:eastAsia="仿宋" w:cs="仿宋"/>
          <w:b/>
          <w:color w:val="auto"/>
          <w:highlight w:val="none"/>
          <w:lang w:eastAsia="zh-CN"/>
        </w:rPr>
        <w:t>元）</w:t>
      </w:r>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2、提供履约担保的时间：</w:t>
      </w:r>
    </w:p>
    <w:p>
      <w:pPr>
        <w:spacing w:line="360" w:lineRule="auto"/>
        <w:ind w:firstLine="950" w:firstLineChars="396"/>
        <w:rPr>
          <w:rFonts w:ascii="仿宋" w:hAnsi="仿宋" w:eastAsia="仿宋"/>
          <w:color w:val="auto"/>
          <w:highlight w:val="none"/>
          <w:lang w:eastAsia="zh-CN"/>
        </w:rPr>
      </w:pPr>
      <w:r>
        <w:rPr>
          <w:rFonts w:hint="eastAsia" w:ascii="仿宋" w:hAnsi="仿宋" w:eastAsia="仿宋" w:cs="仿宋"/>
          <w:color w:val="auto"/>
          <w:highlight w:val="none"/>
          <w:lang w:eastAsia="zh-CN"/>
        </w:rPr>
        <w:t>□ 签订本合同时</w:t>
      </w:r>
    </w:p>
    <w:p>
      <w:pPr>
        <w:spacing w:line="360" w:lineRule="auto"/>
        <w:ind w:firstLine="950" w:firstLineChars="396"/>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本合同签订后7日历天内，承包人向发包人提交由在中华人民共和国注册且营业地点在广州市行政辖区内的银行开出的担保金额为合同价款10%的《履约银行保函》原件。联合体中标的，履约银行保函以联合体主办方名义提交。</w:t>
      </w:r>
      <w:r>
        <w:rPr>
          <w:rFonts w:hint="eastAsia" w:ascii="仿宋" w:hAnsi="仿宋" w:eastAsia="仿宋" w:cs="仿宋"/>
          <w:color w:val="auto"/>
          <w:position w:val="1"/>
          <w:highlight w:val="none"/>
          <w:u w:val="single"/>
          <w:lang w:eastAsia="zh-CN"/>
        </w:rPr>
        <w:t>如合同工期延长或发生延误时，履约保函的有效期必须延长，履约保函有效期延长的相关费用由承包人承担。承包人向发包人提供的履约担保，发包人在合同项下的工程竣工验收且验收备案合格，并完成工程档案移交后二十八（28）天内无息退还给承包人。</w:t>
      </w:r>
      <w:r>
        <w:rPr>
          <w:rFonts w:hint="eastAsia" w:ascii="仿宋" w:hAnsi="仿宋" w:eastAsia="仿宋" w:cs="仿宋"/>
          <w:color w:val="auto"/>
          <w:highlight w:val="none"/>
          <w:u w:val="single"/>
          <w:lang w:eastAsia="zh-CN"/>
        </w:rPr>
        <w:t xml:space="preserve">  </w:t>
      </w:r>
    </w:p>
    <w:p>
      <w:pPr>
        <w:spacing w:line="360" w:lineRule="auto"/>
        <w:ind w:left="840" w:left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3、履约担保的形式</w:t>
      </w:r>
    </w:p>
    <w:p>
      <w:pPr>
        <w:spacing w:line="360" w:lineRule="auto"/>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 出具履约保函的担保人：</w:t>
      </w:r>
      <w:r>
        <w:rPr>
          <w:rFonts w:hint="eastAsia" w:ascii="仿宋" w:hAnsi="仿宋" w:eastAsia="仿宋" w:cs="仿宋"/>
          <w:color w:val="auto"/>
          <w:highlight w:val="none"/>
          <w:u w:val="single"/>
          <w:lang w:eastAsia="zh-CN"/>
        </w:rPr>
        <w:t xml:space="preserve">  银行保函必须是在中华人民共和国注册且营业地点在广州市行政辖区内的银行开具。  </w:t>
      </w:r>
    </w:p>
    <w:p>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出具履约担保的担保人：</w:t>
      </w:r>
      <w:r>
        <w:rPr>
          <w:rFonts w:hint="eastAsia" w:ascii="仿宋" w:hAnsi="仿宋" w:eastAsia="仿宋" w:cs="仿宋"/>
          <w:color w:val="auto"/>
          <w:highlight w:val="none"/>
          <w:u w:val="single"/>
          <w:lang w:eastAsia="zh-CN"/>
        </w:rPr>
        <w:t xml:space="preserve">  /    </w:t>
      </w:r>
    </w:p>
    <w:p>
      <w:pPr>
        <w:spacing w:line="360" w:lineRule="auto"/>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 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     </w:t>
      </w:r>
    </w:p>
    <w:p>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763" w:name="_Toc7964"/>
      <w:r>
        <w:rPr>
          <w:rFonts w:hint="eastAsia" w:ascii="仿宋" w:hAnsi="仿宋" w:eastAsia="仿宋" w:cs="仿宋"/>
          <w:color w:val="auto"/>
          <w:highlight w:val="none"/>
          <w:lang w:eastAsia="zh-CN"/>
        </w:rPr>
        <w:t>32.4 发包人提供支付担保</w:t>
      </w:r>
      <w:bookmarkEnd w:id="763"/>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☑发包人提供支付担保的约定：</w:t>
      </w:r>
      <w:r>
        <w:rPr>
          <w:rFonts w:hint="eastAsia" w:ascii="宋体" w:hAnsi="宋体" w:cs="SimSun-Identity-H"/>
          <w:color w:val="auto"/>
          <w:highlight w:val="none"/>
          <w:u w:val="single"/>
        </w:rPr>
        <w:t xml:space="preserve"> </w:t>
      </w:r>
      <w:r>
        <w:rPr>
          <w:rFonts w:hint="eastAsia" w:ascii="仿宋" w:hAnsi="仿宋" w:eastAsia="仿宋" w:cs="仿宋"/>
          <w:color w:val="auto"/>
          <w:highlight w:val="none"/>
          <w:u w:val="single"/>
        </w:rPr>
        <w:t>发包人不提供支付担保。</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①支付担保的金额：（大写）</w:t>
      </w:r>
      <w:r>
        <w:rPr>
          <w:rFonts w:hint="eastAsia" w:ascii="仿宋" w:hAnsi="仿宋" w:eastAsia="仿宋" w:cs="仿宋"/>
          <w:color w:val="auto"/>
          <w:highlight w:val="none"/>
          <w:u w:val="single"/>
          <w:lang w:val="en-US" w:bidi="en-US"/>
        </w:rPr>
        <w:t xml:space="preserve">      </w:t>
      </w:r>
      <w:r>
        <w:rPr>
          <w:rFonts w:hint="eastAsia" w:ascii="仿宋" w:hAnsi="仿宋" w:eastAsia="仿宋" w:cs="仿宋"/>
          <w:color w:val="auto"/>
          <w:highlight w:val="none"/>
          <w:lang w:val="en-US" w:bidi="en-US"/>
        </w:rPr>
        <w:t>元（小写</w:t>
      </w:r>
      <w:r>
        <w:rPr>
          <w:rFonts w:hint="eastAsia" w:ascii="仿宋" w:hAnsi="仿宋" w:eastAsia="仿宋" w:cs="仿宋"/>
          <w:color w:val="auto"/>
          <w:highlight w:val="none"/>
          <w:u w:val="single"/>
          <w:lang w:val="en-US" w:bidi="en-US"/>
        </w:rPr>
        <w:t xml:space="preserve">         </w:t>
      </w:r>
      <w:r>
        <w:rPr>
          <w:rFonts w:hint="eastAsia" w:ascii="仿宋" w:hAnsi="仿宋" w:eastAsia="仿宋" w:cs="仿宋"/>
          <w:color w:val="auto"/>
          <w:highlight w:val="none"/>
          <w:lang w:val="en-US" w:bidi="en-US"/>
        </w:rPr>
        <w:t>元）</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②提供支付担保的时间：</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□签订本合同时</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 xml:space="preserve"> ③履约担保的形式</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□出具支付保函的担保人：</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□出具支付担保的担保人：</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□出具支付保证保险的担保人：</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32.8 约定担保事项</w:t>
      </w:r>
    </w:p>
    <w:p>
      <w:pPr>
        <w:tabs>
          <w:tab w:val="left" w:pos="945"/>
        </w:tabs>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担保内容、方式和责任等事项的约定：</w:t>
      </w:r>
    </w:p>
    <w:p>
      <w:pPr>
        <w:tabs>
          <w:tab w:val="left" w:pos="945"/>
        </w:tabs>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质量保证：按国家颁发的《建筑工程施工质量验收统一标准》（GB50300—2013）执行，必须达到新竣工备案制的合格标准。工程验收未达到验收合格标准的，承包人必须按照发包人要求实施返工直至合格，由此增加的一切费用由承包人承担，造成工期延误的，还应当承担逾期责任。</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工期保证：因承包人原因造成工期延误，承包人应负违约责任，并从工程延期的第2个日历天起，按本合同专用条款第76.2条款的规定支付违约金；若因发包人原因造成工期延误，则工期顺延，但因工期顺延发生的所有费用，发包人不予补偿。</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施工机械投入保证：在合同执行过程中，承包人按工程所需分阶段按投标文件承诺的机械设备清单投入使用在本工程上，否则按大型施工机械设备投入不足向发包人支付违约金2万元/台/天，小型设备投入不足向发包人支付违约金0.5万元/台/天处理。</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大型施工机械设备包括：钻桩机、挖掘机、塔吊、混凝土泵送机、提升机（钢井架或人货升降机）、铝合金制作机床。</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小型施工机械设备包括：空气压缩机、砂浆搅拌机、木工圆锯机、交流电焊机、钢筋对焊机、插入振捣器、平板振捣器、水管弯管器、水管绞牙器。</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(4)按时退场违约金：承包人应在完工后接到发包人书面退场通知15日历天内退场，并对现场进行相应的清理工作，费用由承包人承担，否则每延期1日历天承包人向发包人支付违约金5000元。</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(5)项目经理及技术管理人员驻场保证：承包人须按投标文件中承诺的项目经理和施工技术管理人员派出相关人员并进驻现场，若因特殊原因需更换项目经理，经发包人同意后可以更换，按穗建筑[2003]11 号文有关规定执行，并向发包人支付2万元每人每次的违约金。若未经发包人同意，擅自更换项目经理，向发包人支付30万元违约金，并按市政府相关管理规定处理；项目经理未经发包人同意不参加工地例会及主要专题会议，向发包人支付违约金5000元/次。</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若未经发包人同意，更换施工技术管理人员，向发包人支付违约金5万元/人；技术负责人及专职安全员无故不到施工现场办公，向发包人支付违约金 2000 元/日历天；资料员、主办施工员、质检员、驻场专职造价人员等无故不到施工现场办公，向发包人支付违约金500元/人/日历天。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项目经理、技术负责人、专职安全员、主办施工员、质检员、资料员等人员以投标书组织架构人员（不低于《项目管理机构人员配置要求表》人员要求）或经监理和发包人共同审批同意的项目架构表人员为准。</w:t>
      </w:r>
      <w:bookmarkStart w:id="764" w:name="_Hlk496879288"/>
    </w:p>
    <w:bookmarkEnd w:id="764"/>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必须保证工程施工所需的工人数量，否则向发包人支付工人数量不足违约金200元/人/日历天。</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(6)开工保证：承包人要保证在完成平整场地等工作且达到施工条件后的十天内，做好施工组织设计、安全生产文明施工方案等办理施工许可证所需的资料，报监理审批，确保工程如期开工，否则每延期1日历天向发包人支付违约金5万元。</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(7)承包人必须确保现场施工人员遵守国家、省、市有关计划生育规定，施工人员必须持有流动人口婚育证、务工证、暂住证和身份证，如经检查发现证件不全，则每人每次罚款 500 元。在本工程施工过程中由于施工单位的原因出现不良行为或行政处罚情况，向发包人支付违约金2万元/次。</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(8)承包人应确保各施工班组有序和协调地工作，防止现场施工人员斗殴和闹事，同时还应确保材料供应商及时供应符合要求的材料和向材料商支付材料款，防止材料供应商和施工班组人员因各种原因到发包人单位要求支付货款、工资或进行闹事，凡出现上述等情况，每次罚款1万元，直至终止合同。</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(9)工程档案资料专项履约保证：承包人提交的履约保函中，包含工程档案资料专项履约保证</w:t>
      </w:r>
      <w:r>
        <w:rPr>
          <w:rFonts w:hint="eastAsia" w:ascii="仿宋" w:hAnsi="仿宋" w:eastAsia="仿宋" w:cs="仿宋"/>
          <w:color w:val="auto"/>
          <w:position w:val="1"/>
          <w:highlight w:val="none"/>
          <w:u w:val="single"/>
          <w:lang w:eastAsia="zh-CN"/>
        </w:rPr>
        <w:t>。</w:t>
      </w:r>
      <w:r>
        <w:rPr>
          <w:rFonts w:hint="eastAsia" w:ascii="仿宋" w:hAnsi="仿宋" w:eastAsia="仿宋" w:cs="仿宋"/>
          <w:color w:val="auto"/>
          <w:highlight w:val="none"/>
          <w:u w:val="single"/>
          <w:lang w:eastAsia="zh-CN"/>
        </w:rPr>
        <w:t>工程竣工并通过验收后20日历天内.承包人向发包人提供完整、合格的工程竣工技术档案资料原件一式五套后，经发包人验收确认资料合格后28天内，发包人将银行履约保函无息返还给承包人。但承包人需会同发包人向广州市城建档案馆与学校档案馆交付验收。承包人同时要配合发包人办理工程竣工备案工作，工程竣工后承包人须配合设计单位完成竣工图和竣工通一式十二份（具体数量根据发包人的需要确定）。</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(10)发包人有权在支付给承包人的工程款中自行扣除承包人违约金，承包人对此不得有任何异议。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(11)以上违约金在工程进度款或结算款中扣除。</w:t>
      </w:r>
    </w:p>
    <w:p>
      <w:pPr>
        <w:pStyle w:val="4"/>
        <w:tabs>
          <w:tab w:val="left" w:pos="420"/>
        </w:tabs>
        <w:spacing w:line="360" w:lineRule="auto"/>
        <w:ind w:firstLine="105"/>
        <w:rPr>
          <w:rFonts w:ascii="仿宋" w:hAnsi="仿宋" w:eastAsia="仿宋" w:cs="仿宋"/>
          <w:i w:val="0"/>
          <w:iCs w:val="0"/>
          <w:color w:val="auto"/>
          <w:sz w:val="24"/>
          <w:szCs w:val="24"/>
          <w:highlight w:val="none"/>
        </w:rPr>
      </w:pPr>
      <w:bookmarkStart w:id="765" w:name="_Toc3376"/>
      <w:bookmarkStart w:id="766" w:name="_Toc17294"/>
      <w:r>
        <w:rPr>
          <w:rFonts w:hint="eastAsia" w:ascii="仿宋" w:hAnsi="仿宋" w:eastAsia="仿宋" w:cs="仿宋"/>
          <w:i w:val="0"/>
          <w:iCs w:val="0"/>
          <w:color w:val="auto"/>
          <w:sz w:val="24"/>
          <w:szCs w:val="24"/>
          <w:highlight w:val="none"/>
        </w:rPr>
        <w:t>33.发包人风险</w:t>
      </w:r>
      <w:bookmarkEnd w:id="765"/>
      <w:bookmarkEnd w:id="766"/>
      <w:r>
        <w:rPr>
          <w:rFonts w:hint="eastAsia" w:ascii="仿宋" w:hAnsi="仿宋" w:eastAsia="仿宋" w:cs="仿宋"/>
          <w:i w:val="0"/>
          <w:iCs w:val="0"/>
          <w:color w:val="auto"/>
          <w:sz w:val="24"/>
          <w:szCs w:val="24"/>
          <w:highlight w:val="none"/>
        </w:rPr>
        <w:t xml:space="preserve"> </w:t>
      </w:r>
    </w:p>
    <w:p>
      <w:pPr>
        <w:tabs>
          <w:tab w:val="left" w:pos="945"/>
        </w:tabs>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33.2 发包人风险</w:t>
      </w:r>
    </w:p>
    <w:p>
      <w:pPr>
        <w:tabs>
          <w:tab w:val="left" w:pos="945"/>
        </w:tabs>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（9）其他风险：</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ind w:firstLine="105"/>
        <w:rPr>
          <w:rFonts w:ascii="仿宋" w:hAnsi="仿宋" w:eastAsia="仿宋" w:cs="仿宋"/>
          <w:i w:val="0"/>
          <w:iCs w:val="0"/>
          <w:color w:val="auto"/>
          <w:sz w:val="24"/>
          <w:szCs w:val="24"/>
          <w:highlight w:val="none"/>
        </w:rPr>
      </w:pPr>
      <w:bookmarkStart w:id="767" w:name="_Toc1899"/>
      <w:bookmarkStart w:id="768" w:name="_Toc27237"/>
      <w:r>
        <w:rPr>
          <w:rFonts w:hint="eastAsia" w:ascii="仿宋" w:hAnsi="仿宋" w:eastAsia="仿宋" w:cs="仿宋"/>
          <w:i w:val="0"/>
          <w:iCs w:val="0"/>
          <w:color w:val="auto"/>
          <w:sz w:val="24"/>
          <w:szCs w:val="24"/>
          <w:highlight w:val="none"/>
        </w:rPr>
        <w:t>35. 不可抗力</w:t>
      </w:r>
      <w:bookmarkEnd w:id="767"/>
      <w:bookmarkEnd w:id="768"/>
    </w:p>
    <w:p>
      <w:pPr>
        <w:tabs>
          <w:tab w:val="left" w:pos="945"/>
        </w:tabs>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35.1 除通用合同条件约定的不可抗力事件之外，视为不可抗力的其他情形：</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ind w:firstLine="105"/>
        <w:rPr>
          <w:i w:val="0"/>
          <w:iCs w:val="0"/>
          <w:color w:val="auto"/>
          <w:highlight w:val="none"/>
        </w:rPr>
      </w:pPr>
      <w:bookmarkStart w:id="769" w:name="_Toc47694408"/>
      <w:bookmarkStart w:id="770" w:name="_Toc21785"/>
      <w:bookmarkStart w:id="771" w:name="_Toc15113"/>
      <w:r>
        <w:rPr>
          <w:rFonts w:hint="eastAsia" w:ascii="仿宋" w:hAnsi="仿宋" w:eastAsia="仿宋" w:cs="仿宋"/>
          <w:i w:val="0"/>
          <w:iCs w:val="0"/>
          <w:color w:val="auto"/>
          <w:sz w:val="24"/>
          <w:szCs w:val="24"/>
          <w:highlight w:val="none"/>
        </w:rPr>
        <w:t>36.  保险</w:t>
      </w:r>
      <w:bookmarkEnd w:id="769"/>
      <w:bookmarkEnd w:id="770"/>
      <w:bookmarkEnd w:id="771"/>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通用条款第36.1款的第（1）项；</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通用条款第36.1款的第（2）项；</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通用条款第36.1款的第（3）项；</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通用条款第36.1款的第（4）项。</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通用条款第36.1款的第（5）项。</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36.8 投保内容、保险金、保险期限和责任等事项的约定：</w:t>
      </w:r>
      <w:r>
        <w:rPr>
          <w:rFonts w:hint="eastAsia" w:ascii="仿宋" w:hAnsi="仿宋" w:eastAsia="仿宋" w:cs="仿宋"/>
          <w:color w:val="auto"/>
          <w:highlight w:val="none"/>
          <w:u w:val="single"/>
          <w:lang w:eastAsia="zh-CN"/>
        </w:rPr>
        <w:t xml:space="preserve"> 发包人委托承包人办理保险事项必须包括工程的所有险种，且必须满足政府部门的要求，保险费用已在承包人投标报价时综合考虑，发包人不再另外支付费用。如因承包人原因导致未及时购买保险或保险过期未及时续保，或者购买的保险不足额或者保障不齐全，由此造成的损失由承包人承担。</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val="zh-CN" w:eastAsia="zh-CN" w:bidi="ar-SA"/>
        </w:rPr>
        <w:t>开工前承包人应当投保安全生产责任保险，且该保险保障场所应包含所承包项目。承包人未按规定购买安全生产责任保险，发包人可视严重程度拒绝承包人最少</w:t>
      </w:r>
      <w:r>
        <w:rPr>
          <w:rFonts w:hint="eastAsia" w:ascii="仿宋" w:hAnsi="仿宋" w:eastAsia="仿宋" w:cs="仿宋"/>
          <w:color w:val="auto"/>
          <w:highlight w:val="none"/>
          <w:u w:val="single"/>
          <w:lang w:eastAsia="zh-CN" w:bidi="ar-SA"/>
        </w:rPr>
        <w:t>一年</w:t>
      </w:r>
      <w:r>
        <w:rPr>
          <w:rFonts w:hint="eastAsia" w:ascii="仿宋" w:hAnsi="仿宋" w:eastAsia="仿宋" w:cs="仿宋"/>
          <w:color w:val="auto"/>
          <w:highlight w:val="none"/>
          <w:u w:val="single"/>
          <w:lang w:val="zh-CN" w:eastAsia="zh-CN" w:bidi="ar-SA"/>
        </w:rPr>
        <w:t>参与发包人后续工程投标</w:t>
      </w:r>
      <w:r>
        <w:rPr>
          <w:rFonts w:hint="eastAsia" w:ascii="仿宋" w:hAnsi="仿宋" w:eastAsia="仿宋" w:cs="仿宋"/>
          <w:color w:val="auto"/>
          <w:highlight w:val="none"/>
          <w:u w:val="single"/>
          <w:lang w:eastAsia="zh-CN" w:bidi="ar-SA"/>
        </w:rPr>
        <w:t>并保留追究责任的权利</w:t>
      </w:r>
      <w:r>
        <w:rPr>
          <w:rFonts w:hint="eastAsia" w:ascii="仿宋" w:hAnsi="仿宋" w:eastAsia="仿宋" w:cs="仿宋"/>
          <w:color w:val="auto"/>
          <w:highlight w:val="none"/>
          <w:u w:val="single"/>
          <w:lang w:val="zh-CN" w:eastAsia="zh-CN" w:bidi="ar-SA"/>
        </w:rPr>
        <w:t>。</w:t>
      </w:r>
    </w:p>
    <w:p>
      <w:pPr>
        <w:pStyle w:val="4"/>
        <w:tabs>
          <w:tab w:val="left" w:pos="420"/>
        </w:tabs>
        <w:spacing w:line="360" w:lineRule="auto"/>
        <w:ind w:firstLine="105"/>
        <w:rPr>
          <w:rFonts w:ascii="仿宋" w:hAnsi="仿宋" w:eastAsia="仿宋" w:cs="仿宋"/>
          <w:i w:val="0"/>
          <w:iCs w:val="0"/>
          <w:color w:val="auto"/>
          <w:sz w:val="24"/>
          <w:szCs w:val="24"/>
          <w:highlight w:val="none"/>
        </w:rPr>
      </w:pPr>
      <w:bookmarkStart w:id="772" w:name="_Toc27330"/>
      <w:bookmarkStart w:id="773" w:name="_Toc47694409"/>
      <w:bookmarkStart w:id="774" w:name="_Toc19379"/>
      <w:r>
        <w:rPr>
          <w:rFonts w:hint="eastAsia" w:ascii="仿宋" w:hAnsi="仿宋" w:eastAsia="仿宋" w:cs="仿宋"/>
          <w:i w:val="0"/>
          <w:iCs w:val="0"/>
          <w:color w:val="auto"/>
          <w:sz w:val="24"/>
          <w:szCs w:val="24"/>
          <w:highlight w:val="none"/>
        </w:rPr>
        <w:t>37.  工程勘察</w:t>
      </w:r>
      <w:bookmarkEnd w:id="772"/>
      <w:bookmarkEnd w:id="773"/>
      <w:bookmarkEnd w:id="774"/>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37.1 对发包人要求和项目基础资料的核实</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通用条款第37.1款约定。</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37.2勘察实施方案与应急预案</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1、提供时间：</w:t>
      </w:r>
      <w:r>
        <w:rPr>
          <w:rFonts w:hint="eastAsia" w:ascii="仿宋" w:hAnsi="仿宋" w:eastAsia="仿宋" w:cs="仿宋"/>
          <w:color w:val="auto"/>
          <w:highlight w:val="none"/>
          <w:u w:val="single"/>
          <w:lang w:eastAsia="zh-CN"/>
        </w:rPr>
        <w:t>根据实际情况，按发包人要求。</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2、提供数量：</w:t>
      </w:r>
      <w:r>
        <w:rPr>
          <w:rFonts w:hint="eastAsia" w:ascii="仿宋" w:hAnsi="仿宋" w:eastAsia="仿宋" w:cs="仿宋"/>
          <w:color w:val="auto"/>
          <w:highlight w:val="none"/>
          <w:u w:val="single"/>
          <w:lang w:eastAsia="zh-CN"/>
        </w:rPr>
        <w:t>按发包人要求提供。</w:t>
      </w:r>
    </w:p>
    <w:p>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 承包人提供勘察成果：按勘察设计任务书</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1、提供时间：</w:t>
      </w:r>
      <w:r>
        <w:rPr>
          <w:rFonts w:hint="eastAsia" w:ascii="仿宋" w:hAnsi="仿宋" w:eastAsia="仿宋" w:cs="仿宋"/>
          <w:color w:val="auto"/>
          <w:highlight w:val="none"/>
          <w:u w:val="single"/>
          <w:lang w:eastAsia="zh-CN"/>
        </w:rPr>
        <w:t>根据实际情况，按发包人要求。</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2、提供方式：</w:t>
      </w:r>
      <w:r>
        <w:rPr>
          <w:rFonts w:hint="eastAsia" w:ascii="仿宋" w:hAnsi="仿宋" w:eastAsia="仿宋" w:cs="仿宋"/>
          <w:color w:val="auto"/>
          <w:highlight w:val="none"/>
          <w:u w:val="single"/>
          <w:lang w:eastAsia="zh-CN"/>
        </w:rPr>
        <w:t>根据实际情况，按发包人要求。</w:t>
      </w:r>
    </w:p>
    <w:p>
      <w:pPr>
        <w:spacing w:line="360" w:lineRule="auto"/>
        <w:ind w:firstLine="720" w:firstLineChars="300"/>
        <w:rPr>
          <w:rFonts w:ascii="宋体" w:hAnsi="宋体" w:cs="宋体"/>
          <w:color w:val="auto"/>
          <w:szCs w:val="21"/>
          <w:highlight w:val="none"/>
          <w:lang w:eastAsia="zh-CN"/>
        </w:rPr>
      </w:pPr>
      <w:r>
        <w:rPr>
          <w:rFonts w:hint="eastAsia" w:ascii="仿宋" w:hAnsi="仿宋" w:eastAsia="仿宋" w:cs="仿宋"/>
          <w:color w:val="auto"/>
          <w:highlight w:val="none"/>
          <w:lang w:eastAsia="zh-CN"/>
        </w:rPr>
        <w:t>3、提供数量：</w:t>
      </w:r>
      <w:r>
        <w:rPr>
          <w:rFonts w:hint="eastAsia" w:ascii="仿宋" w:hAnsi="仿宋" w:eastAsia="仿宋" w:cs="仿宋"/>
          <w:color w:val="auto"/>
          <w:highlight w:val="none"/>
          <w:u w:val="single"/>
          <w:lang w:eastAsia="zh-CN"/>
        </w:rPr>
        <w:t>按发包人要求提供。</w:t>
      </w:r>
    </w:p>
    <w:p>
      <w:pPr>
        <w:pStyle w:val="4"/>
        <w:tabs>
          <w:tab w:val="left" w:pos="420"/>
        </w:tabs>
        <w:spacing w:line="360" w:lineRule="auto"/>
        <w:rPr>
          <w:rFonts w:ascii="仿宋" w:hAnsi="仿宋" w:eastAsia="仿宋" w:cs="仿宋"/>
          <w:i w:val="0"/>
          <w:iCs w:val="0"/>
          <w:color w:val="auto"/>
          <w:sz w:val="24"/>
          <w:szCs w:val="24"/>
          <w:highlight w:val="none"/>
        </w:rPr>
      </w:pPr>
      <w:bookmarkStart w:id="775" w:name="_Toc19127"/>
      <w:bookmarkStart w:id="776" w:name="_Toc25421"/>
      <w:bookmarkStart w:id="777" w:name="_Toc47694410"/>
      <w:r>
        <w:rPr>
          <w:rFonts w:hint="eastAsia" w:ascii="仿宋" w:hAnsi="仿宋" w:eastAsia="仿宋" w:cs="仿宋"/>
          <w:i w:val="0"/>
          <w:iCs w:val="0"/>
          <w:color w:val="auto"/>
          <w:sz w:val="24"/>
          <w:szCs w:val="24"/>
          <w:highlight w:val="none"/>
        </w:rPr>
        <w:t>38.  工程设计</w:t>
      </w:r>
      <w:bookmarkEnd w:id="775"/>
      <w:bookmarkEnd w:id="776"/>
      <w:bookmarkEnd w:id="777"/>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pPr>
        <w:spacing w:line="360" w:lineRule="auto"/>
        <w:ind w:firstLine="480" w:firstLineChars="200"/>
        <w:rPr>
          <w:rFonts w:ascii="仿宋" w:hAnsi="仿宋" w:eastAsia="仿宋"/>
          <w:color w:val="auto"/>
          <w:highlight w:val="none"/>
          <w:lang w:eastAsia="zh-CN"/>
        </w:rPr>
      </w:pPr>
      <w:bookmarkStart w:id="778" w:name="_Hlk80799359"/>
      <w:r>
        <w:rPr>
          <w:rFonts w:hint="eastAsia" w:ascii="仿宋" w:hAnsi="仿宋" w:eastAsia="仿宋" w:cs="仿宋"/>
          <w:color w:val="auto"/>
          <w:highlight w:val="none"/>
          <w:lang w:eastAsia="zh-CN"/>
        </w:rPr>
        <w:t>☑</w:t>
      </w:r>
      <w:bookmarkEnd w:id="778"/>
      <w:r>
        <w:rPr>
          <w:rFonts w:hint="eastAsia" w:ascii="仿宋" w:hAnsi="仿宋" w:eastAsia="仿宋" w:cs="仿宋"/>
          <w:color w:val="auto"/>
          <w:highlight w:val="none"/>
          <w:lang w:eastAsia="zh-CN"/>
        </w:rPr>
        <w:t xml:space="preserve"> 通用条款第38.1款约定。</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38.2初步设计和（或）施工图设计实施方案</w:t>
      </w:r>
    </w:p>
    <w:p>
      <w:pPr>
        <w:numPr>
          <w:ilvl w:val="0"/>
          <w:numId w:val="27"/>
        </w:num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提供时间：</w:t>
      </w:r>
      <w:r>
        <w:rPr>
          <w:rFonts w:hint="eastAsia" w:ascii="仿宋" w:hAnsi="仿宋" w:eastAsia="仿宋" w:cs="仿宋"/>
          <w:color w:val="auto"/>
          <w:highlight w:val="none"/>
          <w:u w:val="single"/>
          <w:lang w:eastAsia="zh-CN"/>
        </w:rPr>
        <w:t>根据实际情况，按发包人要求。</w:t>
      </w:r>
    </w:p>
    <w:p>
      <w:pPr>
        <w:numPr>
          <w:ilvl w:val="0"/>
          <w:numId w:val="27"/>
        </w:num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提供方式：</w:t>
      </w:r>
      <w:r>
        <w:rPr>
          <w:rFonts w:hint="eastAsia" w:ascii="仿宋" w:hAnsi="仿宋" w:eastAsia="仿宋" w:cs="仿宋"/>
          <w:color w:val="auto"/>
          <w:highlight w:val="none"/>
          <w:u w:val="single"/>
          <w:lang w:eastAsia="zh-CN"/>
        </w:rPr>
        <w:t>根据实际情况，按发包人要求。</w:t>
      </w:r>
    </w:p>
    <w:p>
      <w:pPr>
        <w:spacing w:line="360" w:lineRule="auto"/>
        <w:ind w:left="684" w:leftChars="28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3、提供数量：</w:t>
      </w:r>
      <w:bookmarkStart w:id="779" w:name="_Hlk84863616"/>
      <w:r>
        <w:rPr>
          <w:rFonts w:hint="eastAsia" w:ascii="仿宋" w:hAnsi="仿宋" w:eastAsia="仿宋" w:cs="仿宋"/>
          <w:color w:val="auto"/>
          <w:highlight w:val="none"/>
          <w:u w:val="single"/>
          <w:lang w:eastAsia="zh-CN"/>
        </w:rPr>
        <w:t>22份，具体数量按甲方要求提供</w:t>
      </w:r>
      <w:bookmarkEnd w:id="779"/>
      <w:r>
        <w:rPr>
          <w:rFonts w:hint="eastAsia" w:ascii="仿宋" w:hAnsi="仿宋" w:eastAsia="仿宋" w:cs="仿宋"/>
          <w:color w:val="auto"/>
          <w:highlight w:val="none"/>
          <w:u w:val="single"/>
          <w:lang w:eastAsia="zh-CN"/>
        </w:rPr>
        <w:t>。</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38.3.1 适用于发包人按单项工程接收和（或）整个工程接收的标准和规范：承包人应根据发包人审查批准或备案的设计实施方案、发包人要求指示并遵守有关法律、技术标准进行施工图设计。</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s="仿宋"/>
          <w:color w:val="auto"/>
          <w:highlight w:val="none"/>
          <w:u w:val="single"/>
          <w:lang w:eastAsia="zh-CN"/>
        </w:rPr>
        <w:t xml:space="preserve">      /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38.3.6 承包人的合理化建议被采纳，节约投资成本显著或预期产生显著的经济效益，发包人按以下约定给予承包人奖励：</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优化设计降低造价奖励：</w:t>
      </w:r>
      <w:r>
        <w:rPr>
          <w:rFonts w:hint="eastAsia" w:ascii="仿宋" w:hAnsi="仿宋" w:eastAsia="仿宋" w:cs="仿宋"/>
          <w:color w:val="auto"/>
          <w:highlight w:val="none"/>
          <w:u w:val="single"/>
          <w:lang w:eastAsia="zh-CN"/>
        </w:rPr>
        <w:t xml:space="preserve">        /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其它合理化建议奖励：</w:t>
      </w:r>
      <w:r>
        <w:rPr>
          <w:rFonts w:hint="eastAsia" w:ascii="仿宋" w:hAnsi="仿宋" w:eastAsia="仿宋" w:cs="仿宋"/>
          <w:color w:val="auto"/>
          <w:highlight w:val="none"/>
          <w:u w:val="single"/>
          <w:lang w:eastAsia="zh-CN"/>
        </w:rPr>
        <w:t xml:space="preserve">         /           </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 设计文件</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1、提供时间：</w:t>
      </w:r>
      <w:r>
        <w:rPr>
          <w:rFonts w:hint="eastAsia" w:ascii="仿宋" w:hAnsi="仿宋" w:eastAsia="仿宋" w:cs="仿宋"/>
          <w:color w:val="auto"/>
          <w:highlight w:val="none"/>
          <w:u w:val="single"/>
          <w:lang w:eastAsia="zh-CN"/>
        </w:rPr>
        <w:t>根据实际情况，按发包人要求。</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2、提供方式：</w:t>
      </w:r>
      <w:r>
        <w:rPr>
          <w:rFonts w:hint="eastAsia" w:ascii="仿宋" w:hAnsi="仿宋" w:eastAsia="仿宋" w:cs="仿宋"/>
          <w:color w:val="auto"/>
          <w:highlight w:val="none"/>
          <w:u w:val="single"/>
          <w:lang w:eastAsia="zh-CN"/>
        </w:rPr>
        <w:t>根据实际情况，按发包人要求。</w:t>
      </w:r>
    </w:p>
    <w:p>
      <w:pPr>
        <w:spacing w:line="360" w:lineRule="auto"/>
        <w:ind w:left="274" w:leftChars="114"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3、提供数量：</w:t>
      </w:r>
      <w:r>
        <w:rPr>
          <w:rFonts w:hint="eastAsia" w:ascii="仿宋" w:hAnsi="仿宋" w:eastAsia="仿宋" w:cs="仿宋"/>
          <w:color w:val="auto"/>
          <w:highlight w:val="none"/>
          <w:u w:val="single"/>
          <w:lang w:eastAsia="zh-CN"/>
        </w:rPr>
        <w:t>22份，具体数量按甲方要求提供。</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38.5 装配式建筑</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38.5.1（1）装配式建筑采用的技术标准、规范及要求：</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 国家《装配式混凝土建筑技术标准》（GB/T51231-2016）、《装配式钢结构建筑技术标准》（GB/T51232-2016）、《钢筋套筒灌浆连接应用技术规程》（JGJ355-2015）</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 xml:space="preserve">□ 《装配式钢结构建筑技术规程》（DBJ/T 15-177-2020）、《装配式混凝土结构工程预制构件生产质量验收规程》（T/GZBC10-2019）、《装配式混凝土结构工程施工质量验收规程》(DB4401/T16-2019)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 xml:space="preserve">□ 《广州市住房和城乡建设委员会关于印发广州市装配式建筑工程质量安全管理指引(试行)的通知》（穗建质[2018]477号）。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 其他标准、规范及文件：</w:t>
      </w:r>
      <w:r>
        <w:rPr>
          <w:rFonts w:hint="eastAsia" w:ascii="仿宋" w:hAnsi="仿宋" w:eastAsia="仿宋" w:cs="仿宋"/>
          <w:color w:val="auto"/>
          <w:highlight w:val="none"/>
          <w:u w:val="single"/>
          <w:lang w:val="en-US" w:bidi="en-US"/>
        </w:rPr>
        <w:t xml:space="preserve">     /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 xml:space="preserve">（2）本项目装配式建筑选用的评价标准：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bidi="en-US"/>
        </w:rPr>
        <w:t xml:space="preserve">国家《装配式混凝土建筑技术标准》（GB/T51231-2016）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bidi="en-US"/>
        </w:rPr>
        <w:t xml:space="preserve">广东省《装配式建筑评价标准》（DBJ/T15-163-2019） </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各装配式单体工程的名称及装配率（或评价等级）要求：</w:t>
      </w:r>
      <w:r>
        <w:rPr>
          <w:rFonts w:hint="eastAsia" w:ascii="仿宋" w:hAnsi="仿宋" w:eastAsia="仿宋" w:cs="仿宋"/>
          <w:color w:val="auto"/>
          <w:highlight w:val="none"/>
          <w:u w:val="single"/>
          <w:lang w:val="en-US" w:bidi="en-US"/>
        </w:rPr>
        <w:t xml:space="preserve">            </w:t>
      </w:r>
    </w:p>
    <w:p>
      <w:pPr>
        <w:spacing w:line="360" w:lineRule="auto"/>
        <w:ind w:left="274" w:leftChars="114"/>
        <w:rPr>
          <w:rFonts w:ascii="仿宋" w:hAnsi="仿宋" w:eastAsia="仿宋"/>
          <w:color w:val="auto"/>
          <w:highlight w:val="none"/>
          <w:lang w:eastAsia="zh-CN"/>
        </w:rPr>
      </w:pPr>
      <w:r>
        <w:rPr>
          <w:rFonts w:hint="eastAsia" w:ascii="仿宋" w:hAnsi="仿宋" w:eastAsia="仿宋"/>
          <w:color w:val="auto"/>
          <w:highlight w:val="none"/>
          <w:lang w:eastAsia="zh-CN"/>
        </w:rPr>
        <w:t>38.6 设计审查</w:t>
      </w:r>
    </w:p>
    <w:p>
      <w:pPr>
        <w:spacing w:line="360" w:lineRule="auto"/>
        <w:ind w:left="274" w:leftChars="114"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38.6.1.1发包人对承包人设计文件审查的范围、内容的约定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发包人有权聘请施工图审查单位作为本合同工程的施工图设计审查单位，承包人应接受该施工图审查单位按照相关法律、法规和发包人赋予的权利所进行的施工图审查工作。</w:t>
      </w:r>
    </w:p>
    <w:p>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38.6.1.2发包人对承包人设计文件的审查期限</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通用条款第38.6.1.2款约定；</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  </w:t>
      </w:r>
    </w:p>
    <w:p>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pPr>
        <w:spacing w:line="360" w:lineRule="auto"/>
        <w:ind w:left="274" w:leftChars="11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1、审查形式：</w:t>
      </w:r>
      <w:r>
        <w:rPr>
          <w:rFonts w:hint="eastAsia" w:ascii="仿宋" w:hAnsi="仿宋" w:eastAsia="仿宋" w:cs="仿宋"/>
          <w:color w:val="auto"/>
          <w:highlight w:val="none"/>
          <w:u w:val="single"/>
          <w:lang w:eastAsia="zh-CN"/>
        </w:rPr>
        <w:t>根据实际情况，按发包人要求。</w:t>
      </w:r>
    </w:p>
    <w:p>
      <w:pPr>
        <w:spacing w:line="360" w:lineRule="auto"/>
        <w:ind w:left="274" w:leftChars="11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2、审查时间：</w:t>
      </w:r>
      <w:r>
        <w:rPr>
          <w:rFonts w:hint="eastAsia" w:ascii="仿宋" w:hAnsi="仿宋" w:eastAsia="仿宋" w:cs="仿宋"/>
          <w:color w:val="auto"/>
          <w:highlight w:val="none"/>
          <w:u w:val="single"/>
          <w:lang w:eastAsia="zh-CN"/>
        </w:rPr>
        <w:t>根据实际情况，按发包人要求。</w:t>
      </w:r>
    </w:p>
    <w:p>
      <w:pPr>
        <w:pStyle w:val="4"/>
        <w:tabs>
          <w:tab w:val="left" w:pos="420"/>
        </w:tabs>
        <w:spacing w:line="360" w:lineRule="auto"/>
        <w:rPr>
          <w:rFonts w:ascii="仿宋" w:hAnsi="仿宋" w:eastAsia="仿宋" w:cs="仿宋"/>
          <w:i w:val="0"/>
          <w:iCs w:val="0"/>
          <w:color w:val="auto"/>
          <w:sz w:val="24"/>
          <w:szCs w:val="24"/>
          <w:highlight w:val="none"/>
        </w:rPr>
      </w:pPr>
      <w:bookmarkStart w:id="780" w:name="_Toc27704"/>
      <w:bookmarkStart w:id="781" w:name="_Toc47694411"/>
      <w:bookmarkStart w:id="782" w:name="_Toc20583"/>
      <w:r>
        <w:rPr>
          <w:rFonts w:hint="eastAsia" w:ascii="仿宋" w:hAnsi="仿宋" w:eastAsia="仿宋" w:cs="仿宋"/>
          <w:i w:val="0"/>
          <w:iCs w:val="0"/>
          <w:color w:val="auto"/>
          <w:sz w:val="24"/>
          <w:szCs w:val="24"/>
          <w:highlight w:val="none"/>
        </w:rPr>
        <w:t>39.  BIM技术应用</w:t>
      </w:r>
      <w:bookmarkEnd w:id="780"/>
      <w:bookmarkEnd w:id="781"/>
      <w:bookmarkEnd w:id="782"/>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39.1 对发包人要求和项目基础资料的核实</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通用条款第39.1款约定。</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39.2.1 BIM技术应用工作方案</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1、提供时间：</w:t>
      </w:r>
      <w:r>
        <w:rPr>
          <w:rFonts w:hint="eastAsia" w:ascii="仿宋" w:hAnsi="仿宋" w:eastAsia="仿宋" w:cs="仿宋"/>
          <w:color w:val="auto"/>
          <w:highlight w:val="none"/>
          <w:u w:val="single"/>
          <w:lang w:eastAsia="zh-CN"/>
        </w:rPr>
        <w:t>根据实际情况，按发包人要求。</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2、提供方式：</w:t>
      </w:r>
      <w:r>
        <w:rPr>
          <w:rFonts w:hint="eastAsia" w:ascii="仿宋" w:hAnsi="仿宋" w:eastAsia="仿宋" w:cs="仿宋"/>
          <w:color w:val="auto"/>
          <w:highlight w:val="none"/>
          <w:u w:val="single"/>
          <w:lang w:eastAsia="zh-CN"/>
        </w:rPr>
        <w:t>根据实际情况，按发包人要求。</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3、提供数量：</w:t>
      </w:r>
      <w:r>
        <w:rPr>
          <w:rFonts w:hint="eastAsia" w:ascii="仿宋" w:hAnsi="仿宋" w:eastAsia="仿宋" w:cs="仿宋"/>
          <w:color w:val="auto"/>
          <w:highlight w:val="none"/>
          <w:u w:val="single"/>
          <w:lang w:eastAsia="zh-CN"/>
        </w:rPr>
        <w:t>按发包人要求提供。</w:t>
      </w:r>
    </w:p>
    <w:p>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39.3.1 BIM技术</w:t>
      </w:r>
      <w:r>
        <w:rPr>
          <w:rFonts w:hint="eastAsia" w:ascii="仿宋" w:hAnsi="仿宋" w:eastAsia="仿宋"/>
          <w:color w:val="auto"/>
          <w:highlight w:val="none"/>
          <w:lang w:eastAsia="zh-CN"/>
        </w:rPr>
        <w:tab/>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eastAsia="zh-CN"/>
        </w:rPr>
        <w:t>基于施工图完成建筑模型、结构模型、机电模型等的模型构建及BIM应用分析，审查设计的完整性。主要工作内容包含但不限于以下内容：</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BIM模型搭建：根据CAD施工图还原为BIM模型文件，操作平台不低于Revit2016。</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设计验证及漫游：乙方需使用Navisworks软件对BIM模型中的各构件冲突进行验证，可以通过第一视角对项目模型进行漫游浏览。</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3、施工配合：将设计BIM成果移交施工单位，由施工单位相关技术人员将其深化为施工BIM,指导项目施工组织及验收工作。</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模型建立标准：依据施工图设计和现行国家及地方相关规范,遵照《建筑信息模型应用统一标准》GB/T51212-2016，及《广州市民用建筑信息模型(BIM)设计技术规范》DB4401/T 9-2018等相关深度标准,完成BIM设计编制工作。</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39.3.7 承包人提供运营维护所需建筑信息模型（BIM）的约定：</w:t>
      </w:r>
      <w:r>
        <w:rPr>
          <w:rFonts w:hint="eastAsia" w:ascii="仿宋" w:hAnsi="仿宋" w:eastAsia="仿宋" w:cs="仿宋"/>
          <w:color w:val="auto"/>
          <w:highlight w:val="none"/>
          <w:u w:val="single"/>
          <w:lang w:eastAsia="zh-CN"/>
        </w:rPr>
        <w:t xml:space="preserve">      /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 承包人提供建筑信息模型（BIM）及技术应用成果</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1、提供时间：</w:t>
      </w:r>
      <w:r>
        <w:rPr>
          <w:rFonts w:hint="eastAsia" w:ascii="仿宋" w:hAnsi="仿宋" w:eastAsia="仿宋" w:cs="仿宋"/>
          <w:color w:val="auto"/>
          <w:highlight w:val="none"/>
          <w:u w:val="single"/>
          <w:lang w:eastAsia="zh-CN"/>
        </w:rPr>
        <w:t>根据实际情况，按发包人要求。</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2、提供方式：</w:t>
      </w:r>
      <w:r>
        <w:rPr>
          <w:rFonts w:hint="eastAsia" w:ascii="仿宋" w:hAnsi="仿宋" w:eastAsia="仿宋" w:cs="仿宋"/>
          <w:color w:val="auto"/>
          <w:highlight w:val="none"/>
          <w:u w:val="single"/>
          <w:lang w:eastAsia="zh-CN"/>
        </w:rPr>
        <w:t>根据实际情况，按发包人要求。</w:t>
      </w:r>
    </w:p>
    <w:p>
      <w:pPr>
        <w:spacing w:line="360" w:lineRule="auto"/>
        <w:ind w:left="240" w:left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39.6 </w:t>
      </w:r>
      <w:r>
        <w:rPr>
          <w:rFonts w:hint="eastAsia" w:ascii="仿宋" w:hAnsi="仿宋" w:eastAsia="仿宋"/>
          <w:color w:val="auto"/>
          <w:highlight w:val="none"/>
          <w:lang w:eastAsia="zh-CN"/>
        </w:rPr>
        <w:t>BIM技术应用在各阶段应用的建筑信息模（BIM）交付标准的约定：</w:t>
      </w:r>
    </w:p>
    <w:p>
      <w:pPr>
        <w:spacing w:line="360" w:lineRule="auto"/>
        <w:ind w:left="240" w:leftChars="100"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1、Revit设计BIM模型：</w:t>
      </w:r>
    </w:p>
    <w:p>
      <w:pPr>
        <w:spacing w:line="360" w:lineRule="auto"/>
        <w:ind w:left="240" w:leftChars="100"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1)单体、分专业Revit设计参数化BIM模型，.rvt格式电子版文件；</w:t>
      </w:r>
    </w:p>
    <w:p>
      <w:pPr>
        <w:spacing w:line="360" w:lineRule="auto"/>
        <w:ind w:left="240" w:leftChars="100"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2)全专业Revit整体BIM模型，.rvt格式电子版文件；</w:t>
      </w:r>
    </w:p>
    <w:p>
      <w:pPr>
        <w:spacing w:line="360" w:lineRule="auto"/>
        <w:ind w:left="240" w:leftChars="100"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2、Navisworks浏览模拟BIM模型：</w:t>
      </w:r>
    </w:p>
    <w:p>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olor w:val="auto"/>
          <w:highlight w:val="none"/>
          <w:u w:val="single"/>
          <w:lang w:eastAsia="zh-CN"/>
        </w:rPr>
        <w:t>基于分单体、分专业创建的Navisworks浏览、模拟、管线综合模型，.nwc格式电子版文件；基于全专业Revit整体模型创建的Navisworks模型，.nwd格式电子版文件。</w:t>
      </w:r>
    </w:p>
    <w:p>
      <w:pPr>
        <w:pStyle w:val="4"/>
        <w:tabs>
          <w:tab w:val="left" w:pos="420"/>
        </w:tabs>
        <w:spacing w:line="360" w:lineRule="auto"/>
        <w:rPr>
          <w:rFonts w:ascii="仿宋" w:hAnsi="仿宋" w:eastAsia="仿宋"/>
          <w:i w:val="0"/>
          <w:iCs w:val="0"/>
          <w:color w:val="auto"/>
          <w:sz w:val="24"/>
          <w:szCs w:val="24"/>
          <w:highlight w:val="none"/>
        </w:rPr>
      </w:pPr>
      <w:bookmarkStart w:id="783" w:name="_Toc7362"/>
      <w:bookmarkStart w:id="784" w:name="_Toc47694412"/>
      <w:bookmarkStart w:id="785" w:name="_Toc30097"/>
      <w:r>
        <w:rPr>
          <w:rFonts w:hint="eastAsia" w:ascii="仿宋" w:hAnsi="仿宋" w:eastAsia="仿宋" w:cs="仿宋"/>
          <w:i w:val="0"/>
          <w:iCs w:val="0"/>
          <w:color w:val="auto"/>
          <w:sz w:val="24"/>
          <w:szCs w:val="24"/>
          <w:highlight w:val="none"/>
        </w:rPr>
        <w:t>40.  进度计划和报告</w:t>
      </w:r>
      <w:bookmarkEnd w:id="783"/>
      <w:bookmarkEnd w:id="784"/>
      <w:bookmarkEnd w:id="785"/>
    </w:p>
    <w:p>
      <w:pPr>
        <w:spacing w:line="360" w:lineRule="auto"/>
        <w:rPr>
          <w:rFonts w:ascii="仿宋" w:hAnsi="仿宋" w:eastAsia="仿宋" w:cs="仿宋"/>
          <w:color w:val="auto"/>
          <w:highlight w:val="none"/>
          <w:lang w:eastAsia="zh-CN"/>
        </w:rPr>
      </w:pPr>
      <w:bookmarkStart w:id="786" w:name="_Toc9737"/>
      <w:r>
        <w:rPr>
          <w:rFonts w:hint="eastAsia" w:ascii="仿宋" w:hAnsi="仿宋" w:eastAsia="仿宋" w:cs="仿宋"/>
          <w:color w:val="auto"/>
          <w:highlight w:val="none"/>
          <w:lang w:eastAsia="zh-CN"/>
        </w:rPr>
        <w:t>40.3 提交工程进度报告和修订进度计划</w:t>
      </w:r>
      <w:bookmarkEnd w:id="786"/>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□承包人编制月勘察进度报告和修订进度计划的约定：</w:t>
      </w:r>
      <w:r>
        <w:rPr>
          <w:rFonts w:hint="eastAsia" w:ascii="仿宋" w:hAnsi="仿宋" w:eastAsia="仿宋" w:cs="仿宋"/>
          <w:color w:val="auto"/>
          <w:highlight w:val="none"/>
          <w:u w:val="single"/>
          <w:lang w:eastAsia="zh-CN"/>
        </w:rPr>
        <w:t xml:space="preserve"> /      </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□承包人编制月初步设计进度报告和修订进度计划的约定：</w:t>
      </w:r>
      <w:r>
        <w:rPr>
          <w:rFonts w:hint="eastAsia" w:ascii="仿宋" w:hAnsi="仿宋" w:eastAsia="仿宋" w:cs="仿宋"/>
          <w:color w:val="auto"/>
          <w:highlight w:val="none"/>
          <w:u w:val="single"/>
          <w:lang w:eastAsia="zh-CN"/>
        </w:rPr>
        <w:t xml:space="preserve"> / </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□承包人编制月施工图设计进度报告和修订进度计划的约定：</w:t>
      </w:r>
      <w:r>
        <w:rPr>
          <w:rFonts w:hint="eastAsia" w:ascii="仿宋" w:hAnsi="仿宋" w:eastAsia="仿宋" w:cs="仿宋"/>
          <w:color w:val="auto"/>
          <w:highlight w:val="none"/>
          <w:u w:val="single"/>
          <w:lang w:eastAsia="zh-CN"/>
        </w:rPr>
        <w:t xml:space="preserve"> / </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□承包人编制月BIM技术应用进度报告和修订进度计划的约定：</w:t>
      </w:r>
      <w:r>
        <w:rPr>
          <w:rFonts w:hint="eastAsia" w:ascii="仿宋" w:hAnsi="仿宋" w:eastAsia="仿宋" w:cs="仿宋"/>
          <w:color w:val="auto"/>
          <w:highlight w:val="none"/>
          <w:u w:val="single"/>
          <w:lang w:eastAsia="zh-CN"/>
        </w:rPr>
        <w:t xml:space="preserve"> /    </w:t>
      </w:r>
    </w:p>
    <w:p>
      <w:pPr>
        <w:spacing w:line="360" w:lineRule="auto"/>
        <w:ind w:firstLine="600" w:firstLineChars="250"/>
        <w:jc w:val="both"/>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☑承包人编制月施工进度报告和修订进度计划的约定：</w:t>
      </w:r>
      <w:r>
        <w:rPr>
          <w:rFonts w:hint="eastAsia" w:ascii="仿宋" w:hAnsi="仿宋" w:eastAsia="仿宋" w:cs="仿宋"/>
          <w:color w:val="auto"/>
          <w:highlight w:val="none"/>
          <w:u w:val="single"/>
          <w:lang w:eastAsia="zh-CN"/>
        </w:rPr>
        <w:t xml:space="preserve"> 承包人应编制月施工进度报告和每季对进度计划修订一次，并分别在每月及季的25日前一式两份提交给监理工程师。月进度报告的内容至少应包括：</w:t>
      </w:r>
    </w:p>
    <w:p>
      <w:pPr>
        <w:tabs>
          <w:tab w:val="left" w:pos="1288"/>
          <w:tab w:val="left" w:pos="1560"/>
        </w:tabs>
        <w:spacing w:line="360" w:lineRule="auto"/>
        <w:ind w:firstLine="42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（1）施工、安装、试验以及发包人工作等进展情况的图表和说明；</w:t>
      </w:r>
    </w:p>
    <w:p>
      <w:pPr>
        <w:tabs>
          <w:tab w:val="left" w:pos="1288"/>
          <w:tab w:val="left" w:pos="1560"/>
        </w:tabs>
        <w:spacing w:line="360" w:lineRule="auto"/>
        <w:ind w:firstLine="42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（2）材料、设备、货物的采购和制造商名称、地点以及进场现场情况；</w:t>
      </w:r>
    </w:p>
    <w:p>
      <w:pPr>
        <w:tabs>
          <w:tab w:val="left" w:pos="1288"/>
          <w:tab w:val="left" w:pos="1560"/>
        </w:tabs>
        <w:spacing w:line="360" w:lineRule="auto"/>
        <w:ind w:firstLine="42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（3）索赔情况和安全统计；</w:t>
      </w:r>
    </w:p>
    <w:p>
      <w:pPr>
        <w:spacing w:line="360" w:lineRule="auto"/>
        <w:ind w:firstLine="480" w:firstLine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（4）实际进度与计划进度的对比、承包人及专业分包人对进度延误的责任，以及为消除延误正在或准备采取的措施。</w:t>
      </w:r>
    </w:p>
    <w:p>
      <w:pPr>
        <w:pStyle w:val="40"/>
        <w:ind w:firstLine="567"/>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□承包人编制月设备及工器具购置进度报告和修订进度计划的约定：</w:t>
      </w:r>
      <w:r>
        <w:rPr>
          <w:rFonts w:hint="eastAsia" w:ascii="仿宋" w:hAnsi="仿宋" w:eastAsia="仿宋" w:cs="仿宋"/>
          <w:color w:val="auto"/>
          <w:highlight w:val="none"/>
          <w:u w:val="single"/>
          <w:lang w:val="en-US" w:bidi="en-US"/>
        </w:rPr>
        <w:t xml:space="preserve">     /     </w:t>
      </w:r>
    </w:p>
    <w:p>
      <w:pPr>
        <w:pStyle w:val="40"/>
        <w:ind w:firstLine="567"/>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☑承包人编制月其他服务进度报告和修订进度计划的约定：</w:t>
      </w:r>
      <w:r>
        <w:rPr>
          <w:rFonts w:hint="eastAsia" w:ascii="仿宋" w:hAnsi="仿宋" w:eastAsia="仿宋" w:cs="仿宋"/>
          <w:color w:val="auto"/>
          <w:highlight w:val="none"/>
          <w:u w:val="single"/>
          <w:lang w:val="en-US" w:bidi="en-US"/>
        </w:rPr>
        <w:t xml:space="preserve"> 按发包人要求。 </w:t>
      </w:r>
    </w:p>
    <w:p>
      <w:pPr>
        <w:pStyle w:val="4"/>
        <w:tabs>
          <w:tab w:val="left" w:pos="420"/>
        </w:tabs>
        <w:spacing w:line="360" w:lineRule="auto"/>
        <w:ind w:firstLine="105"/>
        <w:rPr>
          <w:i w:val="0"/>
          <w:iCs w:val="0"/>
          <w:color w:val="auto"/>
          <w:highlight w:val="none"/>
        </w:rPr>
      </w:pPr>
      <w:bookmarkStart w:id="787" w:name="_Toc113"/>
      <w:bookmarkStart w:id="788" w:name="_Toc26645"/>
      <w:bookmarkStart w:id="789" w:name="_Toc47694413"/>
      <w:r>
        <w:rPr>
          <w:rFonts w:hint="eastAsia" w:ascii="仿宋" w:hAnsi="仿宋" w:eastAsia="仿宋" w:cs="仿宋"/>
          <w:i w:val="0"/>
          <w:iCs w:val="0"/>
          <w:color w:val="auto"/>
          <w:sz w:val="24"/>
          <w:szCs w:val="24"/>
          <w:highlight w:val="none"/>
        </w:rPr>
        <w:t>41.  开始工作或开工</w:t>
      </w:r>
      <w:bookmarkEnd w:id="787"/>
      <w:bookmarkEnd w:id="788"/>
      <w:bookmarkEnd w:id="789"/>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41.2.1 开始工作</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☑1、发包人签发开始勘察工作指令的时间要求：</w:t>
      </w:r>
    </w:p>
    <w:p>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按通用条款规定的时间。</w:t>
      </w:r>
    </w:p>
    <w:p>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根据实际情况，按发包人要求。</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☑2、发包人签发开始设计工作指令的时间要求：</w:t>
      </w:r>
    </w:p>
    <w:p>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按通用条款规定的时间。</w:t>
      </w:r>
    </w:p>
    <w:p>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根据实际情况，按发包人要求。</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☑3、发包人签发开始BIM技术应用工作指令的时间要求：</w:t>
      </w:r>
    </w:p>
    <w:p>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按通用条款规定的时间。</w:t>
      </w:r>
    </w:p>
    <w:p>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根据实际情况，按发包人要求。</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□4、发包人签发开始设备及工器具购置工作指令的时间要求：</w:t>
      </w:r>
    </w:p>
    <w:p>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按通用条款规定的时间。</w:t>
      </w:r>
    </w:p>
    <w:p>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42.2.2 开工</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发包人签发开工令的时间要求：</w:t>
      </w:r>
    </w:p>
    <w:p>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按通用条款规定的时间。</w:t>
      </w:r>
    </w:p>
    <w:p>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暂定【 </w:t>
      </w:r>
      <w:r>
        <w:rPr>
          <w:rFonts w:ascii="仿宋" w:hAnsi="仿宋" w:eastAsia="仿宋" w:cs="仿宋"/>
          <w:color w:val="auto"/>
          <w:highlight w:val="none"/>
          <w:u w:val="single"/>
          <w:lang w:eastAsia="zh-CN"/>
        </w:rPr>
        <w:t>202</w:t>
      </w:r>
      <w:r>
        <w:rPr>
          <w:rFonts w:hint="eastAsia" w:ascii="仿宋" w:hAnsi="仿宋" w:eastAsia="仿宋" w:cs="仿宋"/>
          <w:color w:val="auto"/>
          <w:highlight w:val="none"/>
          <w:u w:val="single"/>
          <w:lang w:eastAsia="zh-CN"/>
        </w:rPr>
        <w:t xml:space="preserve">  】年【  】月【  】日，承包人向监理提出开工申请、监理工程师根据开工申请签发开工令。 </w:t>
      </w:r>
    </w:p>
    <w:p>
      <w:pPr>
        <w:pStyle w:val="4"/>
        <w:tabs>
          <w:tab w:val="left" w:pos="420"/>
        </w:tabs>
        <w:spacing w:line="360" w:lineRule="auto"/>
        <w:ind w:firstLine="105"/>
        <w:rPr>
          <w:i w:val="0"/>
          <w:iCs w:val="0"/>
          <w:color w:val="auto"/>
          <w:highlight w:val="none"/>
        </w:rPr>
      </w:pPr>
      <w:bookmarkStart w:id="790" w:name="_Toc47694414"/>
      <w:bookmarkStart w:id="791" w:name="_Toc12273"/>
      <w:bookmarkStart w:id="792" w:name="_Toc7280"/>
      <w:r>
        <w:rPr>
          <w:rFonts w:hint="eastAsia" w:ascii="仿宋" w:hAnsi="仿宋" w:eastAsia="仿宋" w:cs="仿宋"/>
          <w:i w:val="0"/>
          <w:iCs w:val="0"/>
          <w:color w:val="auto"/>
          <w:sz w:val="24"/>
          <w:szCs w:val="24"/>
          <w:highlight w:val="none"/>
        </w:rPr>
        <w:t>42.  暂停工作、暂停施工和复工</w:t>
      </w:r>
      <w:bookmarkEnd w:id="790"/>
      <w:bookmarkEnd w:id="791"/>
      <w:bookmarkEnd w:id="792"/>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43.4 发包人、承包人原因和不可抗力因素造成暂停施工的责任</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因发包人原因导致暂停施工，则工期顺延，但发包人不作任何的补偿。</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原因造成暂停施工的其他原因：为了保证工程质量安全，凡出现下列情形之一（不限于此）的，总监理工程师有权下达停工令，责令承包人停工整改，由此造成的损失由承包人自行负责；造成工期延误的，由承包人承担违约责任。</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①拒绝监理人管理；</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②施工组织设计（方案）未获总监理工程师批准而擅自施工；</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③未经监理人检验而进行下一道工序作业；</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④擅自采用未经监理工程师及发包人认可或批准的材料、设备；或者使用的材料、设备、构配件不合格或未经检查确认；或者擅自采用未经认可的代用材料；</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⑤未按设计图纸施工；</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⑥转包、非法分包工程；</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⑦擅自让未经总监理工程师和发包人批准的分包单位进场作业；</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⑧存在安全隐患，未按监理工程师要求及时整改或发生了安全事故；</w:t>
      </w:r>
    </w:p>
    <w:p>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⑨未按双方约定上报有关资料。。</w:t>
      </w:r>
    </w:p>
    <w:p>
      <w:pPr>
        <w:pStyle w:val="4"/>
        <w:tabs>
          <w:tab w:val="left" w:pos="420"/>
        </w:tabs>
        <w:spacing w:line="360" w:lineRule="auto"/>
        <w:ind w:firstLine="105"/>
        <w:rPr>
          <w:i w:val="0"/>
          <w:iCs w:val="0"/>
          <w:color w:val="auto"/>
          <w:highlight w:val="none"/>
        </w:rPr>
      </w:pPr>
      <w:bookmarkStart w:id="793" w:name="_Toc1504"/>
      <w:bookmarkStart w:id="794" w:name="_Toc8825"/>
      <w:bookmarkStart w:id="795" w:name="_Toc47694415"/>
      <w:r>
        <w:rPr>
          <w:rFonts w:hint="eastAsia" w:ascii="仿宋" w:hAnsi="仿宋" w:eastAsia="仿宋" w:cs="仿宋"/>
          <w:i w:val="0"/>
          <w:iCs w:val="0"/>
          <w:color w:val="auto"/>
          <w:sz w:val="24"/>
          <w:szCs w:val="24"/>
          <w:highlight w:val="none"/>
        </w:rPr>
        <w:t>43.  工期和工期延误</w:t>
      </w:r>
      <w:bookmarkEnd w:id="793"/>
      <w:bookmarkEnd w:id="794"/>
      <w:bookmarkEnd w:id="795"/>
    </w:p>
    <w:p>
      <w:pPr>
        <w:spacing w:line="360" w:lineRule="auto"/>
        <w:ind w:firstLine="480" w:firstLineChars="200"/>
        <w:rPr>
          <w:rFonts w:ascii="仿宋" w:hAnsi="仿宋" w:eastAsia="仿宋" w:cs="仿宋"/>
          <w:color w:val="auto"/>
          <w:highlight w:val="none"/>
          <w:lang w:eastAsia="zh-CN"/>
        </w:rPr>
      </w:pPr>
      <w:bookmarkStart w:id="796" w:name="_Toc2299"/>
      <w:r>
        <w:rPr>
          <w:rFonts w:hint="eastAsia" w:ascii="仿宋" w:hAnsi="仿宋" w:eastAsia="仿宋" w:cs="仿宋"/>
          <w:color w:val="auto"/>
          <w:highlight w:val="none"/>
          <w:lang w:eastAsia="zh-CN"/>
        </w:rPr>
        <w:t>43.1 工期计算</w:t>
      </w:r>
      <w:bookmarkEnd w:id="796"/>
    </w:p>
    <w:p>
      <w:pPr>
        <w:pStyle w:val="40"/>
        <w:rPr>
          <w:color w:val="auto"/>
          <w:highlight w:val="none"/>
        </w:rPr>
      </w:pPr>
      <w:r>
        <w:rPr>
          <w:rFonts w:hint="eastAsia" w:ascii="仿宋" w:hAnsi="仿宋" w:eastAsia="仿宋" w:cs="仿宋"/>
          <w:color w:val="auto"/>
          <w:highlight w:val="none"/>
          <w:lang w:val="en-US" w:bidi="en-US"/>
        </w:rPr>
        <w:t>合同工程的工期约定为（    ）天。</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□43.1.1 本合同工程的勘察工期约定为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本合同工程的设计工期约定为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天。其中 □初步设计工期（包括审查期）为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天；施工图设计工期（包括审查期）为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pPr>
        <w:spacing w:line="360" w:lineRule="auto"/>
        <w:ind w:left="787" w:leftChars="228" w:hanging="240" w:hanging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本合同工程的BIM技术应用工期约定为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天。其中□初步设计阶段工期为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天；施工图设计阶段工期为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天；施工阶段工期为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天；竣工验收、结算阶段工期为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天；□运营维护阶段工期为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本合同工程的设备及工器具购置工期约定为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 本合同工程的施工工期约定为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43.2合同中包括有多个单项工程的，各单项工程的工期约定：</w:t>
      </w:r>
    </w:p>
    <w:p>
      <w:pPr>
        <w:spacing w:line="360" w:lineRule="auto"/>
        <w:ind w:left="787" w:leftChars="228" w:hanging="240" w:hanging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①单项工程（工程名称）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天； </w:t>
      </w:r>
    </w:p>
    <w:p>
      <w:pPr>
        <w:spacing w:line="360" w:lineRule="auto"/>
        <w:ind w:left="787" w:leftChars="228" w:hanging="240" w:hangingChars="100"/>
        <w:rPr>
          <w:color w:val="auto"/>
          <w:highlight w:val="none"/>
          <w:lang w:eastAsia="zh-CN"/>
        </w:rPr>
      </w:pPr>
      <w:r>
        <w:rPr>
          <w:rFonts w:hint="eastAsia" w:ascii="仿宋" w:hAnsi="仿宋" w:eastAsia="仿宋" w:cs="仿宋"/>
          <w:color w:val="auto"/>
          <w:highlight w:val="none"/>
          <w:lang w:eastAsia="zh-CN"/>
        </w:rPr>
        <w:t>②单项工程（工程名称）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天。 </w:t>
      </w:r>
    </w:p>
    <w:p>
      <w:pPr>
        <w:spacing w:line="360" w:lineRule="auto"/>
        <w:ind w:firstLine="600" w:firstLineChars="250"/>
        <w:rPr>
          <w:rFonts w:ascii="仿宋" w:hAnsi="仿宋" w:eastAsia="仿宋" w:cs="仿宋"/>
          <w:color w:val="auto"/>
          <w:highlight w:val="none"/>
          <w:lang w:eastAsia="zh-CN"/>
        </w:rPr>
      </w:pPr>
      <w:r>
        <w:rPr>
          <w:rFonts w:ascii="仿宋" w:hAnsi="仿宋" w:eastAsia="仿宋" w:cs="仿宋"/>
          <w:color w:val="auto"/>
          <w:highlight w:val="none"/>
          <w:lang w:eastAsia="zh-CN"/>
        </w:rPr>
        <w:t>43.2.1</w:t>
      </w:r>
      <w:r>
        <w:rPr>
          <w:rFonts w:hint="eastAsia" w:ascii="仿宋" w:hAnsi="仿宋" w:eastAsia="仿宋" w:cs="仿宋"/>
          <w:color w:val="auto"/>
          <w:highlight w:val="none"/>
          <w:lang w:eastAsia="zh-CN"/>
        </w:rPr>
        <w:t>工期控制与调整</w:t>
      </w:r>
    </w:p>
    <w:p>
      <w:pPr>
        <w:pStyle w:val="40"/>
        <w:rPr>
          <w:color w:val="auto"/>
          <w:highlight w:val="none"/>
          <w:lang w:bidi="en-US"/>
        </w:rPr>
      </w:pPr>
      <w:r>
        <w:rPr>
          <w:rFonts w:hint="eastAsia" w:ascii="仿宋" w:hAnsi="仿宋" w:eastAsia="仿宋" w:cs="仿宋"/>
          <w:color w:val="auto"/>
          <w:highlight w:val="none"/>
          <w:u w:val="single"/>
        </w:rPr>
        <w:t>（</w:t>
      </w:r>
      <w:r>
        <w:rPr>
          <w:rFonts w:ascii="仿宋" w:hAnsi="仿宋" w:eastAsia="仿宋" w:cs="仿宋"/>
          <w:color w:val="auto"/>
          <w:highlight w:val="none"/>
          <w:u w:val="single"/>
        </w:rPr>
        <w:t>1）本项目工期控制分为总工期控制和关键节点工期控制，承包人必须在开工前提交项目总进度计划，经发包人审定后确定总工期和关键节点工期，其中关键节点为项目地下室顶板完成时间及项目结构封顶时间。如无法按计划保证总工期及关键节点工期，均视为工期延误。</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2）工期调整的原则：对于承包人原因造成的工期延误，工期一概不得顺延；对于非承包人原因造成的工期延误，一般不予调整，承包人应当采取合理有效的赶工措施（包括但不限于调整施工工艺）予以消化，而且这些合理有效的赶工措施费已包括在投标总报价中，发包人不予补偿。</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承包人必须按照调整后的总工期控制计划和关键节点工期计划执行。</w:t>
      </w:r>
    </w:p>
    <w:p>
      <w:pPr>
        <w:spacing w:line="360" w:lineRule="auto"/>
        <w:ind w:firstLine="600" w:firstLineChars="250"/>
        <w:rPr>
          <w:rFonts w:ascii="仿宋" w:hAnsi="仿宋" w:eastAsia="仿宋" w:cs="仿宋"/>
          <w:color w:val="auto"/>
          <w:highlight w:val="none"/>
          <w:u w:val="single"/>
          <w:lang w:eastAsia="zh-CN"/>
        </w:rPr>
      </w:pPr>
      <w:r>
        <w:rPr>
          <w:rFonts w:ascii="仿宋" w:hAnsi="仿宋" w:eastAsia="仿宋" w:cs="仿宋"/>
          <w:color w:val="auto"/>
          <w:highlight w:val="none"/>
          <w:u w:val="single"/>
          <w:lang w:eastAsia="zh-CN"/>
        </w:rPr>
        <w:t>43.2.2工期延误的原因及其处理</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1）非承包人原因造成的工期延误，是指有确凿证据证实因下列原因而直接造成承包人的原定工期计划延误：</w:t>
      </w:r>
    </w:p>
    <w:p>
      <w:pPr>
        <w:spacing w:line="360" w:lineRule="auto"/>
        <w:ind w:firstLine="600" w:firstLineChars="250"/>
        <w:rPr>
          <w:rFonts w:ascii="仿宋" w:hAnsi="仿宋" w:eastAsia="仿宋" w:cs="仿宋"/>
          <w:color w:val="auto"/>
          <w:highlight w:val="none"/>
          <w:u w:val="single"/>
          <w:lang w:eastAsia="zh-CN"/>
        </w:rPr>
      </w:pPr>
      <w:r>
        <w:rPr>
          <w:rFonts w:ascii="仿宋" w:hAnsi="仿宋" w:eastAsia="仿宋" w:cs="仿宋"/>
          <w:color w:val="auto"/>
          <w:highlight w:val="none"/>
          <w:u w:val="single"/>
          <w:lang w:eastAsia="zh-CN"/>
        </w:rPr>
        <w:t>1）不可抗力；</w:t>
      </w:r>
    </w:p>
    <w:p>
      <w:pPr>
        <w:spacing w:line="360" w:lineRule="auto"/>
        <w:ind w:firstLine="600" w:firstLineChars="250"/>
        <w:rPr>
          <w:rFonts w:ascii="仿宋" w:hAnsi="仿宋" w:eastAsia="仿宋" w:cs="仿宋"/>
          <w:color w:val="auto"/>
          <w:highlight w:val="none"/>
          <w:u w:val="single"/>
          <w:lang w:eastAsia="zh-CN"/>
        </w:rPr>
      </w:pPr>
      <w:r>
        <w:rPr>
          <w:rFonts w:ascii="仿宋" w:hAnsi="仿宋" w:eastAsia="仿宋" w:cs="仿宋"/>
          <w:color w:val="auto"/>
          <w:highlight w:val="none"/>
          <w:u w:val="single"/>
          <w:lang w:eastAsia="zh-CN"/>
        </w:rPr>
        <w:t>2）发包人指令（非承包人原因）引起的停工。</w:t>
      </w:r>
    </w:p>
    <w:p>
      <w:pPr>
        <w:pStyle w:val="40"/>
        <w:ind w:firstLine="600" w:firstLineChars="250"/>
        <w:rPr>
          <w:rFonts w:ascii="仿宋" w:hAnsi="仿宋" w:eastAsia="仿宋" w:cs="仿宋"/>
          <w:color w:val="auto"/>
          <w:highlight w:val="none"/>
          <w:u w:val="single"/>
        </w:rPr>
      </w:pPr>
      <w:r>
        <w:rPr>
          <w:rFonts w:ascii="仿宋" w:hAnsi="仿宋" w:eastAsia="仿宋" w:cs="仿宋"/>
          <w:color w:val="auto"/>
          <w:highlight w:val="none"/>
          <w:u w:val="single"/>
        </w:rPr>
        <w:t>3）其他：含政府对本工程建设项目作出停建、缓建的决定等。</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上述原因承包人可申请顺延工期，但承包人不得因此向发包人提出任何索赔（包括但不限于人员、机械、设备等窝工、停工费用索赔）。除上述原因之外，其它所有工期延误均视为承包人原因造成的延误。</w:t>
      </w:r>
    </w:p>
    <w:p>
      <w:pPr>
        <w:spacing w:line="360" w:lineRule="auto"/>
        <w:ind w:firstLine="600" w:firstLineChars="250"/>
        <w:rPr>
          <w:rStyle w:val="49"/>
          <w:color w:val="auto"/>
          <w:highlight w:val="none"/>
          <w:lang w:val="zh-CN" w:eastAsia="zh-CN" w:bidi="ar-SA"/>
        </w:rPr>
      </w:pPr>
      <w:r>
        <w:rPr>
          <w:rFonts w:ascii="仿宋" w:hAnsi="仿宋" w:eastAsia="仿宋" w:cs="仿宋"/>
          <w:color w:val="auto"/>
          <w:highlight w:val="none"/>
          <w:u w:val="single"/>
          <w:lang w:eastAsia="zh-CN"/>
        </w:rPr>
        <w:t>43.2.3在工程实施过程中，</w:t>
      </w:r>
      <w:r>
        <w:rPr>
          <w:rFonts w:ascii="仿宋" w:hAnsi="仿宋" w:eastAsia="仿宋" w:cs="仿宋"/>
          <w:color w:val="auto"/>
          <w:highlight w:val="none"/>
          <w:u w:val="single"/>
          <w:lang w:eastAsia="zh-CN"/>
        </w:rPr>
        <w:t>如因43.2.2（1）1）2）3）点等非承包人原因</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以及工程设计有重大变更等</w:t>
      </w:r>
      <w:r>
        <w:rPr>
          <w:rFonts w:ascii="仿宋" w:hAnsi="仿宋" w:eastAsia="仿宋" w:cs="仿宋"/>
          <w:color w:val="auto"/>
          <w:highlight w:val="none"/>
          <w:u w:val="single"/>
          <w:lang w:eastAsia="zh-CN"/>
        </w:rPr>
        <w:t>导致工期确需调整的，承包人应及时向监理单位和发包人提出工期调整及人员、机械设备投入调整的申请报告，经监理单位和发包人批准后方可执行，且承包人不得因此向发包人提出</w:t>
      </w:r>
      <w:r>
        <w:rPr>
          <w:rFonts w:hint="eastAsia" w:ascii="仿宋" w:hAnsi="仿宋" w:eastAsia="仿宋" w:cs="仿宋"/>
          <w:color w:val="auto"/>
          <w:highlight w:val="none"/>
          <w:u w:val="single"/>
          <w:lang w:eastAsia="zh-CN"/>
        </w:rPr>
        <w:t>包括但不限于</w:t>
      </w:r>
      <w:r>
        <w:rPr>
          <w:rFonts w:ascii="仿宋" w:hAnsi="仿宋" w:eastAsia="仿宋" w:cs="仿宋"/>
          <w:color w:val="auto"/>
          <w:highlight w:val="none"/>
          <w:u w:val="single"/>
          <w:lang w:eastAsia="zh-CN"/>
        </w:rPr>
        <w:t>人员、机械设备等窝工费用的索赔。</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43.9 赶工措施费</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□发包人要求的合同工程施工工期小于定额工期的</w:t>
      </w:r>
      <w:r>
        <w:rPr>
          <w:rFonts w:hint="eastAsia" w:ascii="仿宋" w:hAnsi="仿宋" w:eastAsia="仿宋" w:cs="仿宋"/>
          <w:color w:val="auto"/>
          <w:highlight w:val="none"/>
          <w:u w:val="single"/>
          <w:lang w:val="en-US" w:bidi="en-US"/>
        </w:rPr>
        <w:t xml:space="preserve">  /  </w:t>
      </w:r>
      <w:r>
        <w:rPr>
          <w:rFonts w:hint="eastAsia" w:ascii="仿宋" w:hAnsi="仿宋" w:eastAsia="仿宋" w:cs="仿宋"/>
          <w:color w:val="auto"/>
          <w:highlight w:val="none"/>
          <w:lang w:val="en-US" w:bidi="en-US"/>
        </w:rPr>
        <w:t>%时，根据广东省建设工程计价依据规定的赶工措施费率</w:t>
      </w:r>
      <w:r>
        <w:rPr>
          <w:rFonts w:hint="eastAsia" w:ascii="仿宋" w:hAnsi="仿宋" w:eastAsia="仿宋" w:cs="仿宋"/>
          <w:color w:val="auto"/>
          <w:highlight w:val="none"/>
          <w:u w:val="single"/>
          <w:lang w:val="en-US" w:bidi="en-US"/>
        </w:rPr>
        <w:t xml:space="preserve">  /  </w:t>
      </w:r>
      <w:r>
        <w:rPr>
          <w:rFonts w:hint="eastAsia" w:ascii="仿宋" w:hAnsi="仿宋" w:eastAsia="仿宋" w:cs="仿宋"/>
          <w:color w:val="auto"/>
          <w:highlight w:val="none"/>
          <w:lang w:val="en-US" w:bidi="en-US"/>
        </w:rPr>
        <w:t>%计算；</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□发包人要求的合同工程施工工期小于定额工期的</w:t>
      </w:r>
      <w:r>
        <w:rPr>
          <w:rFonts w:hint="eastAsia" w:ascii="仿宋" w:hAnsi="仿宋" w:eastAsia="仿宋" w:cs="仿宋"/>
          <w:color w:val="auto"/>
          <w:highlight w:val="none"/>
          <w:u w:val="single"/>
          <w:lang w:val="en-US" w:bidi="en-US"/>
        </w:rPr>
        <w:t xml:space="preserve">  /  </w:t>
      </w:r>
      <w:r>
        <w:rPr>
          <w:rFonts w:hint="eastAsia" w:ascii="仿宋" w:hAnsi="仿宋" w:eastAsia="仿宋" w:cs="仿宋"/>
          <w:color w:val="auto"/>
          <w:highlight w:val="none"/>
          <w:lang w:val="en-US" w:bidi="en-US"/>
        </w:rPr>
        <w:t>%时，根据广州市住房和城乡建设局发布的赶工措施费规定的赶工措施费率</w:t>
      </w:r>
      <w:r>
        <w:rPr>
          <w:rFonts w:hint="eastAsia" w:ascii="仿宋" w:hAnsi="仿宋" w:eastAsia="仿宋" w:cs="仿宋"/>
          <w:color w:val="auto"/>
          <w:highlight w:val="none"/>
          <w:u w:val="single"/>
          <w:lang w:val="en-US" w:bidi="en-US"/>
        </w:rPr>
        <w:t xml:space="preserve">  /  </w:t>
      </w:r>
      <w:r>
        <w:rPr>
          <w:rFonts w:hint="eastAsia" w:ascii="仿宋" w:hAnsi="仿宋" w:eastAsia="仿宋" w:cs="仿宋"/>
          <w:color w:val="auto"/>
          <w:highlight w:val="none"/>
          <w:lang w:val="en-US" w:bidi="en-US"/>
        </w:rPr>
        <w:t>%计算；</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□发包人要求的合同工程施工工期小于定额工期的</w:t>
      </w:r>
      <w:r>
        <w:rPr>
          <w:rFonts w:hint="eastAsia" w:ascii="仿宋" w:hAnsi="仿宋" w:eastAsia="仿宋" w:cs="仿宋"/>
          <w:color w:val="auto"/>
          <w:highlight w:val="none"/>
          <w:u w:val="single"/>
          <w:lang w:val="en-US" w:bidi="en-US"/>
        </w:rPr>
        <w:t xml:space="preserve">  /  </w:t>
      </w:r>
      <w:r>
        <w:rPr>
          <w:rFonts w:hint="eastAsia" w:ascii="仿宋" w:hAnsi="仿宋" w:eastAsia="仿宋" w:cs="仿宋"/>
          <w:color w:val="auto"/>
          <w:highlight w:val="none"/>
          <w:lang w:val="en-US" w:bidi="en-US"/>
        </w:rPr>
        <w:t>%时，根据广州市建设工程造价管理站发布的赶工措施费规定的赶工措施费率</w:t>
      </w:r>
      <w:r>
        <w:rPr>
          <w:rFonts w:hint="eastAsia" w:ascii="仿宋" w:hAnsi="仿宋" w:eastAsia="仿宋" w:cs="仿宋"/>
          <w:color w:val="auto"/>
          <w:highlight w:val="none"/>
          <w:u w:val="single"/>
          <w:lang w:val="en-US" w:bidi="en-US"/>
        </w:rPr>
        <w:t xml:space="preserve">  /  </w:t>
      </w:r>
      <w:r>
        <w:rPr>
          <w:rFonts w:hint="eastAsia" w:ascii="仿宋" w:hAnsi="仿宋" w:eastAsia="仿宋" w:cs="仿宋"/>
          <w:color w:val="auto"/>
          <w:highlight w:val="none"/>
          <w:lang w:val="en-US" w:bidi="en-US"/>
        </w:rPr>
        <w:t>%计算；</w:t>
      </w:r>
    </w:p>
    <w:p>
      <w:pPr>
        <w:pStyle w:val="40"/>
        <w:rPr>
          <w:rFonts w:ascii="仿宋" w:hAnsi="仿宋" w:eastAsia="仿宋" w:cs="仿宋"/>
          <w:color w:val="auto"/>
          <w:highlight w:val="none"/>
          <w:lang w:val="en-US" w:bidi="en-US"/>
        </w:rPr>
      </w:pPr>
      <w:r>
        <w:rPr>
          <w:rFonts w:hint="eastAsia" w:ascii="仿宋" w:hAnsi="仿宋" w:eastAsia="仿宋" w:cs="仿宋"/>
          <w:color w:val="auto"/>
          <w:highlight w:val="none"/>
          <w:lang w:val="en-US" w:bidi="en-US"/>
        </w:rPr>
        <w:t>□发包人要求的合同工程施工工期小于定额工期的</w:t>
      </w:r>
      <w:r>
        <w:rPr>
          <w:rFonts w:hint="eastAsia" w:ascii="仿宋" w:hAnsi="仿宋" w:eastAsia="仿宋" w:cs="仿宋"/>
          <w:color w:val="auto"/>
          <w:highlight w:val="none"/>
          <w:u w:val="single"/>
          <w:lang w:val="en-US" w:bidi="en-US"/>
        </w:rPr>
        <w:t xml:space="preserve">  /  </w:t>
      </w:r>
      <w:r>
        <w:rPr>
          <w:rFonts w:hint="eastAsia" w:ascii="仿宋" w:hAnsi="仿宋" w:eastAsia="仿宋" w:cs="仿宋"/>
          <w:color w:val="auto"/>
          <w:highlight w:val="none"/>
          <w:lang w:val="en-US" w:bidi="en-US"/>
        </w:rPr>
        <w:t>%时，发包人、承包人约定赶工措施费率按</w:t>
      </w:r>
      <w:r>
        <w:rPr>
          <w:rFonts w:hint="eastAsia" w:ascii="仿宋" w:hAnsi="仿宋" w:eastAsia="仿宋" w:cs="仿宋"/>
          <w:color w:val="auto"/>
          <w:highlight w:val="none"/>
          <w:u w:val="single"/>
          <w:lang w:val="en-US" w:bidi="en-US"/>
        </w:rPr>
        <w:t xml:space="preserve">  /  </w:t>
      </w:r>
      <w:r>
        <w:rPr>
          <w:rFonts w:hint="eastAsia" w:ascii="仿宋" w:hAnsi="仿宋" w:eastAsia="仿宋" w:cs="仿宋"/>
          <w:color w:val="auto"/>
          <w:highlight w:val="none"/>
          <w:lang w:val="en-US" w:bidi="en-US"/>
        </w:rPr>
        <w:t>%计算。</w:t>
      </w:r>
    </w:p>
    <w:p>
      <w:pPr>
        <w:pStyle w:val="4"/>
        <w:tabs>
          <w:tab w:val="left" w:pos="420"/>
        </w:tabs>
        <w:spacing w:line="360" w:lineRule="auto"/>
        <w:ind w:firstLine="105"/>
        <w:rPr>
          <w:i w:val="0"/>
          <w:iCs w:val="0"/>
          <w:color w:val="auto"/>
          <w:highlight w:val="none"/>
        </w:rPr>
      </w:pPr>
      <w:bookmarkStart w:id="797" w:name="_Toc21937"/>
      <w:bookmarkStart w:id="798" w:name="_Toc30586"/>
      <w:bookmarkStart w:id="799" w:name="_Toc47694416"/>
      <w:r>
        <w:rPr>
          <w:rFonts w:hint="eastAsia" w:ascii="仿宋" w:hAnsi="仿宋" w:eastAsia="仿宋" w:cs="仿宋"/>
          <w:i w:val="0"/>
          <w:iCs w:val="0"/>
          <w:color w:val="auto"/>
          <w:sz w:val="24"/>
          <w:szCs w:val="24"/>
          <w:highlight w:val="none"/>
        </w:rPr>
        <w:t>45.  竣工日期</w:t>
      </w:r>
      <w:bookmarkEnd w:id="797"/>
      <w:bookmarkEnd w:id="798"/>
      <w:bookmarkEnd w:id="799"/>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45.1 约定计划竣工日期</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计划竣工日期：</w:t>
      </w:r>
      <w:r>
        <w:rPr>
          <w:rFonts w:hint="eastAsia" w:ascii="仿宋" w:hAnsi="仿宋" w:eastAsia="仿宋" w:cs="仿宋"/>
          <w:color w:val="auto"/>
          <w:highlight w:val="none"/>
          <w:u w:val="single"/>
          <w:lang w:eastAsia="zh-CN"/>
        </w:rPr>
        <w:t>按投标总工期。</w:t>
      </w:r>
    </w:p>
    <w:p>
      <w:pPr>
        <w:pStyle w:val="4"/>
        <w:tabs>
          <w:tab w:val="left" w:pos="420"/>
        </w:tabs>
        <w:spacing w:line="360" w:lineRule="auto"/>
        <w:ind w:firstLine="105"/>
        <w:rPr>
          <w:i w:val="0"/>
          <w:iCs w:val="0"/>
          <w:color w:val="auto"/>
          <w:highlight w:val="none"/>
        </w:rPr>
      </w:pPr>
      <w:bookmarkStart w:id="800" w:name="_Toc5274"/>
      <w:bookmarkStart w:id="801" w:name="_Toc47694417"/>
      <w:bookmarkStart w:id="802" w:name="_Toc12746"/>
      <w:r>
        <w:rPr>
          <w:rFonts w:hint="eastAsia" w:ascii="仿宋" w:hAnsi="仿宋" w:eastAsia="仿宋" w:cs="仿宋"/>
          <w:i w:val="0"/>
          <w:iCs w:val="0"/>
          <w:color w:val="auto"/>
          <w:sz w:val="24"/>
          <w:szCs w:val="24"/>
          <w:highlight w:val="none"/>
        </w:rPr>
        <w:t>★49.  质量标准</w:t>
      </w:r>
      <w:bookmarkEnd w:id="800"/>
      <w:bookmarkEnd w:id="801"/>
      <w:bookmarkEnd w:id="802"/>
    </w:p>
    <w:p>
      <w:pPr>
        <w:spacing w:line="360" w:lineRule="auto"/>
        <w:ind w:left="240" w:left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★49</w:t>
      </w:r>
      <w:r>
        <w:rPr>
          <w:rFonts w:hint="eastAsia" w:ascii="仿宋" w:hAnsi="仿宋" w:eastAsia="仿宋" w:cs="仿宋"/>
          <w:color w:val="auto"/>
          <w:highlight w:val="none"/>
          <w:lang w:eastAsia="zh-CN"/>
        </w:rPr>
        <w:t>.1 约定工作质量或工程质量标准</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1、勘察工作质量标准与成果验收标准：</w:t>
      </w:r>
      <w:r>
        <w:rPr>
          <w:rFonts w:hint="eastAsia" w:ascii="仿宋" w:hAnsi="仿宋" w:eastAsia="仿宋" w:cs="仿宋"/>
          <w:color w:val="auto"/>
          <w:highlight w:val="none"/>
          <w:u w:val="single"/>
          <w:lang w:eastAsia="zh-CN"/>
        </w:rPr>
        <w:t>符合建设工程勘察设计的技术规范及本项目勘察设计任务书的要求。</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2、初步设计工作质量标准与成果验收标准：</w:t>
      </w:r>
      <w:r>
        <w:rPr>
          <w:rFonts w:hint="eastAsia" w:ascii="仿宋" w:hAnsi="仿宋" w:eastAsia="仿宋" w:cs="仿宋"/>
          <w:color w:val="auto"/>
          <w:highlight w:val="none"/>
          <w:u w:val="single"/>
          <w:lang w:eastAsia="zh-CN"/>
        </w:rPr>
        <w:t>符合建设工程勘察设计的技术规范及本项目勘察设计任务书的要求。</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3、施工图设计工作质量标准与成果验收标准：符合建设工程勘察设计的技术规范及本项目勘察设计任务书的要求。</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4、BIM技术应用工作质量标准与成果验收标准：符合建设工程勘察设计的技术规范及本项目勘察设计任务书的要求。</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□5、设备及工器具购置工作质量标准与验收标准：</w:t>
      </w:r>
      <w:r>
        <w:rPr>
          <w:rFonts w:hint="eastAsia" w:ascii="仿宋" w:hAnsi="仿宋" w:eastAsia="仿宋" w:cs="仿宋"/>
          <w:color w:val="auto"/>
          <w:highlight w:val="none"/>
          <w:u w:val="single"/>
          <w:lang w:eastAsia="zh-CN"/>
        </w:rPr>
        <w:t xml:space="preserve"> / </w:t>
      </w:r>
    </w:p>
    <w:p>
      <w:pPr>
        <w:spacing w:line="360" w:lineRule="auto"/>
        <w:ind w:firstLine="1200" w:firstLineChars="500"/>
        <w:rPr>
          <w:rFonts w:ascii="仿宋" w:hAnsi="仿宋" w:eastAsia="仿宋" w:cs="仿宋"/>
          <w:color w:val="auto"/>
          <w:highlight w:val="none"/>
          <w:lang w:eastAsia="zh-CN"/>
        </w:rPr>
      </w:pP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、施工质量标准与验收标准</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（a）工程质量标准：</w:t>
      </w:r>
      <w:r>
        <w:rPr>
          <w:rFonts w:hint="eastAsia" w:ascii="仿宋" w:hAnsi="仿宋" w:eastAsia="仿宋" w:cs="仿宋"/>
          <w:color w:val="auto"/>
          <w:highlight w:val="none"/>
          <w:u w:val="single"/>
          <w:lang w:eastAsia="zh-CN"/>
        </w:rPr>
        <w:t xml:space="preserve"> 按协议书第三条约定。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（b）特殊质量标准和要求：</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（c）工程质量验收标准：</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（1）《建筑工程施工质量验收统一标准》（GB50300-2013）及相应配套的各专业验收规范等。</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（2）《城镇道路工程施工与质量验收规范》CJJ1-2008、《市政桥梁工程质量检验评定标准》（CJJ2-2008）、《给水排水管道工程施工及验收规范》（GB 50268-2008）及相应配套的各专业验收规范等。</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（3）《园林绿化工程施工及验收规范》（CJJ82-2012）、《城市绿化工程施工及验收规范》（DB440100/T114-2007）及相应配套的各专业验收规范等。</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□（d）装配式建筑质量验收标准： </w:t>
      </w:r>
    </w:p>
    <w:p>
      <w:pPr>
        <w:spacing w:line="360" w:lineRule="auto"/>
        <w:ind w:firstLine="960" w:firstLineChars="400"/>
        <w:rPr>
          <w:rFonts w:ascii="仿宋" w:hAnsi="仿宋" w:eastAsia="仿宋" w:cs="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 xml:space="preserve">□《装配式住宅建筑检测技术标准》（JGJ/T485－2019） </w:t>
      </w:r>
    </w:p>
    <w:p>
      <w:pPr>
        <w:spacing w:line="360" w:lineRule="auto"/>
        <w:ind w:firstLine="960" w:firstLineChars="400"/>
        <w:rPr>
          <w:rFonts w:ascii="仿宋" w:hAnsi="仿宋" w:eastAsia="仿宋" w:cs="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 xml:space="preserve">□《装配式混凝土建筑工程施工质量验收规程》（T/CCIA/T0008-2019） </w:t>
      </w:r>
    </w:p>
    <w:p>
      <w:pPr>
        <w:spacing w:line="360" w:lineRule="auto"/>
        <w:ind w:firstLine="960" w:firstLineChars="400"/>
        <w:rPr>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□其它：</w:t>
      </w:r>
    </w:p>
    <w:p>
      <w:pPr>
        <w:spacing w:line="360" w:lineRule="auto"/>
        <w:ind w:firstLine="960" w:firstLineChars="400"/>
        <w:rPr>
          <w:rFonts w:ascii="仿宋" w:hAnsi="仿宋" w:eastAsia="仿宋" w:cs="仿宋"/>
          <w:color w:val="auto"/>
          <w:highlight w:val="none"/>
          <w:u w:val="single"/>
          <w:lang w:eastAsia="zh-CN"/>
        </w:rPr>
      </w:pPr>
      <w:bookmarkStart w:id="803" w:name="_Toc47694418"/>
      <w:r>
        <w:rPr>
          <w:rFonts w:hint="eastAsia" w:ascii="仿宋" w:hAnsi="仿宋" w:eastAsia="仿宋" w:cs="仿宋"/>
          <w:color w:val="auto"/>
          <w:highlight w:val="none"/>
          <w:lang w:eastAsia="zh-CN"/>
        </w:rPr>
        <w:t>□7、其它专题标准和要求：</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ind w:firstLine="105"/>
        <w:rPr>
          <w:rFonts w:ascii="仿宋" w:hAnsi="仿宋" w:eastAsia="仿宋" w:cs="仿宋"/>
          <w:i w:val="0"/>
          <w:iCs w:val="0"/>
          <w:color w:val="auto"/>
          <w:sz w:val="24"/>
          <w:szCs w:val="24"/>
          <w:highlight w:val="none"/>
        </w:rPr>
      </w:pPr>
      <w:bookmarkStart w:id="804" w:name="_Toc13408"/>
      <w:bookmarkStart w:id="805" w:name="_Toc5417"/>
      <w:r>
        <w:rPr>
          <w:rFonts w:hint="eastAsia" w:ascii="仿宋" w:hAnsi="仿宋" w:eastAsia="仿宋" w:cs="仿宋"/>
          <w:i w:val="0"/>
          <w:iCs w:val="0"/>
          <w:color w:val="auto"/>
          <w:sz w:val="24"/>
          <w:szCs w:val="24"/>
          <w:highlight w:val="none"/>
        </w:rPr>
        <w:t>★50. 工程质量创优</w:t>
      </w:r>
      <w:bookmarkEnd w:id="804"/>
      <w:bookmarkEnd w:id="805"/>
      <w:r>
        <w:rPr>
          <w:rFonts w:hint="eastAsia" w:ascii="仿宋" w:hAnsi="仿宋" w:eastAsia="仿宋" w:cs="仿宋"/>
          <w:i w:val="0"/>
          <w:iCs w:val="0"/>
          <w:color w:val="auto"/>
          <w:sz w:val="24"/>
          <w:szCs w:val="24"/>
          <w:highlight w:val="none"/>
        </w:rPr>
        <w:t xml:space="preserve"> </w:t>
      </w:r>
    </w:p>
    <w:p>
      <w:pPr>
        <w:pStyle w:val="40"/>
        <w:rPr>
          <w:rFonts w:ascii="仿宋" w:hAnsi="仿宋" w:eastAsia="仿宋" w:cs="仿宋"/>
          <w:color w:val="auto"/>
          <w:highlight w:val="none"/>
        </w:rPr>
      </w:pPr>
      <w:r>
        <w:rPr>
          <w:rFonts w:hint="eastAsia" w:ascii="仿宋" w:hAnsi="仿宋" w:eastAsia="仿宋" w:cs="仿宋"/>
          <w:color w:val="auto"/>
          <w:highlight w:val="none"/>
        </w:rPr>
        <w:t xml:space="preserve">50.1发包人鼓励承包人实施工程质量创优，本工程的质量创优目标及评价标准为： </w:t>
      </w:r>
    </w:p>
    <w:p>
      <w:pPr>
        <w:pStyle w:val="40"/>
        <w:rPr>
          <w:rFonts w:ascii="仿宋" w:hAnsi="仿宋" w:eastAsia="仿宋" w:cs="仿宋"/>
          <w:color w:val="auto"/>
          <w:highlight w:val="none"/>
        </w:rPr>
      </w:pPr>
      <w:r>
        <w:rPr>
          <w:rFonts w:hint="eastAsia" w:ascii="仿宋" w:hAnsi="仿宋" w:eastAsia="仿宋" w:cs="仿宋"/>
          <w:color w:val="auto"/>
          <w:highlight w:val="none"/>
        </w:rPr>
        <w:t>□ 市级优秀勘察设计奖（□一等奖 □二等奖 □三等奖 □其它：</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rPr>
        <w:t>），其评价标准：</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rPr>
        <w:t xml:space="preserve">； </w:t>
      </w:r>
    </w:p>
    <w:p>
      <w:pPr>
        <w:pStyle w:val="40"/>
        <w:rPr>
          <w:rFonts w:ascii="仿宋" w:hAnsi="仿宋" w:eastAsia="仿宋" w:cs="仿宋"/>
          <w:color w:val="auto"/>
          <w:highlight w:val="none"/>
        </w:rPr>
      </w:pPr>
      <w:r>
        <w:rPr>
          <w:rFonts w:hint="eastAsia" w:ascii="仿宋" w:hAnsi="仿宋" w:eastAsia="仿宋" w:cs="仿宋"/>
          <w:color w:val="auto"/>
          <w:highlight w:val="none"/>
        </w:rPr>
        <w:t>□ 省部级优秀勘察设计奖（□一等奖 □二等奖 □三等奖 □其它：</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rPr>
        <w:t>），其评价标准：</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rPr>
        <w:t xml:space="preserve">； </w:t>
      </w:r>
    </w:p>
    <w:p>
      <w:pPr>
        <w:pStyle w:val="40"/>
        <w:rPr>
          <w:rFonts w:ascii="仿宋" w:hAnsi="仿宋" w:eastAsia="仿宋" w:cs="仿宋"/>
          <w:color w:val="auto"/>
          <w:highlight w:val="none"/>
        </w:rPr>
      </w:pPr>
      <w:r>
        <w:rPr>
          <w:rFonts w:hint="eastAsia" w:ascii="仿宋" w:hAnsi="仿宋" w:eastAsia="仿宋" w:cs="仿宋"/>
          <w:color w:val="auto"/>
          <w:highlight w:val="none"/>
        </w:rPr>
        <w:t>□ 国家级优秀勘察设计奖（□金奖 □银奖 □其它：</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rPr>
        <w:t>），其评价标准：</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rPr>
        <w:t>；</w:t>
      </w:r>
    </w:p>
    <w:p>
      <w:pPr>
        <w:pStyle w:val="40"/>
        <w:rPr>
          <w:rFonts w:ascii="仿宋" w:hAnsi="仿宋" w:eastAsia="仿宋" w:cs="仿宋"/>
          <w:color w:val="auto"/>
          <w:highlight w:val="none"/>
        </w:rPr>
      </w:pPr>
      <w:r>
        <w:rPr>
          <w:rFonts w:hint="eastAsia" w:ascii="仿宋" w:hAnsi="仿宋" w:eastAsia="仿宋" w:cs="仿宋"/>
          <w:color w:val="auto"/>
          <w:highlight w:val="none"/>
        </w:rPr>
        <w:t>□ 市级工程优质奖，其评价标准：</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rPr>
        <w:t>；</w:t>
      </w:r>
    </w:p>
    <w:p>
      <w:pPr>
        <w:pStyle w:val="40"/>
        <w:rPr>
          <w:rFonts w:ascii="仿宋" w:hAnsi="仿宋" w:eastAsia="仿宋" w:cs="仿宋"/>
          <w:color w:val="auto"/>
          <w:highlight w:val="none"/>
        </w:rPr>
      </w:pPr>
      <w:r>
        <w:rPr>
          <w:rFonts w:hint="eastAsia" w:ascii="仿宋" w:hAnsi="仿宋" w:eastAsia="仿宋" w:cs="仿宋"/>
          <w:color w:val="auto"/>
          <w:highlight w:val="none"/>
        </w:rPr>
        <w:t>□ 省级工程优质奖，其评价标准：</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rPr>
        <w:t>；</w:t>
      </w:r>
    </w:p>
    <w:p>
      <w:pPr>
        <w:pStyle w:val="40"/>
        <w:rPr>
          <w:rFonts w:ascii="仿宋" w:hAnsi="仿宋" w:eastAsia="仿宋" w:cs="仿宋"/>
          <w:color w:val="auto"/>
          <w:highlight w:val="none"/>
        </w:rPr>
      </w:pPr>
      <w:r>
        <w:rPr>
          <w:rFonts w:hint="eastAsia" w:ascii="仿宋" w:hAnsi="仿宋" w:eastAsia="仿宋" w:cs="仿宋"/>
          <w:color w:val="auto"/>
          <w:highlight w:val="none"/>
        </w:rPr>
        <w:t>□ 国家级工程优质奖，其评价标准：</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rPr>
        <w:t>；</w:t>
      </w:r>
    </w:p>
    <w:p>
      <w:pPr>
        <w:pStyle w:val="40"/>
        <w:rPr>
          <w:rFonts w:ascii="仿宋" w:hAnsi="仿宋" w:eastAsia="仿宋" w:cs="仿宋"/>
          <w:color w:val="auto"/>
          <w:highlight w:val="none"/>
        </w:rPr>
      </w:pPr>
      <w:r>
        <w:rPr>
          <w:rFonts w:hint="eastAsia" w:ascii="仿宋" w:hAnsi="仿宋" w:eastAsia="仿宋" w:cs="仿宋"/>
          <w:color w:val="auto"/>
          <w:highlight w:val="none"/>
        </w:rPr>
        <w:t>□ 精品工程，其评价标准：</w:t>
      </w:r>
      <w:r>
        <w:rPr>
          <w:rFonts w:hint="eastAsia" w:ascii="仿宋" w:hAnsi="仿宋" w:eastAsia="仿宋" w:cs="仿宋"/>
          <w:color w:val="auto"/>
          <w:highlight w:val="none"/>
          <w:u w:val="single"/>
          <w:lang w:val="en-US"/>
        </w:rPr>
        <w:t xml:space="preserve">              </w:t>
      </w:r>
      <w:r>
        <w:rPr>
          <w:rFonts w:hint="eastAsia" w:ascii="仿宋" w:hAnsi="仿宋" w:eastAsia="仿宋" w:cs="仿宋"/>
          <w:color w:val="auto"/>
          <w:highlight w:val="none"/>
        </w:rPr>
        <w:t>；</w:t>
      </w:r>
    </w:p>
    <w:p>
      <w:pPr>
        <w:pStyle w:val="40"/>
        <w:rPr>
          <w:rFonts w:ascii="仿宋" w:hAnsi="仿宋" w:eastAsia="仿宋" w:cs="仿宋"/>
          <w:color w:val="auto"/>
          <w:highlight w:val="none"/>
        </w:rPr>
      </w:pPr>
      <w:r>
        <w:rPr>
          <w:rFonts w:hint="eastAsia" w:ascii="仿宋" w:hAnsi="仿宋" w:eastAsia="仿宋" w:cs="仿宋"/>
          <w:color w:val="auto"/>
          <w:highlight w:val="none"/>
        </w:rPr>
        <w:t>☑ 其它：</w:t>
      </w:r>
      <w:r>
        <w:rPr>
          <w:rFonts w:hint="eastAsia" w:ascii="仿宋" w:hAnsi="仿宋" w:eastAsia="仿宋" w:cs="仿宋"/>
          <w:color w:val="auto"/>
          <w:highlight w:val="none"/>
          <w:u w:val="single"/>
          <w:lang w:val="en-US"/>
        </w:rPr>
        <w:t xml:space="preserve"> </w:t>
      </w:r>
      <w:r>
        <w:rPr>
          <w:rFonts w:hint="eastAsia" w:ascii="仿宋" w:hAnsi="仿宋" w:eastAsia="仿宋"/>
          <w:color w:val="auto"/>
          <w:highlight w:val="none"/>
          <w:u w:val="single"/>
        </w:rPr>
        <w:t>2项省级或以上的课题研究、</w:t>
      </w:r>
      <w:r>
        <w:rPr>
          <w:rFonts w:hint="eastAsia" w:ascii="仿宋" w:hAnsi="仿宋" w:eastAsia="仿宋" w:cs="仿宋"/>
          <w:color w:val="auto"/>
          <w:highlight w:val="none"/>
          <w:u w:val="single"/>
          <w:lang w:val="en-US"/>
        </w:rPr>
        <w:t>争创</w:t>
      </w:r>
      <w:r>
        <w:rPr>
          <w:rFonts w:hint="eastAsia" w:ascii="仿宋" w:hAnsi="仿宋" w:eastAsia="仿宋" w:cs="仿宋"/>
          <w:color w:val="auto"/>
          <w:highlight w:val="none"/>
          <w:u w:val="single"/>
        </w:rPr>
        <w:t>省级工程优质奖、</w:t>
      </w:r>
      <w:r>
        <w:rPr>
          <w:rFonts w:hint="eastAsia" w:ascii="仿宋" w:hAnsi="仿宋" w:eastAsia="仿宋"/>
          <w:color w:val="auto"/>
          <w:highlight w:val="none"/>
          <w:u w:val="single"/>
          <w:lang w:val="en-US"/>
        </w:rPr>
        <w:t>争创</w:t>
      </w:r>
      <w:r>
        <w:rPr>
          <w:rFonts w:hint="eastAsia" w:ascii="仿宋" w:hAnsi="仿宋" w:eastAsia="仿宋"/>
          <w:color w:val="auto"/>
          <w:highlight w:val="none"/>
          <w:u w:val="single"/>
        </w:rPr>
        <w:t>省级或以上科学技术进步奖</w:t>
      </w:r>
      <w:r>
        <w:rPr>
          <w:rFonts w:hint="eastAsia" w:ascii="仿宋" w:hAnsi="仿宋" w:eastAsia="仿宋" w:cs="仿宋"/>
          <w:color w:val="auto"/>
          <w:highlight w:val="none"/>
        </w:rPr>
        <w:t>，其评价标准：</w:t>
      </w:r>
      <w:r>
        <w:rPr>
          <w:rFonts w:hint="eastAsia" w:ascii="仿宋" w:hAnsi="仿宋" w:eastAsia="仿宋" w:cs="仿宋"/>
          <w:color w:val="auto"/>
          <w:highlight w:val="none"/>
          <w:u w:val="single"/>
          <w:lang w:val="en-US"/>
        </w:rPr>
        <w:t xml:space="preserve"> 按省建设行政主管部门及相关主管部门评优的相关规定 </w:t>
      </w:r>
    </w:p>
    <w:bookmarkEnd w:id="803"/>
    <w:p>
      <w:pPr>
        <w:pStyle w:val="4"/>
        <w:tabs>
          <w:tab w:val="left" w:pos="420"/>
        </w:tabs>
        <w:spacing w:line="360" w:lineRule="auto"/>
        <w:rPr>
          <w:rFonts w:ascii="仿宋" w:hAnsi="仿宋" w:eastAsia="仿宋"/>
          <w:i w:val="0"/>
          <w:iCs w:val="0"/>
          <w:color w:val="auto"/>
          <w:sz w:val="24"/>
          <w:szCs w:val="24"/>
          <w:highlight w:val="none"/>
        </w:rPr>
      </w:pPr>
      <w:bookmarkStart w:id="806" w:name="_Toc4661"/>
      <w:bookmarkStart w:id="807" w:name="_Toc18640"/>
      <w:bookmarkStart w:id="808" w:name="_Toc47694419"/>
      <w:r>
        <w:rPr>
          <w:rFonts w:hint="eastAsia" w:ascii="仿宋" w:hAnsi="仿宋" w:eastAsia="仿宋" w:cs="仿宋"/>
          <w:i w:val="0"/>
          <w:iCs w:val="0"/>
          <w:color w:val="auto"/>
          <w:sz w:val="24"/>
          <w:szCs w:val="24"/>
          <w:highlight w:val="none"/>
        </w:rPr>
        <w:t>★52.  绿色施工安全防护</w:t>
      </w:r>
      <w:bookmarkEnd w:id="806"/>
      <w:bookmarkEnd w:id="807"/>
      <w:bookmarkEnd w:id="808"/>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52.1绿色施工安全防护的要求</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按通用条款的规定。</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其中：施工扬尘污染防治措施：</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用工实名管理：</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52.2用工实名制、工人工资支付分账管理</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按通用条款的规定以及以下文件规定：</w:t>
      </w:r>
    </w:p>
    <w:p>
      <w:pPr>
        <w:spacing w:line="360" w:lineRule="auto"/>
        <w:ind w:left="960" w:leftChars="4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①《保障农民工工资支付条例》（国务院令第 724 号）</w:t>
      </w:r>
    </w:p>
    <w:p>
      <w:pPr>
        <w:spacing w:line="360" w:lineRule="auto"/>
        <w:ind w:left="960" w:leftChars="4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 《广东省住房和城乡建设厅关于印发房屋建筑和市政基础设施工程用工实名管理暂行办法的通知》（粤建规范〔2018〕1 号）</w:t>
      </w:r>
    </w:p>
    <w:p>
      <w:pPr>
        <w:spacing w:line="360" w:lineRule="auto"/>
        <w:ind w:left="960" w:leftChars="4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③《广州市住房和城乡建设局 广州市人力资源和社会保障局 广州市交通运输局广州市水务局 广州市林业和园林局 中国人民银行广州分行营业管理部关于印发广州市建设领域工人工资支付分账管理实施细则的通知》（穗建规字〔20</w:t>
      </w:r>
      <w:r>
        <w:rPr>
          <w:rFonts w:ascii="仿宋" w:hAnsi="仿宋" w:eastAsia="仿宋" w:cs="仿宋"/>
          <w:color w:val="auto"/>
          <w:highlight w:val="none"/>
          <w:lang w:eastAsia="zh-CN"/>
        </w:rPr>
        <w:t>20</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37</w:t>
      </w:r>
      <w:r>
        <w:rPr>
          <w:rFonts w:hint="eastAsia" w:ascii="仿宋" w:hAnsi="仿宋" w:eastAsia="仿宋" w:cs="仿宋"/>
          <w:color w:val="auto"/>
          <w:highlight w:val="none"/>
          <w:lang w:eastAsia="zh-CN"/>
        </w:rPr>
        <w:t xml:space="preserve"> 号）</w:t>
      </w:r>
    </w:p>
    <w:p>
      <w:pPr>
        <w:spacing w:line="360" w:lineRule="auto"/>
        <w:ind w:left="960" w:leftChars="4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④《广州市住房和城乡建设局关于印发广州市建筑施工实名制管理办法的通知》（穗建规字〔20</w:t>
      </w:r>
      <w:r>
        <w:rPr>
          <w:rFonts w:ascii="仿宋" w:hAnsi="仿宋" w:eastAsia="仿宋" w:cs="仿宋"/>
          <w:color w:val="auto"/>
          <w:highlight w:val="none"/>
          <w:lang w:eastAsia="zh-CN"/>
        </w:rPr>
        <w:t>20</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18</w:t>
      </w:r>
      <w:r>
        <w:rPr>
          <w:rFonts w:hint="eastAsia" w:ascii="仿宋" w:hAnsi="仿宋" w:eastAsia="仿宋" w:cs="仿宋"/>
          <w:color w:val="auto"/>
          <w:highlight w:val="none"/>
          <w:lang w:eastAsia="zh-CN"/>
        </w:rPr>
        <w:t xml:space="preserve"> 号）</w:t>
      </w:r>
    </w:p>
    <w:p>
      <w:pPr>
        <w:spacing w:line="360" w:lineRule="auto"/>
        <w:ind w:left="960" w:leftChars="4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⑤其他文件：</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相关规定如有更新按最新执行。 </w:t>
      </w:r>
      <w:r>
        <w:rPr>
          <w:rFonts w:ascii="仿宋" w:hAnsi="仿宋" w:eastAsia="仿宋" w:cs="仿宋"/>
          <w:color w:val="auto"/>
          <w:highlight w:val="none"/>
          <w:u w:val="single"/>
          <w:lang w:eastAsia="zh-CN"/>
        </w:rPr>
        <w:t xml:space="preserve"> </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52.6 治安管理</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按通用条款的规定。</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52.8 发包人鼓励创建文明工地，创文明工地目标：</w:t>
      </w:r>
    </w:p>
    <w:p>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市级安全文明绿色施工样板工地；</w:t>
      </w:r>
    </w:p>
    <w:p>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省级安全文明示范工地；</w:t>
      </w:r>
    </w:p>
    <w:p>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国家级安全文明工地；</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广州市建筑业绿色施工示范工程；</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广东省建筑业绿色施工示范工程；</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全国建筑业绿色施工示范工程；</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争创省级安全文明示范工地 </w:t>
      </w:r>
      <w:r>
        <w:rPr>
          <w:rFonts w:hint="eastAsia"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52.9 特别安全生产事项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危险性较大分部分项专项工程施工技术措施标准、要求：</w:t>
      </w:r>
      <w:r>
        <w:rPr>
          <w:rFonts w:hint="eastAsia" w:ascii="仿宋" w:hAnsi="仿宋" w:eastAsia="仿宋" w:cs="仿宋"/>
          <w:color w:val="auto"/>
          <w:highlight w:val="none"/>
          <w:u w:val="single"/>
          <w:lang w:eastAsia="zh-CN"/>
        </w:rPr>
        <w:t>按《危险性较大的分部分项工程安全管理规定》执行</w:t>
      </w:r>
      <w:r>
        <w:rPr>
          <w:rFonts w:hint="eastAsia"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危险性较大分部分项专项工程施工技术措施费：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pPr>
        <w:pStyle w:val="4"/>
        <w:tabs>
          <w:tab w:val="left" w:pos="420"/>
        </w:tabs>
        <w:spacing w:line="360" w:lineRule="auto"/>
        <w:ind w:firstLine="105"/>
        <w:rPr>
          <w:i w:val="0"/>
          <w:iCs w:val="0"/>
          <w:color w:val="auto"/>
          <w:highlight w:val="none"/>
        </w:rPr>
      </w:pPr>
      <w:bookmarkStart w:id="809" w:name="_Toc25768"/>
      <w:bookmarkStart w:id="810" w:name="_Toc29123"/>
      <w:bookmarkStart w:id="811" w:name="_Toc47694420"/>
      <w:r>
        <w:rPr>
          <w:rFonts w:hint="eastAsia" w:ascii="仿宋" w:hAnsi="仿宋" w:eastAsia="仿宋" w:cs="仿宋"/>
          <w:i w:val="0"/>
          <w:iCs w:val="0"/>
          <w:color w:val="auto"/>
          <w:sz w:val="24"/>
          <w:szCs w:val="24"/>
          <w:highlight w:val="none"/>
        </w:rPr>
        <w:t>53.  测量放线</w:t>
      </w:r>
      <w:bookmarkEnd w:id="809"/>
      <w:bookmarkEnd w:id="810"/>
      <w:bookmarkEnd w:id="811"/>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53.1 测设施工控制网</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承包人提交施工控制网资料的时间：</w:t>
      </w:r>
      <w:r>
        <w:rPr>
          <w:rFonts w:hint="eastAsia" w:ascii="仿宋" w:hAnsi="仿宋" w:eastAsia="仿宋" w:cs="仿宋"/>
          <w:color w:val="auto"/>
          <w:highlight w:val="none"/>
          <w:u w:val="single"/>
          <w:lang w:eastAsia="zh-CN"/>
        </w:rPr>
        <w:t xml:space="preserve"> 按通用条款的规定。</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53.4 施工控制网（点）管理与使用</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测量放线误差的约定：</w:t>
      </w:r>
      <w:r>
        <w:rPr>
          <w:rFonts w:hint="eastAsia" w:ascii="仿宋" w:hAnsi="仿宋" w:eastAsia="仿宋" w:cs="仿宋"/>
          <w:color w:val="auto"/>
          <w:highlight w:val="none"/>
          <w:u w:val="single"/>
          <w:lang w:eastAsia="zh-CN"/>
        </w:rPr>
        <w:t xml:space="preserve"> 按通用条款的规定。</w:t>
      </w:r>
    </w:p>
    <w:p>
      <w:pPr>
        <w:pStyle w:val="4"/>
        <w:tabs>
          <w:tab w:val="left" w:pos="420"/>
        </w:tabs>
        <w:spacing w:line="360" w:lineRule="auto"/>
        <w:ind w:firstLine="105"/>
        <w:rPr>
          <w:i w:val="0"/>
          <w:iCs w:val="0"/>
          <w:color w:val="auto"/>
          <w:highlight w:val="none"/>
        </w:rPr>
      </w:pPr>
      <w:bookmarkStart w:id="812" w:name="_Toc32630"/>
      <w:bookmarkStart w:id="813" w:name="_Toc10327"/>
      <w:bookmarkStart w:id="814" w:name="_Toc47694421"/>
      <w:r>
        <w:rPr>
          <w:rFonts w:hint="eastAsia" w:ascii="仿宋" w:hAnsi="仿宋" w:eastAsia="仿宋" w:cs="仿宋"/>
          <w:i w:val="0"/>
          <w:iCs w:val="0"/>
          <w:color w:val="auto"/>
          <w:sz w:val="24"/>
          <w:szCs w:val="24"/>
          <w:highlight w:val="none"/>
        </w:rPr>
        <w:t>55.  发包人供应材料和工程设备</w:t>
      </w:r>
      <w:bookmarkEnd w:id="812"/>
      <w:bookmarkEnd w:id="813"/>
      <w:bookmarkEnd w:id="814"/>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55.1 约定供应的材料和工程设备</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发包人不供应材料和工程设备，本条不适用。</w:t>
      </w:r>
    </w:p>
    <w:p>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发包人供应材料和工程设备的，应与承包人约定“发包人供应材料和工程设备一览表”，作为本合同的附件。</w:t>
      </w:r>
    </w:p>
    <w:p>
      <w:pPr>
        <w:spacing w:line="360" w:lineRule="auto"/>
        <w:ind w:firstLine="480" w:firstLineChars="200"/>
        <w:rPr>
          <w:rFonts w:ascii="仿宋" w:hAnsi="仿宋" w:eastAsia="仿宋" w:cs="仿宋"/>
          <w:color w:val="auto"/>
          <w:highlight w:val="none"/>
          <w:lang w:eastAsia="zh-CN"/>
        </w:rPr>
      </w:pPr>
      <w:bookmarkStart w:id="815" w:name="_Toc32448"/>
      <w:r>
        <w:rPr>
          <w:rFonts w:hint="eastAsia" w:ascii="仿宋" w:hAnsi="仿宋" w:eastAsia="仿宋" w:cs="仿宋"/>
          <w:color w:val="auto"/>
          <w:highlight w:val="none"/>
          <w:lang w:eastAsia="zh-CN"/>
        </w:rPr>
        <w:t>55.8 约定结算方式</w:t>
      </w:r>
      <w:bookmarkEnd w:id="815"/>
    </w:p>
    <w:p>
      <w:pPr>
        <w:spacing w:line="360" w:lineRule="auto"/>
        <w:ind w:firstLine="360" w:firstLineChars="150"/>
        <w:rPr>
          <w:color w:val="auto"/>
          <w:highlight w:val="none"/>
          <w:lang w:eastAsia="zh-CN"/>
        </w:rPr>
      </w:pPr>
      <w:r>
        <w:rPr>
          <w:rFonts w:hint="eastAsia" w:ascii="仿宋" w:hAnsi="仿宋" w:eastAsia="仿宋" w:cs="仿宋"/>
          <w:color w:val="auto"/>
          <w:highlight w:val="none"/>
          <w:lang w:eastAsia="zh-CN"/>
        </w:rPr>
        <w:t>发包人供应材料和工程设备的结算方式：</w:t>
      </w:r>
      <w:r>
        <w:rPr>
          <w:rFonts w:hint="eastAsia" w:ascii="仿宋" w:hAnsi="仿宋" w:eastAsia="仿宋" w:cs="仿宋"/>
          <w:color w:val="auto"/>
          <w:highlight w:val="none"/>
          <w:u w:val="single"/>
          <w:lang w:eastAsia="zh-CN"/>
        </w:rPr>
        <w:t xml:space="preserve">  无  </w:t>
      </w:r>
    </w:p>
    <w:p>
      <w:pPr>
        <w:pStyle w:val="4"/>
        <w:tabs>
          <w:tab w:val="left" w:pos="420"/>
        </w:tabs>
        <w:spacing w:line="360" w:lineRule="auto"/>
        <w:ind w:firstLine="105"/>
        <w:rPr>
          <w:rFonts w:ascii="仿宋" w:hAnsi="仿宋" w:eastAsia="仿宋" w:cs="仿宋"/>
          <w:i w:val="0"/>
          <w:iCs w:val="0"/>
          <w:color w:val="auto"/>
          <w:sz w:val="24"/>
          <w:szCs w:val="24"/>
          <w:highlight w:val="none"/>
        </w:rPr>
      </w:pPr>
      <w:bookmarkStart w:id="816" w:name="_Toc32761"/>
      <w:bookmarkStart w:id="817" w:name="_Toc28570"/>
      <w:bookmarkStart w:id="818" w:name="_Toc47694422"/>
      <w:r>
        <w:rPr>
          <w:rFonts w:hint="eastAsia" w:ascii="仿宋" w:hAnsi="仿宋" w:eastAsia="仿宋" w:cs="仿宋"/>
          <w:i w:val="0"/>
          <w:iCs w:val="0"/>
          <w:color w:val="auto"/>
          <w:sz w:val="24"/>
          <w:szCs w:val="24"/>
          <w:highlight w:val="none"/>
        </w:rPr>
        <w:t>56.  承包人购置设备及工器具、采购</w:t>
      </w:r>
      <w:r>
        <w:rPr>
          <w:rFonts w:hint="eastAsia" w:ascii="仿宋" w:hAnsi="仿宋" w:eastAsia="仿宋" w:cs="仿宋"/>
          <w:i w:val="0"/>
          <w:iCs w:val="0"/>
          <w:color w:val="auto"/>
          <w:sz w:val="24"/>
          <w:szCs w:val="24"/>
          <w:highlight w:val="none"/>
          <w:lang w:val="en-US"/>
        </w:rPr>
        <w:t>工程</w:t>
      </w:r>
      <w:r>
        <w:rPr>
          <w:rFonts w:hint="eastAsia" w:ascii="仿宋" w:hAnsi="仿宋" w:eastAsia="仿宋" w:cs="仿宋"/>
          <w:i w:val="0"/>
          <w:iCs w:val="0"/>
          <w:color w:val="auto"/>
          <w:sz w:val="24"/>
          <w:szCs w:val="24"/>
          <w:highlight w:val="none"/>
        </w:rPr>
        <w:t>材料和工程设备</w:t>
      </w:r>
      <w:bookmarkEnd w:id="816"/>
      <w:bookmarkEnd w:id="817"/>
      <w:bookmarkEnd w:id="818"/>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56.1 承包人购置设备及工器具 </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☑发包人不委托承包人购置设备及工器具，本条不适用。 </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□发包人委托承包人购置设备及工器具 </w:t>
      </w:r>
    </w:p>
    <w:p>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①具体内容：</w:t>
      </w:r>
      <w:r>
        <w:rPr>
          <w:rFonts w:hint="eastAsia" w:ascii="仿宋" w:hAnsi="仿宋" w:eastAsia="仿宋" w:cs="仿宋"/>
          <w:color w:val="auto"/>
          <w:highlight w:val="none"/>
          <w:u w:val="single"/>
          <w:lang w:eastAsia="zh-CN"/>
        </w:rPr>
        <w:t xml:space="preserve">          </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②购置清单（详见合同附件）：</w:t>
      </w:r>
      <w:r>
        <w:rPr>
          <w:rFonts w:hint="eastAsia" w:ascii="仿宋" w:hAnsi="仿宋" w:eastAsia="仿宋" w:cs="仿宋"/>
          <w:color w:val="auto"/>
          <w:highlight w:val="none"/>
          <w:u w:val="single"/>
          <w:lang w:eastAsia="zh-CN"/>
        </w:rPr>
        <w:t xml:space="preserve">          </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③购置要求（详见发包人要求）：</w:t>
      </w:r>
      <w:r>
        <w:rPr>
          <w:rFonts w:hint="eastAsia" w:ascii="仿宋" w:hAnsi="仿宋" w:eastAsia="仿宋" w:cs="仿宋"/>
          <w:color w:val="auto"/>
          <w:highlight w:val="none"/>
          <w:u w:val="single"/>
          <w:lang w:eastAsia="zh-CN"/>
        </w:rPr>
        <w:t xml:space="preserve">               </w:t>
      </w:r>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56.2 承包人采购工程材料和工程设备</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按通用条款规定，由承包人负责运输和保管。</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运输和保管另作约定：</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通过“广州市集群采购管理服务综合平台”采购：</w:t>
      </w:r>
      <w:r>
        <w:rPr>
          <w:rFonts w:hint="eastAsia" w:ascii="仿宋" w:hAnsi="仿宋" w:eastAsia="仿宋" w:cs="仿宋"/>
          <w:color w:val="auto"/>
          <w:highlight w:val="none"/>
          <w:u w:val="single"/>
          <w:lang w:eastAsia="zh-CN"/>
        </w:rPr>
        <w:t xml:space="preserve">                 </w:t>
      </w:r>
    </w:p>
    <w:p>
      <w:pPr>
        <w:spacing w:line="360" w:lineRule="auto"/>
        <w:ind w:firstLine="578" w:firstLineChars="241"/>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采购方式另作约定：</w:t>
      </w:r>
      <w:r>
        <w:rPr>
          <w:rFonts w:hint="eastAsia" w:ascii="仿宋" w:hAnsi="仿宋" w:eastAsia="仿宋" w:cs="仿宋"/>
          <w:color w:val="auto"/>
          <w:highlight w:val="none"/>
          <w:u w:val="single"/>
          <w:lang w:eastAsia="zh-CN"/>
        </w:rPr>
        <w:t xml:space="preserve"> （1）承包人在施工图审查完成后，上报施工图预算前完成主要材料设备的品牌或厂家报审，经发包人审批同意后方可采购使用。</w:t>
      </w:r>
    </w:p>
    <w:p>
      <w:pPr>
        <w:spacing w:line="360" w:lineRule="auto"/>
        <w:ind w:firstLine="600" w:firstLineChars="250"/>
        <w:rPr>
          <w:color w:val="auto"/>
          <w:highlight w:val="none"/>
          <w:lang w:eastAsia="zh-CN"/>
        </w:rPr>
      </w:pPr>
      <w:r>
        <w:rPr>
          <w:rFonts w:hint="eastAsia" w:ascii="仿宋" w:hAnsi="仿宋" w:eastAsia="仿宋" w:cs="仿宋"/>
          <w:color w:val="auto"/>
          <w:highlight w:val="none"/>
          <w:u w:val="single"/>
          <w:lang w:eastAsia="zh-CN"/>
        </w:rPr>
        <w:t>(2)使用替换材料的申请与批</w:t>
      </w:r>
      <w:r>
        <w:rPr>
          <w:rFonts w:hint="eastAsia" w:ascii="仿宋" w:hAnsi="仿宋" w:eastAsia="仿宋" w:cs="仿宋"/>
          <w:bCs/>
          <w:color w:val="auto"/>
          <w:highlight w:val="none"/>
          <w:u w:val="single"/>
          <w:lang w:eastAsia="zh-CN"/>
        </w:rPr>
        <w:t>准：承包人所选用的材料，在需要时，发包人有权与承包人共同重新选定；如承</w:t>
      </w:r>
      <w:r>
        <w:rPr>
          <w:rFonts w:hint="eastAsia" w:ascii="仿宋" w:hAnsi="仿宋" w:eastAsia="仿宋" w:cs="仿宋"/>
          <w:color w:val="auto"/>
          <w:highlight w:val="none"/>
          <w:u w:val="single"/>
          <w:lang w:eastAsia="zh-CN"/>
        </w:rPr>
        <w:t>包人需要使用替换材料的，应向发包人提出申请，经发包人批准后才能使用。</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56.3 承包人供货与清点要求</w:t>
      </w:r>
    </w:p>
    <w:p>
      <w:pPr>
        <w:spacing w:line="360" w:lineRule="auto"/>
        <w:ind w:firstLine="600" w:firstLineChars="250"/>
        <w:jc w:val="both"/>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承包人供货要求：</w:t>
      </w:r>
      <w:r>
        <w:rPr>
          <w:rFonts w:hint="eastAsia" w:ascii="仿宋" w:hAnsi="仿宋" w:eastAsia="仿宋" w:cs="仿宋"/>
          <w:color w:val="auto"/>
          <w:highlight w:val="none"/>
          <w:u w:val="single"/>
          <w:lang w:eastAsia="zh-CN"/>
        </w:rPr>
        <w:t xml:space="preserve">本工程使用的各项材料和工程设备必须符合设计及招投标文件要求，必须经发包人看样定板。 </w:t>
      </w:r>
    </w:p>
    <w:p>
      <w:pPr>
        <w:spacing w:line="360" w:lineRule="auto"/>
        <w:ind w:firstLine="600" w:firstLineChars="25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订货前，承包人应提供与投标文件、预算文件承诺的品牌、品质一致的材料、设备的合格证书及试验报告及材料样板，经发包人及监理人确认后使用；承包人承诺在同等条件下优先选用预拌混凝土绿色生产达标企业生产的混凝土。</w:t>
      </w:r>
    </w:p>
    <w:p>
      <w:pPr>
        <w:spacing w:line="360" w:lineRule="auto"/>
        <w:ind w:firstLine="600" w:firstLineChars="25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（2）如投标文件、预算文件中未注明品牌，或承包人提供的与投标文件承诺的品牌样板不能通过发包人及监理人确认，承包人应在合同约定的范围内提供三家及三家以上，所提供的</w:t>
      </w:r>
      <w:r>
        <w:rPr>
          <w:rFonts w:hint="eastAsia" w:ascii="仿宋" w:hAnsi="仿宋" w:eastAsia="仿宋" w:cs="仿宋"/>
          <w:color w:val="auto"/>
          <w:highlight w:val="none"/>
          <w:lang w:val="en-US" w:eastAsia="zh-CN"/>
        </w:rPr>
        <w:t>设备、</w:t>
      </w:r>
      <w:r>
        <w:rPr>
          <w:rFonts w:hint="eastAsia" w:ascii="仿宋" w:hAnsi="仿宋" w:eastAsia="仿宋" w:cs="仿宋"/>
          <w:color w:val="auto"/>
          <w:highlight w:val="none"/>
          <w:lang w:eastAsia="zh-CN"/>
        </w:rPr>
        <w:t>材料的质量应与投标文件承诺材料相符（或优于），并提供</w:t>
      </w:r>
      <w:r>
        <w:rPr>
          <w:rFonts w:hint="eastAsia" w:ascii="仿宋" w:hAnsi="仿宋" w:eastAsia="仿宋" w:cs="仿宋"/>
          <w:color w:val="auto"/>
          <w:highlight w:val="none"/>
          <w:lang w:val="en-US" w:eastAsia="zh-CN"/>
        </w:rPr>
        <w:t>设备、</w:t>
      </w:r>
      <w:r>
        <w:rPr>
          <w:rFonts w:hint="eastAsia" w:ascii="仿宋" w:hAnsi="仿宋" w:eastAsia="仿宋" w:cs="仿宋"/>
          <w:color w:val="auto"/>
          <w:highlight w:val="none"/>
          <w:lang w:eastAsia="zh-CN"/>
        </w:rPr>
        <w:t>材料生产厂家的合格证书及试验报告及材料样板，经监理人及发包人确认后使用，且结算材料单价不作调整。</w:t>
      </w:r>
    </w:p>
    <w:p>
      <w:pPr>
        <w:spacing w:line="360" w:lineRule="auto"/>
        <w:ind w:firstLine="600" w:firstLineChars="25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如承包人拒不提交上述材料、设备的合格证书及试验报告及材料样板，或提交的样板仍不能通过监理人及发包人确认，发包人有权自行采购相关材料设备，所需款项在工程款中扣除，承包人不得要求任何费用调整。由此造成的工期延误、费用增加等一切损失均由承包人承担。</w:t>
      </w:r>
    </w:p>
    <w:p>
      <w:pPr>
        <w:spacing w:line="360" w:lineRule="auto"/>
        <w:ind w:firstLine="600" w:firstLineChars="25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（4）发包人对经确认的材料样板进行封板，如发生实际施工材料与封板材料不符，发包人有权拒用，7天内全部退场处理，由此造成的损失全部由承包人承担。</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56.9 禁止指定采购工程材料和工程设备 </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发包人依法指定的生产厂家和供应商：</w:t>
      </w:r>
      <w:r>
        <w:rPr>
          <w:rFonts w:hint="eastAsia" w:ascii="仿宋" w:hAnsi="仿宋" w:eastAsia="仿宋" w:cs="仿宋"/>
          <w:color w:val="auto"/>
          <w:highlight w:val="none"/>
          <w:u w:val="single"/>
          <w:lang w:eastAsia="zh-CN"/>
        </w:rPr>
        <w:t xml:space="preserve">         /           </w:t>
      </w:r>
    </w:p>
    <w:p>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发包人要求的工程材料和工程设备质量标准、质量等级：</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rPr>
          <w:rFonts w:ascii="仿宋" w:hAnsi="仿宋" w:eastAsia="仿宋" w:cs="仿宋"/>
          <w:i w:val="0"/>
          <w:iCs w:val="0"/>
          <w:color w:val="auto"/>
          <w:sz w:val="24"/>
          <w:szCs w:val="24"/>
          <w:highlight w:val="none"/>
          <w:lang w:val="en-US"/>
        </w:rPr>
      </w:pPr>
      <w:bookmarkStart w:id="819" w:name="_Toc13706"/>
      <w:bookmarkStart w:id="820" w:name="_Toc6926"/>
      <w:r>
        <w:rPr>
          <w:rFonts w:ascii="仿宋" w:hAnsi="仿宋" w:eastAsia="仿宋" w:cs="仿宋"/>
          <w:i w:val="0"/>
          <w:iCs w:val="0"/>
          <w:color w:val="auto"/>
          <w:sz w:val="24"/>
          <w:szCs w:val="24"/>
          <w:highlight w:val="none"/>
          <w:lang w:val="en-US"/>
        </w:rPr>
        <w:t>57. 设备及工器具的验收、工程材料和工程设备的检验试验</w:t>
      </w:r>
      <w:bookmarkEnd w:id="819"/>
      <w:bookmarkEnd w:id="820"/>
      <w:r>
        <w:rPr>
          <w:rFonts w:ascii="仿宋" w:hAnsi="仿宋" w:eastAsia="仿宋" w:cs="仿宋"/>
          <w:i w:val="0"/>
          <w:iCs w:val="0"/>
          <w:color w:val="auto"/>
          <w:sz w:val="24"/>
          <w:szCs w:val="24"/>
          <w:highlight w:val="none"/>
          <w:lang w:val="en-US"/>
        </w:rPr>
        <w:t xml:space="preserve"> </w:t>
      </w:r>
    </w:p>
    <w:p>
      <w:pPr>
        <w:spacing w:line="360" w:lineRule="auto"/>
        <w:ind w:left="240" w:leftChars="100" w:firstLine="240" w:firstLineChars="100"/>
        <w:rPr>
          <w:rFonts w:ascii="仿宋" w:hAnsi="仿宋" w:eastAsia="仿宋" w:cs="仿宋"/>
          <w:color w:val="auto"/>
          <w:highlight w:val="none"/>
          <w:lang w:eastAsia="zh-CN"/>
        </w:rPr>
      </w:pPr>
      <w:r>
        <w:rPr>
          <w:rFonts w:ascii="仿宋" w:hAnsi="仿宋" w:eastAsia="仿宋" w:cs="仿宋"/>
          <w:color w:val="auto"/>
          <w:highlight w:val="none"/>
          <w:lang w:eastAsia="zh-CN"/>
        </w:rPr>
        <w:t xml:space="preserve">57.1 设备及工器具的验收 </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发包人不委托承包人购置设备及工器具，本条不适用。</w:t>
      </w:r>
    </w:p>
    <w:p>
      <w:pPr>
        <w:spacing w:line="360" w:lineRule="auto"/>
        <w:ind w:left="240" w:leftChars="100" w:firstLine="240" w:firstLineChars="100"/>
        <w:rPr>
          <w:rFonts w:ascii="仿宋" w:hAnsi="仿宋" w:eastAsia="仿宋" w:cs="仿宋"/>
          <w:color w:val="auto"/>
          <w:highlight w:val="none"/>
          <w:lang w:eastAsia="zh-CN"/>
        </w:rPr>
      </w:pPr>
      <w:r>
        <w:rPr>
          <w:rFonts w:ascii="仿宋" w:hAnsi="仿宋" w:eastAsia="仿宋" w:cs="仿宋"/>
          <w:color w:val="auto"/>
          <w:highlight w:val="none"/>
          <w:lang w:eastAsia="zh-CN"/>
        </w:rPr>
        <w:t>□发包人委托承包人购置设备及工器具</w:t>
      </w:r>
    </w:p>
    <w:p>
      <w:pPr>
        <w:spacing w:line="360" w:lineRule="auto"/>
        <w:ind w:left="240" w:leftChars="100" w:firstLine="240" w:firstLineChars="100"/>
        <w:rPr>
          <w:rFonts w:ascii="仿宋" w:hAnsi="仿宋" w:eastAsia="仿宋" w:cs="仿宋"/>
          <w:color w:val="auto"/>
          <w:highlight w:val="none"/>
          <w:lang w:eastAsia="zh-CN"/>
        </w:rPr>
      </w:pPr>
      <w:r>
        <w:rPr>
          <w:rFonts w:ascii="仿宋" w:hAnsi="仿宋" w:eastAsia="仿宋" w:cs="仿宋"/>
          <w:color w:val="auto"/>
          <w:highlight w:val="none"/>
          <w:lang w:eastAsia="zh-CN"/>
        </w:rPr>
        <w:t>□按通用条款约定。</w:t>
      </w:r>
    </w:p>
    <w:p>
      <w:pPr>
        <w:spacing w:line="360" w:lineRule="auto"/>
        <w:ind w:left="240" w:leftChars="100" w:firstLine="240" w:firstLineChars="100"/>
        <w:rPr>
          <w:rFonts w:ascii="仿宋" w:hAnsi="仿宋" w:eastAsia="仿宋" w:cs="仿宋"/>
          <w:color w:val="auto"/>
          <w:highlight w:val="none"/>
          <w:lang w:eastAsia="zh-CN"/>
        </w:rPr>
      </w:pPr>
      <w:r>
        <w:rPr>
          <w:rFonts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left="240" w:leftChars="100" w:firstLine="240" w:firstLineChars="100"/>
        <w:rPr>
          <w:rFonts w:ascii="仿宋" w:hAnsi="仿宋" w:eastAsia="仿宋" w:cs="仿宋"/>
          <w:color w:val="auto"/>
          <w:highlight w:val="none"/>
          <w:lang w:eastAsia="zh-CN"/>
        </w:rPr>
      </w:pPr>
      <w:r>
        <w:rPr>
          <w:rFonts w:ascii="仿宋" w:hAnsi="仿宋" w:eastAsia="仿宋" w:cs="仿宋"/>
          <w:color w:val="auto"/>
          <w:highlight w:val="none"/>
          <w:lang w:eastAsia="zh-CN"/>
        </w:rPr>
        <w:t xml:space="preserve"> 57.3 工程材料和工程设备的见证取样与不见证取样检验试验 </w:t>
      </w:r>
    </w:p>
    <w:p>
      <w:pPr>
        <w:spacing w:line="360" w:lineRule="auto"/>
        <w:ind w:left="240" w:leftChars="100" w:firstLine="240" w:firstLineChars="100"/>
        <w:rPr>
          <w:rFonts w:ascii="仿宋" w:hAnsi="仿宋" w:eastAsia="仿宋" w:cs="仿宋"/>
          <w:color w:val="auto"/>
          <w:highlight w:val="none"/>
          <w:lang w:eastAsia="zh-CN"/>
        </w:rPr>
      </w:pPr>
      <w:r>
        <w:rPr>
          <w:rFonts w:ascii="仿宋" w:hAnsi="仿宋" w:eastAsia="仿宋" w:cs="仿宋"/>
          <w:color w:val="auto"/>
          <w:highlight w:val="none"/>
          <w:lang w:eastAsia="zh-CN"/>
        </w:rPr>
        <w:t xml:space="preserve">见证取样检验试验的工程材料和工程设备约定： </w:t>
      </w:r>
    </w:p>
    <w:p>
      <w:pPr>
        <w:spacing w:line="360" w:lineRule="auto"/>
        <w:ind w:left="240" w:leftChars="100" w:firstLine="480" w:firstLineChars="200"/>
        <w:rPr>
          <w:rFonts w:ascii="仿宋" w:hAnsi="仿宋" w:eastAsia="仿宋" w:cs="仿宋"/>
          <w:color w:val="auto"/>
          <w:highlight w:val="none"/>
          <w:u w:val="single"/>
          <w:lang w:eastAsia="zh-CN"/>
        </w:rPr>
      </w:pPr>
      <w:r>
        <w:rPr>
          <w:rFonts w:ascii="仿宋" w:hAnsi="仿宋" w:eastAsia="仿宋" w:cs="仿宋"/>
          <w:color w:val="auto"/>
          <w:highlight w:val="none"/>
          <w:lang w:eastAsia="zh-CN"/>
        </w:rPr>
        <w:t>①种类：</w:t>
      </w:r>
      <w:r>
        <w:rPr>
          <w:rFonts w:hint="eastAsia" w:ascii="仿宋" w:hAnsi="仿宋" w:eastAsia="仿宋" w:cs="仿宋"/>
          <w:color w:val="auto"/>
          <w:highlight w:val="none"/>
          <w:u w:val="single"/>
          <w:lang w:eastAsia="zh-CN"/>
        </w:rPr>
        <w:t xml:space="preserve"> 依据有关法律、法规、规范和工程建设强制性标准以及结构安全有要求进行见证取样的进入施工现场的建筑材料、设备和构配件。  </w:t>
      </w:r>
    </w:p>
    <w:p>
      <w:pPr>
        <w:pStyle w:val="40"/>
        <w:spacing w:after="0"/>
        <w:ind w:firstLine="660" w:firstLineChars="275"/>
        <w:rPr>
          <w:rFonts w:ascii="仿宋" w:hAnsi="仿宋" w:eastAsia="仿宋" w:cs="仿宋"/>
          <w:color w:val="auto"/>
          <w:highlight w:val="none"/>
          <w:u w:val="single"/>
          <w:lang w:val="en-US"/>
        </w:rPr>
      </w:pPr>
      <w:r>
        <w:rPr>
          <w:rFonts w:ascii="仿宋" w:hAnsi="仿宋" w:eastAsia="仿宋" w:cs="仿宋"/>
          <w:color w:val="auto"/>
          <w:highlight w:val="none"/>
          <w:lang w:val="en-US"/>
        </w:rPr>
        <w:t>②检测机构：</w:t>
      </w:r>
      <w:r>
        <w:rPr>
          <w:rFonts w:hint="eastAsia" w:ascii="仿宋" w:hAnsi="仿宋" w:eastAsia="仿宋" w:cs="仿宋"/>
          <w:color w:val="auto"/>
          <w:highlight w:val="none"/>
          <w:u w:val="single"/>
          <w:lang w:val="en-US"/>
        </w:rPr>
        <w:t xml:space="preserve"> 由发包人委托具有相应资格的检测机构实施。  </w:t>
      </w:r>
    </w:p>
    <w:p>
      <w:pPr>
        <w:pStyle w:val="40"/>
        <w:spacing w:after="0"/>
        <w:ind w:firstLine="660" w:firstLineChars="275"/>
        <w:rPr>
          <w:rFonts w:ascii="仿宋" w:hAnsi="仿宋" w:eastAsia="仿宋" w:cs="仿宋"/>
          <w:color w:val="auto"/>
          <w:highlight w:val="none"/>
          <w:u w:val="single"/>
          <w:lang w:val="en-US"/>
        </w:rPr>
      </w:pPr>
      <w:r>
        <w:rPr>
          <w:rFonts w:ascii="仿宋" w:hAnsi="仿宋" w:eastAsia="仿宋" w:cs="仿宋"/>
          <w:color w:val="auto"/>
          <w:highlight w:val="none"/>
          <w:u w:val="single"/>
          <w:lang w:val="en-US"/>
        </w:rPr>
        <w:t>③补充条款：承包人采购的材料需在材料到货前3天将进场计划报发包人和监理工程师，由监理工程师按规定确定材料检验抽样方案；材料到场后，承包人按监理工程师确定的抽样方案，在监理见证人员见证下抽样，按发包人与检测机构约定的格式要求打印检测委托清单一式四份；监理和发包人现场代表负责监督、见证抽样，在样品抽取后贴封条，签发检测委托清单；样品封条方式根据具体情况确定，监理负责对抽样、加封过程进行拍照；承包人负责将已加封条的样品送达检测机构，运送样品所需的费用由承包人负责，包含在合同总价中；承包人需及时将样品送达检测机构，确保不因此而影响工程施工。</w:t>
      </w:r>
    </w:p>
    <w:p>
      <w:pPr>
        <w:pStyle w:val="40"/>
        <w:ind w:firstLine="660" w:firstLineChars="275"/>
        <w:rPr>
          <w:rFonts w:ascii="仿宋" w:hAnsi="仿宋" w:eastAsia="仿宋" w:cs="仿宋"/>
          <w:color w:val="auto"/>
          <w:highlight w:val="none"/>
          <w:lang w:val="en-US"/>
        </w:rPr>
      </w:pPr>
      <w:r>
        <w:rPr>
          <w:rFonts w:ascii="仿宋" w:hAnsi="仿宋" w:eastAsia="仿宋" w:cs="仿宋"/>
          <w:color w:val="auto"/>
          <w:highlight w:val="none"/>
          <w:u w:val="single"/>
          <w:lang w:val="en-US"/>
        </w:rPr>
        <w:t>④补充条款：样品检验合格的材料，经监理工程师审核同意后方可在合同工程使用，检验报告交给承包人作为质量验收资料；样品检验不合格的，按规定扩大抽样检验或退场处理。</w:t>
      </w:r>
    </w:p>
    <w:p>
      <w:pPr>
        <w:pStyle w:val="4"/>
        <w:tabs>
          <w:tab w:val="left" w:pos="420"/>
        </w:tabs>
        <w:spacing w:line="360" w:lineRule="auto"/>
        <w:rPr>
          <w:rFonts w:ascii="仿宋" w:hAnsi="仿宋" w:eastAsia="仿宋"/>
          <w:i w:val="0"/>
          <w:iCs w:val="0"/>
          <w:color w:val="auto"/>
          <w:sz w:val="24"/>
          <w:szCs w:val="24"/>
          <w:highlight w:val="none"/>
        </w:rPr>
      </w:pPr>
      <w:bookmarkStart w:id="821" w:name="_Toc11365"/>
      <w:bookmarkStart w:id="822" w:name="_Toc47694424"/>
      <w:bookmarkStart w:id="823" w:name="_Toc5046"/>
      <w:r>
        <w:rPr>
          <w:rFonts w:hint="eastAsia" w:ascii="仿宋" w:hAnsi="仿宋" w:eastAsia="仿宋" w:cs="仿宋"/>
          <w:i w:val="0"/>
          <w:iCs w:val="0"/>
          <w:color w:val="auto"/>
          <w:sz w:val="24"/>
          <w:szCs w:val="24"/>
          <w:highlight w:val="none"/>
        </w:rPr>
        <w:t>58.  施工设备和临时设施</w:t>
      </w:r>
      <w:bookmarkEnd w:id="821"/>
      <w:bookmarkEnd w:id="822"/>
      <w:bookmarkEnd w:id="823"/>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58.1 承包人配置的施工设备和临时设施</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按通用条款规定，承包人承担修建临时设施的费用。</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824" w:name="_Toc31018"/>
      <w:r>
        <w:rPr>
          <w:rFonts w:hint="eastAsia" w:ascii="仿宋" w:hAnsi="仿宋" w:eastAsia="仿宋" w:cs="仿宋"/>
          <w:color w:val="auto"/>
          <w:highlight w:val="none"/>
          <w:lang w:eastAsia="zh-CN"/>
        </w:rPr>
        <w:t>58.2 发包人提供的施工设备和临时设施</w:t>
      </w:r>
      <w:bookmarkEnd w:id="824"/>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发包人提供施工设备和临时设施的约定：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ind w:firstLine="105"/>
        <w:rPr>
          <w:bCs w:val="0"/>
          <w:i w:val="0"/>
          <w:iCs w:val="0"/>
          <w:color w:val="auto"/>
          <w:highlight w:val="none"/>
        </w:rPr>
      </w:pPr>
      <w:bookmarkStart w:id="825" w:name="_Toc47694425"/>
      <w:bookmarkStart w:id="826" w:name="_Toc14073"/>
      <w:bookmarkStart w:id="827" w:name="_Toc20487"/>
      <w:r>
        <w:rPr>
          <w:rFonts w:hint="eastAsia" w:ascii="仿宋" w:hAnsi="仿宋" w:eastAsia="仿宋" w:cs="仿宋"/>
          <w:bCs w:val="0"/>
          <w:i w:val="0"/>
          <w:iCs w:val="0"/>
          <w:color w:val="auto"/>
          <w:sz w:val="24"/>
          <w:szCs w:val="24"/>
          <w:highlight w:val="none"/>
        </w:rPr>
        <w:t>★60.  隐蔽工程和中间验收</w:t>
      </w:r>
      <w:bookmarkEnd w:id="825"/>
      <w:bookmarkEnd w:id="826"/>
      <w:bookmarkEnd w:id="827"/>
    </w:p>
    <w:p>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pPr>
        <w:spacing w:line="360" w:lineRule="auto"/>
        <w:ind w:left="137" w:leftChars="57"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pPr>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中间验收的部位有：</w:t>
      </w:r>
      <w:r>
        <w:rPr>
          <w:rFonts w:hint="eastAsia" w:ascii="仿宋" w:hAnsi="仿宋" w:eastAsia="仿宋" w:cs="仿宋"/>
          <w:color w:val="auto"/>
          <w:highlight w:val="none"/>
          <w:u w:val="single"/>
          <w:lang w:eastAsia="zh-CN"/>
        </w:rPr>
        <w:t>执行《广州市住房和城乡建设委员会关于加强房屋建筑重要分部（子分部）工程质量验收工作的通知》（穗建质〔</w:t>
      </w:r>
      <w:r>
        <w:rPr>
          <w:rFonts w:ascii="仿宋" w:hAnsi="仿宋" w:eastAsia="仿宋" w:cs="仿宋"/>
          <w:color w:val="auto"/>
          <w:highlight w:val="none"/>
          <w:u w:val="single"/>
          <w:lang w:eastAsia="zh-CN"/>
        </w:rPr>
        <w:t>2016</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1460</w:t>
      </w:r>
      <w:r>
        <w:rPr>
          <w:rFonts w:hint="eastAsia" w:ascii="仿宋" w:hAnsi="仿宋" w:eastAsia="仿宋" w:cs="仿宋"/>
          <w:color w:val="auto"/>
          <w:highlight w:val="none"/>
          <w:u w:val="single"/>
          <w:lang w:eastAsia="zh-CN"/>
        </w:rPr>
        <w:t>号）“一、重要分部（子分部）工程”内容，并根据工程实际情况进行中间验收</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 xml:space="preserve">  </w:t>
      </w:r>
    </w:p>
    <w:p>
      <w:pPr>
        <w:pStyle w:val="4"/>
        <w:tabs>
          <w:tab w:val="left" w:pos="420"/>
        </w:tabs>
        <w:spacing w:line="360" w:lineRule="auto"/>
        <w:ind w:firstLine="105"/>
        <w:rPr>
          <w:rFonts w:ascii="仿宋" w:hAnsi="仿宋" w:eastAsia="仿宋" w:cs="仿宋"/>
          <w:i w:val="0"/>
          <w:iCs w:val="0"/>
          <w:color w:val="auto"/>
          <w:sz w:val="24"/>
          <w:szCs w:val="24"/>
          <w:highlight w:val="none"/>
        </w:rPr>
      </w:pPr>
      <w:bookmarkStart w:id="828" w:name="_Toc11875"/>
      <w:bookmarkStart w:id="829" w:name="_Toc23621"/>
      <w:r>
        <w:rPr>
          <w:rFonts w:hint="eastAsia" w:ascii="仿宋" w:hAnsi="仿宋" w:eastAsia="仿宋" w:cs="仿宋"/>
          <w:i w:val="0"/>
          <w:iCs w:val="0"/>
          <w:color w:val="auto"/>
          <w:sz w:val="24"/>
          <w:szCs w:val="24"/>
          <w:highlight w:val="none"/>
        </w:rPr>
        <w:t>62. 工程试车</w:t>
      </w:r>
      <w:bookmarkEnd w:id="828"/>
      <w:bookmarkEnd w:id="829"/>
      <w:r>
        <w:rPr>
          <w:rFonts w:hint="eastAsia" w:ascii="仿宋" w:hAnsi="仿宋" w:eastAsia="仿宋" w:cs="仿宋"/>
          <w:i w:val="0"/>
          <w:iCs w:val="0"/>
          <w:color w:val="auto"/>
          <w:sz w:val="24"/>
          <w:szCs w:val="24"/>
          <w:highlight w:val="none"/>
        </w:rPr>
        <w:t xml:space="preserve"> </w:t>
      </w:r>
    </w:p>
    <w:p>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62.1 试车内容 </w:t>
      </w:r>
    </w:p>
    <w:p>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不需要试车的，本条不适用。</w:t>
      </w:r>
    </w:p>
    <w:p>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需要试车的，试车的内容和要求：</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ind w:firstLine="105"/>
        <w:rPr>
          <w:rFonts w:ascii="仿宋" w:hAnsi="仿宋" w:eastAsia="仿宋"/>
          <w:i w:val="0"/>
          <w:iCs w:val="0"/>
          <w:color w:val="auto"/>
          <w:sz w:val="24"/>
          <w:szCs w:val="24"/>
          <w:highlight w:val="none"/>
        </w:rPr>
      </w:pPr>
      <w:bookmarkStart w:id="830" w:name="_Toc47694427"/>
      <w:bookmarkStart w:id="831" w:name="_Toc25325"/>
      <w:bookmarkStart w:id="832" w:name="_Toc18909"/>
      <w:r>
        <w:rPr>
          <w:rFonts w:hint="eastAsia" w:ascii="仿宋" w:hAnsi="仿宋" w:eastAsia="仿宋" w:cs="仿宋"/>
          <w:i w:val="0"/>
          <w:iCs w:val="0"/>
          <w:color w:val="auto"/>
          <w:sz w:val="24"/>
          <w:szCs w:val="24"/>
          <w:highlight w:val="none"/>
        </w:rPr>
        <w:t>★63. 工程变更</w:t>
      </w:r>
      <w:bookmarkEnd w:id="830"/>
      <w:bookmarkEnd w:id="831"/>
      <w:bookmarkEnd w:id="832"/>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833" w:name="_Toc287"/>
      <w:r>
        <w:rPr>
          <w:rFonts w:hint="eastAsia" w:ascii="仿宋" w:hAnsi="仿宋" w:eastAsia="仿宋" w:cs="仿宋"/>
          <w:color w:val="auto"/>
          <w:highlight w:val="none"/>
          <w:lang w:eastAsia="zh-CN"/>
        </w:rPr>
        <w:t>63.4 承包人提出工程变更建议</w:t>
      </w:r>
      <w:bookmarkEnd w:id="833"/>
    </w:p>
    <w:p>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无。 </w:t>
      </w:r>
    </w:p>
    <w:p>
      <w:pPr>
        <w:pStyle w:val="4"/>
        <w:tabs>
          <w:tab w:val="left" w:pos="420"/>
        </w:tabs>
        <w:spacing w:line="360" w:lineRule="auto"/>
        <w:ind w:firstLine="105"/>
        <w:rPr>
          <w:rFonts w:ascii="仿宋" w:hAnsi="仿宋" w:eastAsia="仿宋" w:cs="仿宋"/>
          <w:i w:val="0"/>
          <w:iCs w:val="0"/>
          <w:color w:val="auto"/>
          <w:sz w:val="24"/>
          <w:szCs w:val="24"/>
          <w:highlight w:val="none"/>
        </w:rPr>
      </w:pPr>
      <w:bookmarkStart w:id="834" w:name="_Toc16381"/>
      <w:bookmarkStart w:id="835" w:name="_Toc23736"/>
      <w:r>
        <w:rPr>
          <w:rFonts w:hint="eastAsia" w:ascii="仿宋" w:hAnsi="仿宋" w:eastAsia="仿宋" w:cs="仿宋"/>
          <w:i w:val="0"/>
          <w:iCs w:val="0"/>
          <w:color w:val="auto"/>
          <w:sz w:val="24"/>
          <w:szCs w:val="24"/>
          <w:highlight w:val="none"/>
        </w:rPr>
        <w:t>64. 竣工验收条件</w:t>
      </w:r>
      <w:bookmarkEnd w:id="834"/>
      <w:bookmarkEnd w:id="835"/>
    </w:p>
    <w:p>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64.1 竣工验收条件 </w:t>
      </w:r>
    </w:p>
    <w:p>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（6）竣工资料应当符合基本建设项目档案管理的要求：</w:t>
      </w:r>
    </w:p>
    <w:p>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□国家档案局、国家计委关于印发《基本建设项目档案资料管理暂行规定》的通知（国档发［1988］4号）；</w:t>
      </w:r>
    </w:p>
    <w:p>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□广东省档案局实施《基本建设项目档案资料管理暂行规定》细则；</w:t>
      </w:r>
    </w:p>
    <w:p>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☑其它约定：</w:t>
      </w:r>
      <w:r>
        <w:rPr>
          <w:rFonts w:hint="eastAsia" w:ascii="仿宋" w:hAnsi="仿宋" w:eastAsia="仿宋" w:cs="仿宋"/>
          <w:color w:val="auto"/>
          <w:highlight w:val="none"/>
          <w:u w:val="single"/>
          <w:lang w:eastAsia="zh-CN"/>
        </w:rPr>
        <w:t xml:space="preserve"> 广州市城建档案部门相关规定。  </w:t>
      </w:r>
    </w:p>
    <w:p>
      <w:pPr>
        <w:pStyle w:val="4"/>
        <w:tabs>
          <w:tab w:val="left" w:pos="420"/>
        </w:tabs>
        <w:spacing w:line="360" w:lineRule="auto"/>
        <w:ind w:firstLine="105"/>
        <w:rPr>
          <w:i w:val="0"/>
          <w:iCs w:val="0"/>
          <w:color w:val="auto"/>
          <w:highlight w:val="none"/>
        </w:rPr>
      </w:pPr>
      <w:bookmarkStart w:id="836" w:name="_Toc47694428"/>
      <w:bookmarkStart w:id="837" w:name="_Toc29951"/>
      <w:bookmarkStart w:id="838" w:name="_Toc15399"/>
      <w:r>
        <w:rPr>
          <w:rFonts w:hint="eastAsia" w:ascii="仿宋" w:hAnsi="仿宋" w:eastAsia="仿宋" w:cs="仿宋"/>
          <w:i w:val="0"/>
          <w:iCs w:val="0"/>
          <w:color w:val="auto"/>
          <w:sz w:val="24"/>
          <w:szCs w:val="24"/>
          <w:highlight w:val="none"/>
        </w:rPr>
        <w:t>★65. 竣工验收</w:t>
      </w:r>
      <w:bookmarkEnd w:id="836"/>
      <w:bookmarkEnd w:id="837"/>
      <w:bookmarkEnd w:id="838"/>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合同工程竣工验收标准：</w:t>
      </w:r>
      <w:r>
        <w:rPr>
          <w:rFonts w:hint="eastAsia" w:ascii="仿宋" w:hAnsi="仿宋" w:eastAsia="仿宋" w:cs="仿宋"/>
          <w:color w:val="auto"/>
          <w:highlight w:val="none"/>
          <w:u w:val="single"/>
          <w:lang w:eastAsia="zh-CN"/>
        </w:rPr>
        <w:t xml:space="preserve"> 符合设计图纸及国家相关规范要求，质量验收合格。</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65.8 单项工程和工程部位验收</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合同工程无单项工程、无工程部位提前验收的，本款不适用。</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合同工程单项工程或工程部位需提前验收的，各单项工程或工程部位的名称、竣工验收时间和范围如下：</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（名称）工程或部位，竣工验收时间为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   </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（名称）工程或部位，竣工验收时间为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65.9 施工期运行</w:t>
      </w:r>
    </w:p>
    <w:p>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合同工程无单项工程、无工程部位在施工期运行的，本款不适用。</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□合同工程单项工程或工程部位需在施工期运行的，各单项工程或工程部位的名称、运行时间如下：</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（名称）工程或部位，运行时间为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（名称）工程或部位，运行时间为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839" w:name="_Toc18461"/>
      <w:r>
        <w:rPr>
          <w:rFonts w:hint="eastAsia" w:ascii="仿宋" w:hAnsi="仿宋" w:eastAsia="仿宋" w:cs="仿宋"/>
          <w:color w:val="auto"/>
          <w:highlight w:val="none"/>
          <w:lang w:eastAsia="zh-CN"/>
        </w:rPr>
        <w:t>65.10 竣工清场</w:t>
      </w:r>
      <w:bookmarkEnd w:id="839"/>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按通用条款规定。</w:t>
      </w:r>
    </w:p>
    <w:p>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另作约定：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pPr>
        <w:spacing w:line="360" w:lineRule="auto"/>
        <w:ind w:firstLine="465"/>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65.11施工队伍的撤离</w:t>
      </w:r>
    </w:p>
    <w:p>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按通用条款规定，承包人的人员和施工设备全部撤离施工现场。</w:t>
      </w:r>
    </w:p>
    <w:p>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ind w:firstLine="105"/>
        <w:rPr>
          <w:rFonts w:ascii="仿宋" w:hAnsi="仿宋" w:eastAsia="仿宋"/>
          <w:i w:val="0"/>
          <w:iCs w:val="0"/>
          <w:color w:val="auto"/>
          <w:sz w:val="24"/>
          <w:szCs w:val="24"/>
          <w:highlight w:val="none"/>
        </w:rPr>
      </w:pPr>
      <w:bookmarkStart w:id="840" w:name="_Toc47694429"/>
      <w:bookmarkStart w:id="841" w:name="_Toc30613"/>
      <w:bookmarkStart w:id="842" w:name="_Toc6726"/>
      <w:r>
        <w:rPr>
          <w:rFonts w:hint="eastAsia" w:ascii="仿宋" w:hAnsi="仿宋" w:eastAsia="仿宋" w:cs="仿宋"/>
          <w:i w:val="0"/>
          <w:iCs w:val="0"/>
          <w:color w:val="auto"/>
          <w:sz w:val="24"/>
          <w:szCs w:val="24"/>
          <w:highlight w:val="none"/>
        </w:rPr>
        <w:t>66.  缺陷责任与质量保修</w:t>
      </w:r>
      <w:bookmarkEnd w:id="840"/>
      <w:bookmarkEnd w:id="841"/>
      <w:bookmarkEnd w:id="842"/>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843" w:name="_Toc23091"/>
      <w:r>
        <w:rPr>
          <w:rFonts w:hint="eastAsia" w:ascii="仿宋" w:hAnsi="仿宋" w:eastAsia="仿宋" w:cs="仿宋"/>
          <w:color w:val="auto"/>
          <w:highlight w:val="none"/>
          <w:lang w:eastAsia="zh-CN"/>
        </w:rPr>
        <w:t>66.1 缺陷责任期计算</w:t>
      </w:r>
      <w:bookmarkEnd w:id="843"/>
    </w:p>
    <w:p>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缺陷责任期：</w:t>
      </w:r>
      <w:r>
        <w:rPr>
          <w:rFonts w:hint="eastAsia" w:ascii="仿宋" w:hAnsi="仿宋" w:eastAsia="仿宋" w:cs="仿宋"/>
          <w:color w:val="auto"/>
          <w:highlight w:val="none"/>
          <w:u w:val="single"/>
          <w:lang w:eastAsia="zh-CN"/>
        </w:rPr>
        <w:t xml:space="preserve"> 本工程缺陷责任期自竣工验收合格之日起计算，缺陷责任期两年，质量保证金的返还按合同专用条款第89.3款约定执行</w:t>
      </w:r>
      <w:r>
        <w:rPr>
          <w:rFonts w:hint="eastAsia" w:ascii="宋体" w:hAnsi="宋体"/>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olor w:val="auto"/>
          <w:highlight w:val="none"/>
          <w:lang w:eastAsia="zh-CN"/>
        </w:rPr>
      </w:pPr>
      <w:bookmarkStart w:id="844" w:name="_Toc28346"/>
      <w:r>
        <w:rPr>
          <w:rFonts w:hint="eastAsia" w:ascii="仿宋" w:hAnsi="仿宋" w:eastAsia="仿宋" w:cs="仿宋"/>
          <w:color w:val="auto"/>
          <w:highlight w:val="none"/>
          <w:lang w:eastAsia="zh-CN"/>
        </w:rPr>
        <w:t>66.8 质量保修期计算</w:t>
      </w:r>
      <w:bookmarkEnd w:id="844"/>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质量保修期：</w:t>
      </w:r>
      <w:r>
        <w:rPr>
          <w:rFonts w:hint="eastAsia" w:ascii="仿宋" w:hAnsi="仿宋" w:eastAsia="仿宋" w:cs="仿宋"/>
          <w:color w:val="auto"/>
          <w:highlight w:val="none"/>
          <w:u w:val="single"/>
          <w:lang w:eastAsia="zh-CN"/>
        </w:rPr>
        <w:t xml:space="preserve">质量保修期从竣工验收合格之日起计算，保修期限按中华人民共和国国务院令[2000]279号《建筑工程质量管理条例》的规定执行。结合具体工程约定质量保修期如下：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(1)土建工程基础及主体结构按设计文件规定的使用年限，屋面防水工程、有防水要求的卫生间、房间和外墙面的防渗漏工程为伍年；</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(2)电气管线、上下水管线安装、设备安装和装修工程为贰年；</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(3)供热及供冷为贰个采暖期及供冷期；</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(4)其他约定：土建工程除基础及主体结构按设计文件规定外，其余保修期为贰年。</w:t>
      </w:r>
    </w:p>
    <w:p>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工程质量保修补充约定：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pStyle w:val="4"/>
        <w:tabs>
          <w:tab w:val="left" w:pos="420"/>
        </w:tabs>
        <w:spacing w:line="360" w:lineRule="auto"/>
        <w:ind w:firstLine="105"/>
        <w:rPr>
          <w:rFonts w:ascii="仿宋" w:hAnsi="仿宋" w:eastAsia="仿宋" w:cs="仿宋"/>
          <w:i w:val="0"/>
          <w:iCs w:val="0"/>
          <w:color w:val="auto"/>
          <w:sz w:val="24"/>
          <w:szCs w:val="24"/>
          <w:highlight w:val="none"/>
        </w:rPr>
      </w:pPr>
      <w:bookmarkStart w:id="845" w:name="_Toc8704"/>
      <w:bookmarkStart w:id="846" w:name="_Toc5057"/>
      <w:r>
        <w:rPr>
          <w:rFonts w:hint="eastAsia" w:ascii="仿宋" w:hAnsi="仿宋" w:eastAsia="仿宋" w:cs="仿宋"/>
          <w:i w:val="0"/>
          <w:iCs w:val="0"/>
          <w:color w:val="auto"/>
          <w:sz w:val="24"/>
          <w:szCs w:val="24"/>
          <w:highlight w:val="none"/>
        </w:rPr>
        <w:t>68. 联合体牵头人项目管理费</w:t>
      </w:r>
      <w:bookmarkEnd w:id="845"/>
      <w:bookmarkEnd w:id="846"/>
      <w:r>
        <w:rPr>
          <w:rFonts w:hint="eastAsia" w:ascii="仿宋" w:hAnsi="仿宋" w:eastAsia="仿宋" w:cs="仿宋"/>
          <w:i w:val="0"/>
          <w:iCs w:val="0"/>
          <w:color w:val="auto"/>
          <w:sz w:val="24"/>
          <w:szCs w:val="24"/>
          <w:highlight w:val="none"/>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□承包人为非联合体的，本条不适用。</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□承包人为联合体的，牵头人项目管理费的约定：</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①联合体牵头人项目管理费的金额，按本合同协议书约定的金额执行。</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②发包人向承包人支付牵头人项目管理费的时间、比例：</w:t>
      </w:r>
      <w:r>
        <w:rPr>
          <w:rFonts w:hint="eastAsia" w:ascii="仿宋" w:hAnsi="仿宋" w:eastAsia="仿宋" w:cs="仿宋"/>
          <w:color w:val="auto"/>
          <w:highlight w:val="none"/>
          <w:u w:val="single"/>
          <w:lang w:eastAsia="zh-CN"/>
        </w:rPr>
        <w:t xml:space="preserve">      /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ind w:firstLine="105"/>
        <w:rPr>
          <w:rFonts w:ascii="仿宋" w:hAnsi="仿宋" w:eastAsia="仿宋"/>
          <w:i w:val="0"/>
          <w:iCs w:val="0"/>
          <w:color w:val="auto"/>
          <w:sz w:val="24"/>
          <w:szCs w:val="24"/>
          <w:highlight w:val="none"/>
        </w:rPr>
      </w:pPr>
      <w:bookmarkStart w:id="847" w:name="_Toc47694431"/>
      <w:bookmarkStart w:id="848" w:name="_Toc231"/>
      <w:bookmarkStart w:id="849" w:name="_Toc5823"/>
      <w:r>
        <w:rPr>
          <w:rFonts w:hint="eastAsia" w:ascii="仿宋" w:hAnsi="仿宋" w:eastAsia="仿宋" w:cs="仿宋"/>
          <w:i w:val="0"/>
          <w:iCs w:val="0"/>
          <w:color w:val="auto"/>
          <w:sz w:val="24"/>
          <w:szCs w:val="24"/>
          <w:highlight w:val="none"/>
        </w:rPr>
        <w:t>★69. 合同价格的约定与调整</w:t>
      </w:r>
      <w:bookmarkEnd w:id="847"/>
      <w:bookmarkEnd w:id="848"/>
      <w:bookmarkEnd w:id="849"/>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69.2合同价款的形式</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□总价合同＋部分单价合同。其中，总价合同、单价合同的适用工程范围按专用条款第 72 条。</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w:t>
      </w:r>
    </w:p>
    <w:p>
      <w:pPr>
        <w:pStyle w:val="22"/>
        <w:spacing w:line="360" w:lineRule="auto"/>
        <w:ind w:firstLine="482" w:firstLineChars="200"/>
        <w:jc w:val="both"/>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一、勘察费：</w:t>
      </w:r>
    </w:p>
    <w:p>
      <w:pPr>
        <w:pStyle w:val="40"/>
        <w:spacing w:line="360" w:lineRule="auto"/>
        <w:ind w:firstLine="480" w:firstLineChars="200"/>
        <w:jc w:val="both"/>
        <w:rPr>
          <w:rFonts w:ascii="仿宋" w:hAnsi="仿宋" w:eastAsia="仿宋" w:cs="仿宋"/>
          <w:color w:val="auto"/>
          <w:highlight w:val="none"/>
          <w:u w:val="single"/>
        </w:rPr>
      </w:pPr>
      <w:r>
        <w:rPr>
          <w:rFonts w:hint="eastAsia" w:ascii="仿宋" w:hAnsi="仿宋" w:eastAsia="仿宋" w:cs="仿宋"/>
          <w:color w:val="auto"/>
          <w:highlight w:val="none"/>
          <w:u w:val="single"/>
        </w:rPr>
        <w:t>勘察费结算采用单价合同，按岩土工程勘探工作量（米）综合单价包干，除合同约定可以调整的事项外，工作量或工程量按实计算，综合</w:t>
      </w:r>
      <w:r>
        <w:rPr>
          <w:rFonts w:ascii="仿宋" w:hAnsi="仿宋" w:eastAsia="仿宋" w:cs="仿宋"/>
          <w:color w:val="auto"/>
          <w:highlight w:val="none"/>
          <w:u w:val="single"/>
        </w:rPr>
        <w:t>单价不</w:t>
      </w:r>
      <w:r>
        <w:rPr>
          <w:rFonts w:hint="eastAsia" w:ascii="仿宋" w:hAnsi="仿宋" w:eastAsia="仿宋" w:cs="仿宋"/>
          <w:color w:val="auto"/>
          <w:highlight w:val="none"/>
          <w:u w:val="single"/>
        </w:rPr>
        <w:t>予</w:t>
      </w:r>
      <w:r>
        <w:rPr>
          <w:rFonts w:ascii="仿宋" w:hAnsi="仿宋" w:eastAsia="仿宋" w:cs="仿宋"/>
          <w:color w:val="auto"/>
          <w:highlight w:val="none"/>
          <w:u w:val="single"/>
        </w:rPr>
        <w:t>调整</w:t>
      </w:r>
      <w:r>
        <w:rPr>
          <w:rFonts w:hint="eastAsia" w:ascii="仿宋" w:hAnsi="仿宋" w:eastAsia="仿宋" w:cs="仿宋"/>
          <w:color w:val="auto"/>
          <w:highlight w:val="none"/>
          <w:u w:val="single"/>
        </w:rPr>
        <w:t>。实际工作量或工程量是在满足现行岩土工程勘察规范以及设计需求的条件下，并经发包人及发包人委托的第三方共同确认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pPr>
        <w:pStyle w:val="40"/>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u w:val="single"/>
        </w:rPr>
        <w:t>结算价＝中标综合单价×工作量或工程量（但勘察费结算价不得超过经有权审核部门审定的初步设计概算中对应的勘察费金额）</w:t>
      </w:r>
    </w:p>
    <w:p>
      <w:pPr>
        <w:pStyle w:val="40"/>
        <w:spacing w:after="0" w:line="360" w:lineRule="auto"/>
        <w:ind w:firstLine="480" w:firstLineChars="200"/>
        <w:jc w:val="both"/>
        <w:rPr>
          <w:color w:val="auto"/>
          <w:highlight w:val="none"/>
          <w:lang w:bidi="en-US"/>
        </w:rPr>
      </w:pPr>
      <w:r>
        <w:rPr>
          <w:rFonts w:hint="eastAsia" w:ascii="仿宋" w:hAnsi="仿宋" w:eastAsia="仿宋" w:cs="仿宋"/>
          <w:color w:val="auto"/>
          <w:highlight w:val="none"/>
          <w:u w:val="single"/>
        </w:rPr>
        <w:t>本合同约定的勘察费为完成本合同约定的所有勘察工作内容及要求的全部费用，包括但不限于收集已有资料、现场踏勘、制定勘察纲要，进行测绘、勘探、取样、试验、测试、检测、监测等勘察作业，编制工程勘察文件和岩土工程设计文件、岩土工程技术说明、解决设计或施工中的工程勘察技术问题，参加工程测量交桩、水文地质交底、岩土工程验槽、购买有关资料、勘察文件的修改、实施勘察过程中发生的相关工作（包括障碍物拆除、开挖、地下管线的修复等）、勘察过程中发生的用材以及加工、勘察作业机具的进退场及现场搬运等服务，以及综合考虑不同自然条件下、不同作业内容、不同复杂程度及高温勘察等一切因素下的勘探作业的费用。本款约定的综合单价也已包含完成实施所有勘察工作内容的费用。</w:t>
      </w:r>
    </w:p>
    <w:p>
      <w:pPr>
        <w:pStyle w:val="22"/>
        <w:spacing w:line="360" w:lineRule="auto"/>
        <w:ind w:firstLine="723" w:firstLineChars="300"/>
        <w:jc w:val="both"/>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二、设计费</w:t>
      </w:r>
      <w:r>
        <w:rPr>
          <w:rFonts w:hint="eastAsia" w:ascii="仿宋" w:hAnsi="仿宋" w:eastAsia="仿宋" w:cs="仿宋"/>
          <w:color w:val="auto"/>
          <w:sz w:val="24"/>
          <w:szCs w:val="24"/>
          <w:highlight w:val="none"/>
        </w:rPr>
        <w:t>：</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设计费暂定合同价与结算原则：</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本合同设计费暂定为人民币</w:t>
      </w:r>
      <w:r>
        <w:rPr>
          <w:rFonts w:hint="eastAsia" w:ascii="仿宋" w:hAnsi="仿宋" w:eastAsia="仿宋" w:cs="仿宋"/>
          <w:color w:val="auto"/>
          <w:sz w:val="24"/>
          <w:szCs w:val="24"/>
          <w:highlight w:val="none"/>
          <w:u w:val="single"/>
          <w:lang w:val="en-US"/>
        </w:rPr>
        <w:t xml:space="preserve">            </w:t>
      </w:r>
      <w:r>
        <w:rPr>
          <w:rFonts w:hint="eastAsia" w:ascii="仿宋" w:hAnsi="仿宋" w:eastAsia="仿宋" w:cs="仿宋"/>
          <w:color w:val="auto"/>
          <w:sz w:val="24"/>
          <w:szCs w:val="24"/>
          <w:highlight w:val="none"/>
          <w:u w:val="single"/>
        </w:rPr>
        <w:t>元（大写：</w:t>
      </w:r>
      <w:r>
        <w:rPr>
          <w:rFonts w:hint="eastAsia" w:ascii="仿宋" w:hAnsi="仿宋" w:eastAsia="仿宋" w:cs="仿宋"/>
          <w:color w:val="auto"/>
          <w:sz w:val="24"/>
          <w:szCs w:val="24"/>
          <w:highlight w:val="none"/>
          <w:u w:val="single"/>
          <w:lang w:val="en-US"/>
        </w:rPr>
        <w:t xml:space="preserve">            </w:t>
      </w:r>
      <w:r>
        <w:rPr>
          <w:rFonts w:hint="eastAsia" w:ascii="仿宋" w:hAnsi="仿宋" w:eastAsia="仿宋" w:cs="仿宋"/>
          <w:color w:val="auto"/>
          <w:sz w:val="24"/>
          <w:szCs w:val="24"/>
          <w:highlight w:val="none"/>
          <w:u w:val="single"/>
        </w:rPr>
        <w:t>），本费用仅作为签订合同依据。</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设计费结算时按以下原则结算：</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工程设计费以经有权审核部门审定的初步设计概算中对应的设计费金额为基础，根据投标人的工程设计费中标下浮率计取工程设计费结算金额。工程设计费结算金额=初步设计概算中对应的设计费金额×（1-工程设计费中标下浮率），建设规模减少时，</w:t>
      </w:r>
      <w:r>
        <w:rPr>
          <w:rFonts w:hint="eastAsia" w:ascii="仿宋" w:hAnsi="仿宋" w:eastAsia="仿宋" w:cs="仿宋"/>
          <w:color w:val="auto"/>
          <w:sz w:val="24"/>
          <w:szCs w:val="24"/>
          <w:highlight w:val="none"/>
          <w:u w:val="single"/>
          <w:lang w:val="en-US"/>
        </w:rPr>
        <w:t>按</w:t>
      </w:r>
      <w:r>
        <w:rPr>
          <w:rFonts w:hint="eastAsia" w:ascii="仿宋" w:hAnsi="仿宋" w:eastAsia="仿宋" w:cs="仿宋"/>
          <w:color w:val="auto"/>
          <w:sz w:val="24"/>
          <w:szCs w:val="24"/>
          <w:highlight w:val="none"/>
          <w:u w:val="single"/>
        </w:rPr>
        <w:t>设计单位工作完成情况据实折算调整。</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(1)本合同设计费已包括设计送审、招标配合、施工现场的配合、指派设计代表驻场服务费用等工作的劳务、管理、出差住宿、临时办公、材料、保险、利润、税金、政策性文件规定及合同包含内的所有风险、责任等各项应有费用，不论其在招标文件中是否有提及。上述所列费用，发包人不再另行支付。</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(2)若项目涉及其它专业设计，承包人经发包人批准同意后可分包给具有相应设计资质的单位进行设计，承包人必须负责统筹管理和协调配合，确保其成果满足相关部门报审要求以及满足合同约定的各项要求。</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(3)设计承包人须承担本工程设计方案修改任务，发包人不再另行支付方案修改的费用，承包人配合办理工程报建等手续，直到办理建设用地手续为止，各个阶段设计内容及完成时间以发包人通知为准。如因发包人原因发生重大变更委托设计承包人作较大修改的，双方应酌情签订补充协议。</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(4)若施工图预算超出有权审核部门审定的初步设计概算中工程费用（一类费用）</w:t>
      </w:r>
      <w:r>
        <w:rPr>
          <w:rFonts w:hint="eastAsia" w:ascii="仿宋" w:hAnsi="仿宋" w:eastAsia="仿宋" w:cs="仿宋"/>
          <w:color w:val="auto"/>
          <w:sz w:val="24"/>
          <w:szCs w:val="24"/>
          <w:highlight w:val="none"/>
          <w:u w:val="single"/>
        </w:rPr>
        <w:t>的95%</w:t>
      </w:r>
      <w:r>
        <w:rPr>
          <w:rFonts w:hint="eastAsia" w:ascii="仿宋" w:hAnsi="仿宋" w:eastAsia="仿宋" w:cs="仿宋"/>
          <w:color w:val="auto"/>
          <w:sz w:val="24"/>
          <w:szCs w:val="24"/>
          <w:highlight w:val="none"/>
          <w:u w:val="single"/>
        </w:rPr>
        <w:t>，承包人须保证根据评审专家和发包人的意见，进行修改，并承诺该修改不改变有关设计和规划的原则、内容与要求，不改变原方案设计的构思，不降低使用功能与设计质量标准，不增加设计费用，并承担一切的责任和损失。如果施工图预算超出经确认的初步设计概算中工程费用（一类费用）</w:t>
      </w:r>
      <w:r>
        <w:rPr>
          <w:rFonts w:hint="eastAsia" w:ascii="仿宋" w:hAnsi="仿宋" w:eastAsia="仿宋" w:cs="仿宋"/>
          <w:color w:val="auto"/>
          <w:sz w:val="24"/>
          <w:szCs w:val="24"/>
          <w:highlight w:val="none"/>
          <w:u w:val="single"/>
        </w:rPr>
        <w:t>的95%</w:t>
      </w:r>
      <w:r>
        <w:rPr>
          <w:rFonts w:hint="eastAsia" w:ascii="仿宋" w:hAnsi="仿宋" w:eastAsia="仿宋" w:cs="仿宋"/>
          <w:color w:val="auto"/>
          <w:sz w:val="24"/>
          <w:szCs w:val="24"/>
          <w:highlight w:val="none"/>
          <w:u w:val="single"/>
        </w:rPr>
        <w:t>，承包人须保证无偿在初步设计的基础上对施工图进行修改，项目立项投资调整而引起的设计概算修改除外。</w:t>
      </w:r>
    </w:p>
    <w:p>
      <w:pPr>
        <w:pStyle w:val="22"/>
        <w:spacing w:line="360" w:lineRule="auto"/>
        <w:ind w:firstLine="720" w:firstLineChars="300"/>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发包人所提供的设计依据仅为参考，最终以政府规划部门批复的相关文件为准，项目立项投资调整引起的设计修改除外。</w:t>
      </w:r>
    </w:p>
    <w:p>
      <w:pPr>
        <w:pStyle w:val="22"/>
        <w:spacing w:line="360" w:lineRule="auto"/>
        <w:ind w:firstLine="723" w:firstLineChars="300"/>
        <w:jc w:val="both"/>
        <w:rPr>
          <w:rFonts w:ascii="仿宋" w:hAnsi="仿宋" w:eastAsia="仿宋" w:cs="仿宋"/>
          <w:b/>
          <w:bCs/>
          <w:color w:val="auto"/>
          <w:highlight w:val="none"/>
        </w:rPr>
      </w:pPr>
      <w:r>
        <w:rPr>
          <w:rFonts w:hint="eastAsia" w:ascii="仿宋" w:hAnsi="仿宋" w:eastAsia="仿宋" w:cs="仿宋"/>
          <w:b/>
          <w:bCs/>
          <w:color w:val="auto"/>
          <w:sz w:val="24"/>
          <w:szCs w:val="24"/>
          <w:highlight w:val="none"/>
        </w:rPr>
        <w:t>三、工程费：</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1本工程施工费暂定为人民币：</w:t>
      </w:r>
      <w:r>
        <w:rPr>
          <w:rFonts w:hint="eastAsia" w:eastAsia="仿宋"/>
          <w:color w:val="auto"/>
          <w:highlight w:val="none"/>
          <w:u w:val="single"/>
          <w:lang w:val="en-US"/>
        </w:rPr>
        <w:t xml:space="preserve">          </w:t>
      </w:r>
      <w:r>
        <w:rPr>
          <w:rFonts w:hint="eastAsia" w:ascii="仿宋" w:hAnsi="仿宋" w:eastAsia="仿宋" w:cs="仿宋"/>
          <w:color w:val="auto"/>
          <w:highlight w:val="none"/>
          <w:u w:val="single"/>
        </w:rPr>
        <w:t>元（大写：</w:t>
      </w:r>
      <w:r>
        <w:rPr>
          <w:rFonts w:hint="eastAsia" w:eastAsia="仿宋"/>
          <w:color w:val="auto"/>
          <w:highlight w:val="none"/>
          <w:u w:val="single"/>
          <w:lang w:val="en-US"/>
        </w:rPr>
        <w:t xml:space="preserve">         </w:t>
      </w:r>
      <w:r>
        <w:rPr>
          <w:rFonts w:hint="eastAsia"/>
          <w:color w:val="auto"/>
          <w:highlight w:val="none"/>
          <w:u w:val="single"/>
        </w:rPr>
        <w:t>元整</w:t>
      </w:r>
      <w:r>
        <w:rPr>
          <w:rFonts w:hint="eastAsia" w:ascii="仿宋" w:hAnsi="仿宋" w:eastAsia="仿宋" w:cs="仿宋"/>
          <w:color w:val="auto"/>
          <w:highlight w:val="none"/>
          <w:u w:val="single"/>
        </w:rPr>
        <w:t>），本费用仅作为签订合同依据。</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2 关于预算编制原则：</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（1）分部分项工程费</w:t>
      </w:r>
    </w:p>
    <w:p>
      <w:pPr>
        <w:pStyle w:val="40"/>
        <w:spacing w:after="0" w:line="360" w:lineRule="auto"/>
        <w:ind w:firstLine="480" w:firstLineChars="200"/>
        <w:jc w:val="both"/>
        <w:rPr>
          <w:rFonts w:ascii="仿宋" w:hAnsi="仿宋" w:eastAsia="仿宋" w:cs="仿宋"/>
          <w:color w:val="auto"/>
          <w:highlight w:val="none"/>
          <w:u w:val="single"/>
        </w:rPr>
      </w:pPr>
      <w:r>
        <w:rPr>
          <w:rFonts w:hint="eastAsia" w:ascii="仿宋" w:hAnsi="仿宋" w:eastAsia="仿宋" w:cs="仿宋"/>
          <w:color w:val="auto"/>
          <w:highlight w:val="none"/>
          <w:u w:val="single"/>
        </w:rPr>
        <w:t>A、计价依据</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1）本项目招标文件；</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2）本项目投标文件（中标下浮率）；</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3）经审查的施工图设计文件；</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4）经审定的初步设计概算；</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5）《建设工程工程量清单计价规范》（GB50500-2013）；</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6）《广东省建设工程计价依据（2018）》、《广东省房屋建筑与装饰工程综合定额（2018）》、《广东省通用安装工程综合定额（2018）》、《广东省市政工程综合定额（2018）》、《广东省园林绿化工程综合定额（2018）》（本合同约定的全部定额标准均包含其配套定额勘误，下同）；</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7）《广州地区建设工程常用材料税前综合价格》(以下简称“《综合价格》”)；</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8）《广州地区建设工程材料（设备）厂商价格信息》的税前材料价格（以下简称“《厂商价格信息》”）；</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9）省市相关文件要求。</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10）发包人和承包人共同约定的其他依据。</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B、确定工程量</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以经审查通过后的施工图为依据，按工程量计算规范（GB50</w:t>
      </w:r>
      <w:r>
        <w:rPr>
          <w:rFonts w:hint="eastAsia" w:ascii="仿宋" w:hAnsi="仿宋" w:eastAsia="仿宋" w:cs="仿宋"/>
          <w:color w:val="auto"/>
          <w:highlight w:val="none"/>
          <w:u w:val="single"/>
          <w:lang w:val="en-US"/>
        </w:rPr>
        <w:t>85</w:t>
      </w:r>
      <w:r>
        <w:rPr>
          <w:rFonts w:hint="eastAsia" w:ascii="仿宋" w:hAnsi="仿宋" w:eastAsia="仿宋" w:cs="仿宋"/>
          <w:color w:val="auto"/>
          <w:highlight w:val="none"/>
          <w:u w:val="single"/>
        </w:rPr>
        <w:t>4～50862-2013）计算工程量，最终以经发包人确认的竣工图为依据结算。</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C、确定综合单价</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1）确定人、材、机价格</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人、材、机价格执行广州市建设工程造价管理站颁布的《广州市建设工程价格信息及有关计价办法的通知》</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①施工预算编制期当月广州市建设工程造价管理站发布的《综合价格》中有相应材料综合价格的，则按《综合价格》中相应材料综合价格执行。《综合价格》中可能有材料或者设备单价但涉及品质、效果的材料设备单价按照发包人审核确定的实物样板以及品质（或者技术）要求，根据本款第2）及第3）点确定主材价，具体材料设备类型如下：石材、瓷砖、卫生洁具、开关插座面板、灯具、窗帘（如有）、木地板、地毯、木饰面、门、门锁。</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②施工预算编制期当月《综合价格》中没有的，参照当季度广州市工程造价行业协会发布的《厂商价格信息》相应的材料价格</w:t>
      </w:r>
      <w:r>
        <w:rPr>
          <w:rFonts w:hint="eastAsia" w:ascii="仿宋" w:hAnsi="仿宋" w:eastAsia="仿宋" w:cs="仿宋"/>
          <w:color w:val="auto"/>
          <w:highlight w:val="none"/>
          <w:u w:val="single"/>
          <w:lang w:val="en-US"/>
        </w:rPr>
        <w:t>下浮15%</w:t>
      </w:r>
      <w:r>
        <w:rPr>
          <w:rFonts w:hint="eastAsia" w:ascii="仿宋" w:hAnsi="仿宋" w:eastAsia="仿宋" w:cs="仿宋"/>
          <w:color w:val="auto"/>
          <w:highlight w:val="none"/>
          <w:u w:val="single"/>
        </w:rPr>
        <w:t>；</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③施工预算编制期当月《综合价格》和当季度《厂商价格信息》中均没有相应价格的，由发包人、承包人根据合理的市场价格水平协商确定。</w:t>
      </w:r>
    </w:p>
    <w:p>
      <w:pPr>
        <w:pStyle w:val="41"/>
        <w:spacing w:line="360" w:lineRule="auto"/>
        <w:ind w:firstLine="55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2）综合单价编制方式</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按照下列标准确定人工、材料和机械的消耗量：</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《广东省房屋建筑与装饰工程综合定额（2018）》；</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《广东省通用安装工程综合定额（2018）》；</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《广东省市政工程工程综合定额（2018）》；</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《广东省园林绿化工程综合定额（2018）》。</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上述定额查找不到的可参考其他相关定额或由发包人与承包人协商确定。</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（2）措施项目费</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1）按工程量及综合单价确定原则及相关规范、文件计取。</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2）结算时原则上按经审批的施工图预算确定的单价措施项目费综合单价包干，按项计算的措施项目费总价包干（专业工程暂估价包含的施工内容措施费按实结算）。</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（3）其他项目费</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1）建设工程质量、安全监测、材料检验试验业务由发包人依法委托，不在本合同承包范围。</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2）预算包干费按相关规定执行。</w:t>
      </w:r>
    </w:p>
    <w:p>
      <w:pPr>
        <w:pStyle w:val="40"/>
        <w:spacing w:after="0" w:line="360" w:lineRule="auto"/>
        <w:ind w:firstLine="660" w:firstLineChars="275"/>
        <w:jc w:val="both"/>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3）规费、税金：有关规费和税金项目，按相关规定执行。 </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（3）本项目施工图预算采用分阶段编报方式，每阶段（或节点）施工图审查通过后</w:t>
      </w:r>
      <w:r>
        <w:rPr>
          <w:rFonts w:ascii="仿宋" w:hAnsi="仿宋" w:eastAsia="仿宋" w:cs="仿宋"/>
          <w:color w:val="auto"/>
          <w:highlight w:val="none"/>
          <w:u w:val="single"/>
        </w:rPr>
        <w:t>50</w:t>
      </w:r>
      <w:r>
        <w:rPr>
          <w:rFonts w:hint="eastAsia" w:ascii="仿宋" w:hAnsi="仿宋" w:eastAsia="仿宋" w:cs="仿宋"/>
          <w:color w:val="auto"/>
          <w:highlight w:val="none"/>
          <w:u w:val="single"/>
        </w:rPr>
        <w:t xml:space="preserve">天内应提交施工图预算书。 </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4）承包人应严格按批准的限额设计指标完成设计工作，并进行相应经济分析。编制施工图预算时，在项目清单内主材取价必须列明主材、设备的品牌、厂家以及规格或质量等级等内容，经发包人审批同意后方可采购使用。 </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（5）本项目实行限额设计，限额投资，施工图预算不得超过经审定批复的初步设计概算中的工程费用（一类费用）</w:t>
      </w:r>
      <w:r>
        <w:rPr>
          <w:rFonts w:hint="eastAsia" w:ascii="仿宋" w:hAnsi="仿宋" w:eastAsia="仿宋" w:cs="仿宋"/>
          <w:color w:val="auto"/>
          <w:highlight w:val="none"/>
          <w:u w:val="single"/>
        </w:rPr>
        <w:t>的95%</w:t>
      </w:r>
      <w:r>
        <w:rPr>
          <w:rFonts w:hint="eastAsia" w:ascii="仿宋" w:hAnsi="仿宋" w:eastAsia="仿宋" w:cs="仿宋"/>
          <w:color w:val="auto"/>
          <w:highlight w:val="none"/>
          <w:u w:val="single"/>
        </w:rPr>
        <w:t>，如超过批复的初步设计概算中的工程费用（一类费用）</w:t>
      </w:r>
      <w:r>
        <w:rPr>
          <w:rFonts w:hint="eastAsia" w:ascii="仿宋" w:hAnsi="仿宋" w:eastAsia="仿宋" w:cs="仿宋"/>
          <w:color w:val="auto"/>
          <w:highlight w:val="none"/>
          <w:u w:val="single"/>
        </w:rPr>
        <w:t>的95%</w:t>
      </w:r>
      <w:r>
        <w:rPr>
          <w:rFonts w:hint="eastAsia" w:ascii="仿宋" w:hAnsi="仿宋" w:eastAsia="仿宋" w:cs="仿宋"/>
          <w:color w:val="auto"/>
          <w:highlight w:val="none"/>
          <w:u w:val="single"/>
        </w:rPr>
        <w:t>，承包人须进行重新调整设计或优化设计，直至施工图预算在审定批复的初步设计概算中的工程费用（一类费用）</w:t>
      </w:r>
      <w:r>
        <w:rPr>
          <w:rFonts w:hint="eastAsia" w:ascii="仿宋" w:hAnsi="仿宋" w:eastAsia="仿宋" w:cs="仿宋"/>
          <w:color w:val="auto"/>
          <w:highlight w:val="none"/>
          <w:u w:val="single"/>
        </w:rPr>
        <w:t>的95%</w:t>
      </w:r>
      <w:r>
        <w:rPr>
          <w:rFonts w:hint="eastAsia" w:ascii="仿宋" w:hAnsi="仿宋" w:eastAsia="仿宋" w:cs="仿宋"/>
          <w:color w:val="auto"/>
          <w:highlight w:val="none"/>
          <w:u w:val="single"/>
        </w:rPr>
        <w:t xml:space="preserve">以内，重新调整设计或优化设计不得降低工程规模、使用标准、质量等级，其成果须经发包人批准。发包人增加工程投资内容或合同另有约定的情况除外， </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重新调整设计或优化设计的设计费用由承包人自行承担，施工图预算编制费或重新调整设计或优化设计重新调整的施工图预算编制费由承包人自行承担。 </w:t>
      </w:r>
    </w:p>
    <w:p>
      <w:pPr>
        <w:pStyle w:val="41"/>
        <w:spacing w:line="360" w:lineRule="auto"/>
        <w:ind w:firstLine="480"/>
        <w:jc w:val="both"/>
        <w:rPr>
          <w:rFonts w:eastAsia="仿宋"/>
          <w:color w:val="auto"/>
          <w:sz w:val="24"/>
          <w:szCs w:val="24"/>
          <w:highlight w:val="none"/>
          <w:lang w:val="en-US"/>
        </w:rPr>
      </w:pP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rPr>
        <w:t>6</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rPr>
        <w:t>预算编审中涉及费率区间范围的，取中值；除业主指定分包的专业工程外，不计取总承包管理费。</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3施工图预算的审核</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w:t>
      </w:r>
      <w:r>
        <w:rPr>
          <w:rFonts w:ascii="仿宋" w:hAnsi="仿宋" w:eastAsia="仿宋" w:cs="仿宋"/>
          <w:color w:val="auto"/>
          <w:highlight w:val="none"/>
          <w:u w:val="single"/>
        </w:rPr>
        <w:t>1）发包人审核承包人提交的施工图预算书，若承包人不能按合同约定的时间提交预算编制成果文件或其质量不能满足规定成果文件要求，经发包人催告后仍不能如期提交或质量不达标，发包人可委托第三方造价咨询单位编制施工图预算书，送交承包人核对，并在规定时间内（90天）完成校对并确认，若超过规定时间则视为承包人同意第三方造价咨询单位编制的施工图预算结果。造价咨询费用由承包人支付或在进度款中扣除。</w:t>
      </w:r>
      <w:r>
        <w:rPr>
          <w:rFonts w:hint="eastAsia" w:ascii="仿宋" w:hAnsi="仿宋" w:eastAsia="仿宋" w:cs="仿宋"/>
          <w:color w:val="auto"/>
          <w:highlight w:val="none"/>
          <w:u w:val="single"/>
        </w:rPr>
        <w:t xml:space="preserve"> </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（2）预算审核确定方式 </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承包人需按照发包人要求，配合发包人进行施工图预算审核。</w:t>
      </w:r>
      <w:r>
        <w:rPr>
          <w:rFonts w:hint="eastAsia" w:ascii="仿宋" w:hAnsi="仿宋" w:eastAsia="仿宋" w:cs="仿宋"/>
          <w:color w:val="auto"/>
          <w:highlight w:val="none"/>
          <w:u w:val="single"/>
        </w:rPr>
        <w:t>承包人在收到审核意见后</w:t>
      </w:r>
      <w:r>
        <w:rPr>
          <w:rFonts w:hint="eastAsia" w:ascii="仿宋" w:hAnsi="仿宋" w:eastAsia="仿宋" w:cs="仿宋"/>
          <w:color w:val="auto"/>
          <w:highlight w:val="none"/>
          <w:u w:val="single"/>
          <w:lang w:val="en-US"/>
        </w:rPr>
        <w:t>30</w:t>
      </w:r>
      <w:r>
        <w:rPr>
          <w:rFonts w:hint="eastAsia" w:ascii="仿宋" w:hAnsi="仿宋" w:eastAsia="仿宋" w:cs="仿宋"/>
          <w:color w:val="auto"/>
          <w:highlight w:val="none"/>
          <w:u w:val="single"/>
        </w:rPr>
        <w:t>日历天内完成校对并确认，出具复核意见，承包人对审核若有异议，则双方进行对数。</w:t>
      </w:r>
      <w:r>
        <w:rPr>
          <w:rFonts w:hint="eastAsia" w:ascii="仿宋" w:hAnsi="仿宋" w:eastAsia="仿宋" w:cs="仿宋"/>
          <w:color w:val="auto"/>
          <w:highlight w:val="none"/>
          <w:u w:val="single"/>
        </w:rPr>
        <w:t>如承包人未在规定时间内提出复核意见，则视为承包人同意审核结果，经发包人同意后确定预算价。如在进度款的支付阶段还未能确定预算价的，为保证施工进度不受影响，则暂按不超批复的概算建安工程费，并以实际进度工程量的80%为基础进行进度款支付，待预算确定后，在下一次进度款支付阶段对应调整。</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承包人未能按时提交施工图预算书，发包人有权委托第三方造价咨询单位编制相应项目施工图预算书，承包人需按要求提供相关资料及配合工作，承包人应在收到第三方造价咨询单位编制的施工图预算书</w:t>
      </w:r>
      <w:r>
        <w:rPr>
          <w:rFonts w:ascii="仿宋" w:hAnsi="仿宋" w:eastAsia="仿宋" w:cs="仿宋"/>
          <w:color w:val="auto"/>
          <w:highlight w:val="none"/>
          <w:u w:val="single"/>
        </w:rPr>
        <w:t>30</w:t>
      </w:r>
      <w:r>
        <w:rPr>
          <w:rFonts w:hint="eastAsia" w:ascii="仿宋" w:hAnsi="仿宋" w:eastAsia="仿宋" w:cs="仿宋"/>
          <w:color w:val="auto"/>
          <w:highlight w:val="none"/>
          <w:u w:val="single"/>
        </w:rPr>
        <w:t>日历天内完成核对</w:t>
      </w:r>
      <w:r>
        <w:rPr>
          <w:rFonts w:hint="eastAsia" w:ascii="仿宋" w:hAnsi="仿宋" w:eastAsia="仿宋" w:cs="仿宋"/>
          <w:color w:val="auto"/>
          <w:highlight w:val="none"/>
          <w:u w:val="single"/>
          <w:lang w:val="en-US"/>
        </w:rPr>
        <w:t>并确认</w:t>
      </w:r>
      <w:r>
        <w:rPr>
          <w:rFonts w:hint="eastAsia" w:ascii="仿宋" w:hAnsi="仿宋" w:eastAsia="仿宋" w:cs="仿宋"/>
          <w:color w:val="auto"/>
          <w:highlight w:val="none"/>
          <w:u w:val="single"/>
        </w:rPr>
        <w:t>。因承包人送审预算延迟、核对预算延迟，或对数延误产生的后果由承包人承担。该部分第三方造价咨询费由承包人承担，在结算中扣除。</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4合同价款的确定</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1）施工图预算价经相关单位评审后，以审定的施工图预算结合中标下浮率下浮后确定其修正后合同价格及合同价格清单并签订补充协议，作为工程进度款拨付的依据。合同价格清单确定原则：施工图预算中的所有分部分项工程综合单价、以分部分项方式计价或以费率计算的措施项目综合单价、以“项”计价的措施项目合价均需乘以（1-施工费中标下浮率），此处施工费中标下浮率公式=[1-（施工费中标价）/（施工费招标限价）]×100% ，规费和税金按相关规定计算。</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（2）暂估价项目：以发包人审定的为准。</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w:t>
      </w:r>
      <w:r>
        <w:rPr>
          <w:rFonts w:ascii="仿宋" w:hAnsi="仿宋" w:eastAsia="仿宋" w:cs="仿宋"/>
          <w:color w:val="auto"/>
          <w:highlight w:val="none"/>
          <w:u w:val="single"/>
        </w:rPr>
        <w:t>3</w:t>
      </w:r>
      <w:r>
        <w:rPr>
          <w:rFonts w:hint="eastAsia" w:ascii="仿宋" w:hAnsi="仿宋" w:eastAsia="仿宋" w:cs="仿宋"/>
          <w:color w:val="auto"/>
          <w:highlight w:val="none"/>
          <w:u w:val="single"/>
        </w:rPr>
        <w:t>）本项目要求承包人组织施工BIM模型创建、施工BIM的技术应用、基于BIM的全过程管理包括工程质量、安全、进度、成本等，以及施工BIM成果的归档和移交，相关费用已包含在合同BIM技术应用费中，不另行计取。若承包人在施工BIM未按合同约定执行的，按照发包人考核标准扣除。</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5工程项目实施期间和结算时，依据批准的施工图设计文件或监理单位和发包人现场签证确认或设计变更产生施工图预算中没有的工程项目，视为新增及变更项目，按专用条款第7</w:t>
      </w:r>
      <w:r>
        <w:rPr>
          <w:rFonts w:ascii="仿宋" w:hAnsi="仿宋" w:eastAsia="仿宋" w:cs="仿宋"/>
          <w:color w:val="auto"/>
          <w:highlight w:val="none"/>
          <w:u w:val="single"/>
        </w:rPr>
        <w:t>9</w:t>
      </w:r>
      <w:r>
        <w:rPr>
          <w:rFonts w:hint="eastAsia" w:ascii="仿宋" w:hAnsi="仿宋" w:eastAsia="仿宋" w:cs="仿宋"/>
          <w:color w:val="auto"/>
          <w:highlight w:val="none"/>
          <w:u w:val="single"/>
        </w:rPr>
        <w:t>条款约定定价。</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6承包人应当在设计变更发生后14天内，将调整原因、金额以书面形式通知监理工程师和发包人代表，经发包人规定的审批流程确认后调整金额后作为追加合同价款。 </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7对各合同内发包人委托第三方检测、监测、测量的工作，凡需互相配合协作的，承包人应按发包人的指令积极予以配合和提供方便（如施工水电、施工通道、场地等），不得借故收取额外费用，水电费由使用方负责。</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8临时用水、临时用电费用由承包人自行解决，相应</w:t>
      </w:r>
      <w:r>
        <w:rPr>
          <w:rFonts w:hint="eastAsia" w:ascii="仿宋" w:hAnsi="仿宋" w:eastAsia="仿宋" w:cs="仿宋"/>
          <w:color w:val="auto"/>
          <w:highlight w:val="none"/>
          <w:u w:val="single"/>
          <w:lang w:val="en-US"/>
        </w:rPr>
        <w:t>费用视为承包人在投标报价综合考虑，发包人不再另行支付</w:t>
      </w:r>
      <w:r>
        <w:rPr>
          <w:rFonts w:hint="eastAsia" w:ascii="仿宋" w:hAnsi="仿宋" w:eastAsia="仿宋" w:cs="仿宋"/>
          <w:color w:val="auto"/>
          <w:highlight w:val="none"/>
          <w:u w:val="single"/>
        </w:rPr>
        <w:t>，不得借故收取额外费用。</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9措施项目费不因施工期间人工、材料及机械价格变化、施工条件、工程规模的变化和政府造价管理部门调整各项收费等而调整；在工程实施过程中，即使发生工程变更或工程量偏差需调整合同价格的，措施项目费也不调整（甩项除外）。</w:t>
      </w:r>
    </w:p>
    <w:p>
      <w:pPr>
        <w:pStyle w:val="40"/>
        <w:spacing w:after="0" w:line="360" w:lineRule="auto"/>
        <w:jc w:val="both"/>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10该工程所涉及开挖市政道路及人行道砖，承包人须负责向相关部门申报开挖并缴纳相应的费用。 </w:t>
      </w:r>
    </w:p>
    <w:p>
      <w:pPr>
        <w:spacing w:line="360" w:lineRule="auto"/>
        <w:ind w:firstLine="480"/>
        <w:jc w:val="both"/>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四、BIM技术应用费</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BIM技术应用费暂定合同价与结算原则：</w:t>
      </w:r>
    </w:p>
    <w:p>
      <w:pPr>
        <w:spacing w:line="360" w:lineRule="auto"/>
        <w:ind w:firstLine="240" w:firstLineChars="100"/>
        <w:jc w:val="both"/>
        <w:rPr>
          <w:color w:val="auto"/>
          <w:highlight w:val="none"/>
          <w:u w:val="single"/>
          <w:lang w:eastAsia="zh-CN"/>
        </w:rPr>
      </w:pPr>
      <w:r>
        <w:rPr>
          <w:rFonts w:hint="eastAsia" w:ascii="仿宋" w:hAnsi="仿宋" w:eastAsia="仿宋" w:cs="仿宋"/>
          <w:color w:val="auto"/>
          <w:highlight w:val="none"/>
          <w:u w:val="single"/>
          <w:lang w:eastAsia="zh-CN"/>
        </w:rPr>
        <w:t>本合同BIM技术应用费暂定为人民币：</w:t>
      </w:r>
      <w:r>
        <w:rPr>
          <w:rFonts w:hint="eastAsia"/>
          <w:color w:val="auto"/>
          <w:highlight w:val="none"/>
          <w:u w:val="single"/>
          <w:lang w:eastAsia="zh-CN"/>
        </w:rPr>
        <w:t xml:space="preserve">          </w:t>
      </w:r>
      <w:r>
        <w:rPr>
          <w:rFonts w:hint="eastAsia" w:ascii="仿宋" w:hAnsi="仿宋" w:eastAsia="仿宋" w:cs="仿宋"/>
          <w:color w:val="auto"/>
          <w:highlight w:val="none"/>
          <w:u w:val="single"/>
          <w:lang w:eastAsia="zh-CN"/>
        </w:rPr>
        <w:t>元（大写：</w:t>
      </w:r>
      <w:r>
        <w:rPr>
          <w:rFonts w:hint="eastAsia"/>
          <w:color w:val="auto"/>
          <w:highlight w:val="none"/>
          <w:u w:val="single"/>
          <w:lang w:eastAsia="zh-CN"/>
        </w:rPr>
        <w:t xml:space="preserve">             整</w:t>
      </w:r>
      <w:r>
        <w:rPr>
          <w:rFonts w:hint="eastAsia" w:ascii="仿宋" w:hAnsi="仿宋" w:eastAsia="仿宋" w:cs="仿宋"/>
          <w:color w:val="auto"/>
          <w:highlight w:val="none"/>
          <w:u w:val="single"/>
          <w:lang w:eastAsia="zh-CN"/>
        </w:rPr>
        <w:t>）。</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BIM技术应用费结算时按以下原则结算：</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BIM技术应用费由</w:t>
      </w:r>
      <w:r>
        <w:rPr>
          <w:rFonts w:hint="eastAsia" w:ascii="仿宋" w:hAnsi="仿宋" w:eastAsia="仿宋" w:cs="仿宋"/>
          <w:color w:val="auto"/>
          <w:sz w:val="24"/>
          <w:szCs w:val="24"/>
          <w:highlight w:val="none"/>
          <w:lang w:val="en-US"/>
        </w:rPr>
        <w:t>承包人</w:t>
      </w:r>
      <w:r>
        <w:rPr>
          <w:rFonts w:hint="eastAsia" w:ascii="仿宋" w:hAnsi="仿宋" w:eastAsia="仿宋" w:cs="仿宋"/>
          <w:color w:val="auto"/>
          <w:sz w:val="24"/>
          <w:szCs w:val="24"/>
          <w:highlight w:val="none"/>
        </w:rPr>
        <w:t>按</w:t>
      </w:r>
      <w:r>
        <w:rPr>
          <w:rFonts w:hint="eastAsia" w:ascii="仿宋" w:hAnsi="仿宋" w:eastAsia="仿宋" w:cs="仿宋"/>
          <w:color w:val="auto"/>
          <w:sz w:val="24"/>
          <w:szCs w:val="24"/>
          <w:highlight w:val="none"/>
        </w:rPr>
        <w:t>BIM技术应用费</w:t>
      </w:r>
      <w:r>
        <w:rPr>
          <w:rFonts w:hint="eastAsia" w:ascii="仿宋" w:hAnsi="仿宋" w:eastAsia="仿宋" w:cs="仿宋"/>
          <w:color w:val="auto"/>
          <w:sz w:val="24"/>
          <w:szCs w:val="24"/>
          <w:highlight w:val="none"/>
        </w:rPr>
        <w:t>中标价实行合同总价包干</w:t>
      </w:r>
      <w:r>
        <w:rPr>
          <w:rFonts w:hint="eastAsia" w:ascii="仿宋" w:hAnsi="仿宋" w:eastAsia="仿宋" w:cs="仿宋"/>
          <w:color w:val="auto"/>
          <w:sz w:val="24"/>
          <w:szCs w:val="24"/>
          <w:highlight w:val="none"/>
        </w:rPr>
        <w:t>，且BIM技术应用费不得超过经有权审核部门审定的初步设计概算中对应的BIM技术应用费金额</w:t>
      </w:r>
      <w:r>
        <w:rPr>
          <w:rFonts w:hint="eastAsia" w:ascii="仿宋" w:hAnsi="仿宋" w:eastAsia="仿宋" w:cs="仿宋"/>
          <w:color w:val="auto"/>
          <w:highlight w:val="none"/>
          <w:lang w:eastAsia="zh-CN"/>
        </w:rPr>
        <w:t>且不得超过投标总价</w:t>
      </w:r>
      <w:r>
        <w:rPr>
          <w:rFonts w:hint="eastAsia" w:ascii="仿宋" w:hAnsi="仿宋" w:eastAsia="仿宋" w:cs="仿宋"/>
          <w:color w:val="auto"/>
          <w:sz w:val="24"/>
          <w:szCs w:val="24"/>
          <w:highlight w:val="none"/>
        </w:rPr>
        <w:t>，建设规模减少时折算后据实调整。</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(1)本合同BIM技术应用费已包括BIM设计、BIM各阶段技术应用，论证阶段评审及征询意见等所发生的相关费用包含在上述合同价中。</w:t>
      </w:r>
    </w:p>
    <w:p>
      <w:pPr>
        <w:pStyle w:val="22"/>
        <w:spacing w:line="360" w:lineRule="auto"/>
        <w:ind w:firstLine="720" w:firstLineChars="300"/>
        <w:jc w:val="both"/>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(2)BIM技术应用承包人须承担本工程BIM技术应用方案修改任务，发包人不再另行支付方案修改的费用，承包人配合办理工程报建等手续，各个阶段内容及完成时间以发包人通知为准。</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69.3 合同价款的调整事项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（2）可调价变更的量化指标。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①相对于合同基础资料的重大调整量化指标：</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②重大地质变化量化指标：</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③不可抗力导致工程费增减额的承担比例：</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（6）其他调整事项：</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后继法律变化事件；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工程变更事件；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费用索赔事件；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现场签证事件；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物价涨落事件；</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收费减免：本项目如能办理到相关的收费减免（如余泥渣土排放费等）；</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税率调整。</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69.5价差调整在工程进度款支付时不计入，但需在当期向第三方造价咨询单位、监理等单位报备，并经发包人确认。在工程竣工结算时结清。</w:t>
      </w:r>
    </w:p>
    <w:p>
      <w:pPr>
        <w:pStyle w:val="4"/>
        <w:tabs>
          <w:tab w:val="left" w:pos="420"/>
        </w:tabs>
        <w:spacing w:line="360" w:lineRule="auto"/>
        <w:ind w:firstLine="105"/>
        <w:rPr>
          <w:rFonts w:ascii="仿宋" w:hAnsi="仿宋" w:eastAsia="仿宋" w:cs="仿宋"/>
          <w:i w:val="0"/>
          <w:iCs w:val="0"/>
          <w:color w:val="auto"/>
          <w:sz w:val="24"/>
          <w:szCs w:val="24"/>
          <w:highlight w:val="none"/>
        </w:rPr>
      </w:pPr>
      <w:bookmarkStart w:id="850" w:name="_Toc11303"/>
      <w:bookmarkStart w:id="851" w:name="_Toc32302"/>
      <w:bookmarkStart w:id="852" w:name="_Toc47694432"/>
      <w:r>
        <w:rPr>
          <w:rFonts w:hint="eastAsia" w:ascii="仿宋" w:hAnsi="仿宋" w:eastAsia="仿宋" w:cs="仿宋"/>
          <w:i w:val="0"/>
          <w:iCs w:val="0"/>
          <w:color w:val="auto"/>
          <w:sz w:val="24"/>
          <w:szCs w:val="24"/>
          <w:highlight w:val="none"/>
        </w:rPr>
        <w:t>★71. 工作量或工程量</w:t>
      </w:r>
      <w:bookmarkEnd w:id="850"/>
      <w:bookmarkEnd w:id="851"/>
      <w:bookmarkEnd w:id="852"/>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71.1 清单工程量包括的工作内容</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按通用条款规定。</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rPr>
          <w:i w:val="0"/>
          <w:iCs w:val="0"/>
          <w:color w:val="auto"/>
          <w:highlight w:val="none"/>
        </w:rPr>
      </w:pPr>
      <w:bookmarkStart w:id="853" w:name="_Toc27457"/>
      <w:bookmarkStart w:id="854" w:name="_Toc31369"/>
      <w:bookmarkStart w:id="855" w:name="_Toc47694433"/>
      <w:r>
        <w:rPr>
          <w:rFonts w:hint="eastAsia" w:ascii="仿宋" w:hAnsi="仿宋" w:eastAsia="仿宋" w:cs="仿宋"/>
          <w:i w:val="0"/>
          <w:iCs w:val="0"/>
          <w:color w:val="auto"/>
          <w:sz w:val="24"/>
          <w:szCs w:val="24"/>
          <w:highlight w:val="none"/>
        </w:rPr>
        <w:t>★72. 计量和计价</w:t>
      </w:r>
      <w:bookmarkEnd w:id="853"/>
      <w:bookmarkEnd w:id="854"/>
      <w:bookmarkEnd w:id="855"/>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72.1.1 工程勘察费的计量规则与计价办法（应与第69条选择的合同价格形式对应）</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（1）适用范围：总价合同的范围为：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 xml:space="preserve">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（2）计量规则与计价办法：</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单价不予调整。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其中：A＝协议书约定的相应总价±合同约定的价格调整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按专用条款第6</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条。</w:t>
      </w:r>
    </w:p>
    <w:p>
      <w:pPr>
        <w:spacing w:line="360" w:lineRule="auto"/>
        <w:rPr>
          <w:rFonts w:ascii="仿宋" w:hAnsi="仿宋" w:eastAsia="仿宋" w:cs="仿宋"/>
          <w:color w:val="auto"/>
          <w:highlight w:val="none"/>
          <w:lang w:eastAsia="zh-CN"/>
        </w:rPr>
      </w:pPr>
      <w:bookmarkStart w:id="856" w:name="_Toc16689"/>
      <w:r>
        <w:rPr>
          <w:rFonts w:hint="eastAsia" w:ascii="仿宋" w:hAnsi="仿宋" w:eastAsia="仿宋" w:cs="仿宋"/>
          <w:color w:val="auto"/>
          <w:highlight w:val="none"/>
          <w:lang w:eastAsia="zh-CN"/>
        </w:rPr>
        <w:t>72.1.2 工程设计费的计量规则与计价办法</w:t>
      </w:r>
      <w:bookmarkEnd w:id="856"/>
    </w:p>
    <w:p>
      <w:pPr>
        <w:spacing w:line="360" w:lineRule="auto"/>
        <w:ind w:firstLine="600" w:firstLineChars="250"/>
        <w:rPr>
          <w:rFonts w:ascii="仿宋" w:hAnsi="仿宋" w:eastAsia="仿宋" w:cs="仿宋"/>
          <w:color w:val="auto"/>
          <w:highlight w:val="none"/>
          <w:lang w:eastAsia="zh-CN"/>
        </w:rPr>
      </w:pPr>
      <w:bookmarkStart w:id="857" w:name="_Toc15361"/>
      <w:r>
        <w:rPr>
          <w:rFonts w:hint="eastAsia" w:ascii="仿宋" w:hAnsi="仿宋" w:eastAsia="仿宋" w:cs="仿宋"/>
          <w:color w:val="auto"/>
          <w:highlight w:val="none"/>
          <w:lang w:eastAsia="zh-CN"/>
        </w:rPr>
        <w:t>□ 总价合同：按协议书约定的价格总价包干，除合同约定允许调整的事项外，总价不予调整。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按专用条款第6</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 xml:space="preserve">条。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72.1.3  BIM技术应用费的计量规则与计价办法</w:t>
      </w:r>
      <w:bookmarkEnd w:id="857"/>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总价合同：按协议书约定的价格总价包干，除合同约定允许调整的事项外，总价不予调整。</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按专用条款第6</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条。</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72.1.4 设备及工器具购置费的计量规则与计价办法</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（1）适用范围：总价合同的范围为：</w:t>
      </w:r>
      <w:r>
        <w:rPr>
          <w:rFonts w:hint="eastAsia" w:ascii="仿宋" w:hAnsi="仿宋" w:eastAsia="仿宋" w:cs="仿宋"/>
          <w:color w:val="auto"/>
          <w:highlight w:val="none"/>
          <w:u w:val="single"/>
          <w:lang w:eastAsia="zh-CN"/>
        </w:rPr>
        <w:t xml:space="preserve">  /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（2）计量规则与计价办法：</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pPr>
        <w:spacing w:line="360" w:lineRule="auto"/>
        <w:ind w:firstLine="1370" w:firstLineChars="571"/>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pPr>
        <w:spacing w:line="360" w:lineRule="auto"/>
        <w:ind w:firstLine="2085" w:firstLineChars="869"/>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无此项工作内容。 </w:t>
      </w:r>
    </w:p>
    <w:p>
      <w:pPr>
        <w:spacing w:line="360" w:lineRule="auto"/>
        <w:rPr>
          <w:rFonts w:ascii="仿宋" w:hAnsi="仿宋" w:eastAsia="仿宋" w:cs="仿宋"/>
          <w:color w:val="auto"/>
          <w:highlight w:val="none"/>
          <w:lang w:eastAsia="zh-CN"/>
        </w:rPr>
      </w:pPr>
      <w:bookmarkStart w:id="858" w:name="_Toc24698"/>
      <w:r>
        <w:rPr>
          <w:rFonts w:hint="eastAsia" w:ascii="仿宋" w:hAnsi="仿宋" w:eastAsia="仿宋" w:cs="仿宋"/>
          <w:color w:val="auto"/>
          <w:highlight w:val="none"/>
          <w:lang w:eastAsia="zh-CN"/>
        </w:rPr>
        <w:t xml:space="preserve">72.1.5 </w:t>
      </w:r>
      <w:bookmarkStart w:id="859" w:name="OLE_LINK5"/>
      <w:bookmarkStart w:id="860" w:name="OLE_LINK6"/>
      <w:r>
        <w:rPr>
          <w:rFonts w:hint="eastAsia" w:ascii="仿宋" w:hAnsi="仿宋" w:eastAsia="仿宋" w:cs="仿宋"/>
          <w:color w:val="auto"/>
          <w:highlight w:val="none"/>
          <w:lang w:eastAsia="zh-CN"/>
        </w:rPr>
        <w:t>建筑安装工程费</w:t>
      </w:r>
      <w:bookmarkEnd w:id="859"/>
      <w:bookmarkEnd w:id="860"/>
      <w:r>
        <w:rPr>
          <w:rFonts w:hint="eastAsia" w:ascii="仿宋" w:hAnsi="仿宋" w:eastAsia="仿宋" w:cs="仿宋"/>
          <w:color w:val="auto"/>
          <w:highlight w:val="none"/>
          <w:lang w:eastAsia="zh-CN"/>
        </w:rPr>
        <w:t>的计量规则与计价办法</w:t>
      </w:r>
      <w:bookmarkEnd w:id="858"/>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pPr>
        <w:widowControl w:val="0"/>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（1）适用范围：总价合同的范围为：</w:t>
      </w:r>
      <w:r>
        <w:rPr>
          <w:rFonts w:hint="eastAsia" w:ascii="仿宋" w:hAnsi="仿宋" w:eastAsia="仿宋" w:cs="仿宋"/>
          <w:color w:val="auto"/>
          <w:highlight w:val="none"/>
          <w:u w:val="single"/>
          <w:lang w:eastAsia="zh-CN"/>
        </w:rPr>
        <w:t xml:space="preserve">  /  ；</w:t>
      </w:r>
    </w:p>
    <w:p>
      <w:pPr>
        <w:spacing w:line="360" w:lineRule="auto"/>
        <w:ind w:firstLine="2409" w:firstLineChars="1004"/>
        <w:rPr>
          <w:rFonts w:ascii="仿宋" w:hAnsi="仿宋" w:eastAsia="仿宋" w:cs="仿宋"/>
          <w:color w:val="auto"/>
          <w:highlight w:val="none"/>
          <w:lang w:eastAsia="zh-CN"/>
        </w:rPr>
      </w:pPr>
      <w:r>
        <w:rPr>
          <w:rFonts w:hint="eastAsia" w:ascii="仿宋" w:hAnsi="仿宋" w:eastAsia="仿宋" w:cs="仿宋"/>
          <w:color w:val="auto"/>
          <w:highlight w:val="none"/>
          <w:lang w:eastAsia="zh-CN"/>
        </w:rPr>
        <w:t>单价合同的范围为：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（2）计量规则与计价办法：</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pPr>
        <w:spacing w:line="360" w:lineRule="auto"/>
        <w:ind w:firstLine="1356" w:firstLineChars="565"/>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按专用条款第6</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 xml:space="preserve">条。 </w:t>
      </w:r>
    </w:p>
    <w:p>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72.1.6 其他服务项目费用的计量规则与计价办法</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按通用条款72.1.6规定。</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rPr>
          <w:i w:val="0"/>
          <w:iCs w:val="0"/>
          <w:color w:val="auto"/>
          <w:highlight w:val="none"/>
        </w:rPr>
      </w:pPr>
      <w:bookmarkStart w:id="861" w:name="_Toc8815"/>
      <w:bookmarkStart w:id="862" w:name="_Toc24721"/>
      <w:bookmarkStart w:id="863" w:name="_Toc47694434"/>
      <w:r>
        <w:rPr>
          <w:rFonts w:hint="eastAsia" w:ascii="仿宋" w:hAnsi="仿宋" w:eastAsia="仿宋" w:cs="仿宋"/>
          <w:i w:val="0"/>
          <w:iCs w:val="0"/>
          <w:color w:val="auto"/>
          <w:sz w:val="24"/>
          <w:szCs w:val="24"/>
          <w:highlight w:val="none"/>
        </w:rPr>
        <w:t>★73.  暂列金额</w:t>
      </w:r>
      <w:bookmarkEnd w:id="861"/>
      <w:bookmarkEnd w:id="862"/>
      <w:bookmarkEnd w:id="863"/>
    </w:p>
    <w:p>
      <w:pPr>
        <w:spacing w:line="360" w:lineRule="auto"/>
        <w:rPr>
          <w:rFonts w:ascii="仿宋" w:hAnsi="仿宋" w:eastAsia="仿宋" w:cs="仿宋"/>
          <w:color w:val="auto"/>
          <w:highlight w:val="none"/>
          <w:lang w:eastAsia="zh-CN"/>
        </w:rPr>
      </w:pPr>
      <w:bookmarkStart w:id="864" w:name="_Toc26979"/>
      <w:r>
        <w:rPr>
          <w:rFonts w:hint="eastAsia" w:ascii="仿宋" w:hAnsi="仿宋" w:eastAsia="仿宋" w:cs="仿宋"/>
          <w:color w:val="auto"/>
          <w:highlight w:val="none"/>
          <w:lang w:eastAsia="zh-CN"/>
        </w:rPr>
        <w:t xml:space="preserve">73.1 </w:t>
      </w:r>
      <w:bookmarkEnd w:id="864"/>
      <w:r>
        <w:rPr>
          <w:rFonts w:hint="eastAsia" w:ascii="仿宋" w:hAnsi="仿宋" w:eastAsia="仿宋" w:cs="仿宋"/>
          <w:color w:val="auto"/>
          <w:highlight w:val="none"/>
          <w:lang w:eastAsia="zh-CN"/>
        </w:rPr>
        <w:t>暂列金额的用途</w:t>
      </w:r>
    </w:p>
    <w:p>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合同工程的暂列金额：在施工图预算阶段，暂列金额按建安工程费的分部分项工程费×10%计算。</w:t>
      </w:r>
    </w:p>
    <w:p>
      <w:pPr>
        <w:pStyle w:val="4"/>
        <w:tabs>
          <w:tab w:val="left" w:pos="420"/>
        </w:tabs>
        <w:spacing w:line="360" w:lineRule="auto"/>
        <w:rPr>
          <w:rFonts w:ascii="仿宋" w:hAnsi="仿宋" w:eastAsia="仿宋" w:cs="仿宋"/>
          <w:i w:val="0"/>
          <w:iCs w:val="0"/>
          <w:color w:val="auto"/>
          <w:sz w:val="24"/>
          <w:szCs w:val="24"/>
          <w:highlight w:val="none"/>
        </w:rPr>
      </w:pPr>
      <w:bookmarkStart w:id="865" w:name="_Toc29961"/>
      <w:bookmarkStart w:id="866" w:name="_Toc18746"/>
      <w:r>
        <w:rPr>
          <w:rFonts w:hint="eastAsia" w:ascii="仿宋" w:hAnsi="仿宋" w:eastAsia="仿宋" w:cs="仿宋"/>
          <w:i w:val="0"/>
          <w:iCs w:val="0"/>
          <w:color w:val="auto"/>
          <w:sz w:val="24"/>
          <w:szCs w:val="24"/>
          <w:highlight w:val="none"/>
        </w:rPr>
        <w:t>★75.</w:t>
      </w:r>
      <w:r>
        <w:rPr>
          <w:rFonts w:hint="eastAsia" w:ascii="仿宋" w:hAnsi="仿宋" w:eastAsia="仿宋" w:cs="仿宋"/>
          <w:i w:val="0"/>
          <w:iCs w:val="0"/>
          <w:color w:val="auto"/>
          <w:sz w:val="24"/>
          <w:szCs w:val="24"/>
          <w:highlight w:val="none"/>
          <w:lang w:val="en-US"/>
        </w:rPr>
        <w:t xml:space="preserve"> </w:t>
      </w:r>
      <w:r>
        <w:rPr>
          <w:rFonts w:hint="eastAsia" w:ascii="仿宋" w:hAnsi="仿宋" w:eastAsia="仿宋" w:cs="仿宋"/>
          <w:i w:val="0"/>
          <w:iCs w:val="0"/>
          <w:color w:val="auto"/>
          <w:sz w:val="24"/>
          <w:szCs w:val="24"/>
          <w:highlight w:val="none"/>
        </w:rPr>
        <w:t xml:space="preserve"> 暂估价</w:t>
      </w:r>
      <w:bookmarkEnd w:id="865"/>
      <w:bookmarkEnd w:id="866"/>
      <w:r>
        <w:rPr>
          <w:rFonts w:hint="eastAsia" w:ascii="仿宋" w:hAnsi="仿宋" w:eastAsia="仿宋" w:cs="仿宋"/>
          <w:i w:val="0"/>
          <w:iCs w:val="0"/>
          <w:color w:val="auto"/>
          <w:sz w:val="24"/>
          <w:szCs w:val="24"/>
          <w:highlight w:val="none"/>
        </w:rPr>
        <w:t xml:space="preserve">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★75.1 依法必须招标的工程材料、工程设备或专业工程暂估价的的约定合同双方当事人的权利、义务</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□工程材料、工程设备：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ab/>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□专业工程：</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75.3 依法不需要招标的专业工程暂估价的约定</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rPr>
          <w:rFonts w:ascii="仿宋" w:hAnsi="仿宋" w:eastAsia="仿宋" w:cs="仿宋"/>
          <w:i w:val="0"/>
          <w:iCs w:val="0"/>
          <w:color w:val="auto"/>
          <w:sz w:val="24"/>
          <w:szCs w:val="24"/>
          <w:highlight w:val="none"/>
        </w:rPr>
      </w:pPr>
      <w:bookmarkStart w:id="867" w:name="_Toc31430"/>
      <w:bookmarkStart w:id="868" w:name="_Toc21542"/>
      <w:bookmarkStart w:id="869" w:name="_Toc47694436"/>
      <w:r>
        <w:rPr>
          <w:rFonts w:hint="eastAsia" w:ascii="仿宋" w:hAnsi="仿宋" w:eastAsia="仿宋" w:cs="仿宋"/>
          <w:i w:val="0"/>
          <w:iCs w:val="0"/>
          <w:color w:val="auto"/>
          <w:sz w:val="24"/>
          <w:szCs w:val="24"/>
          <w:highlight w:val="none"/>
        </w:rPr>
        <w:t>★76.  提前竣工奖与误期赔偿费</w:t>
      </w:r>
      <w:bookmarkEnd w:id="867"/>
      <w:bookmarkEnd w:id="868"/>
      <w:bookmarkEnd w:id="869"/>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（1）提前竣工奖额度</w:t>
      </w:r>
    </w:p>
    <w:p>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未约定提前竣工奖的，本款不适用。</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约定提前竣工奖的，每日历天应奖额度为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（2）提前竣工奖的最高限额 </w:t>
      </w:r>
    </w:p>
    <w:p>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240" w:leftChars="100" w:firstLine="480" w:firstLineChars="200"/>
        <w:rPr>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不设提前竣工奖，本款不适用。 </w:t>
      </w:r>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76.2 误期赔偿费</w:t>
      </w:r>
    </w:p>
    <w:p>
      <w:pPr>
        <w:spacing w:line="360" w:lineRule="auto"/>
        <w:ind w:left="240" w:leftChars="100" w:firstLine="240" w:firstLineChars="100"/>
        <w:rPr>
          <w:rFonts w:ascii="仿宋" w:hAnsi="仿宋" w:eastAsia="仿宋" w:cs="仿宋"/>
          <w:color w:val="auto"/>
          <w:position w:val="1"/>
          <w:highlight w:val="none"/>
          <w:u w:val="single"/>
          <w:lang w:eastAsia="zh-CN"/>
        </w:rPr>
      </w:pPr>
      <w:r>
        <w:rPr>
          <w:rFonts w:hint="eastAsia" w:ascii="仿宋" w:hAnsi="仿宋" w:eastAsia="仿宋" w:cs="仿宋"/>
          <w:color w:val="auto"/>
          <w:highlight w:val="none"/>
          <w:lang w:eastAsia="zh-CN"/>
        </w:rPr>
        <w:t>（1） 每日历天应赔偿额度为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position w:val="1"/>
          <w:highlight w:val="none"/>
          <w:u w:val="single"/>
          <w:lang w:eastAsia="zh-CN"/>
        </w:rPr>
        <w:t>承包人每日历天向发包人赔付误期赔偿</w:t>
      </w:r>
      <w:r>
        <w:rPr>
          <w:rFonts w:hint="eastAsia" w:ascii="仿宋" w:hAnsi="仿宋" w:eastAsia="仿宋" w:cs="仿宋"/>
          <w:color w:val="auto"/>
          <w:highlight w:val="none"/>
          <w:u w:val="single"/>
          <w:lang w:eastAsia="zh-CN"/>
        </w:rPr>
        <w:t>费为项目结算总金额的0.1‰</w:t>
      </w:r>
      <w:r>
        <w:rPr>
          <w:rFonts w:hint="eastAsia" w:ascii="仿宋" w:hAnsi="仿宋" w:eastAsia="仿宋" w:cs="仿宋"/>
          <w:color w:val="auto"/>
          <w:position w:val="1"/>
          <w:highlight w:val="none"/>
          <w:u w:val="single"/>
          <w:lang w:eastAsia="zh-CN"/>
        </w:rPr>
        <w:t>，该费用在结算款中扣除。</w:t>
      </w:r>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（2） 误期赔偿费的最高限额</w:t>
      </w:r>
    </w:p>
    <w:p>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按通用条款规定为合同价款的5%，即</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pPr>
        <w:pStyle w:val="4"/>
        <w:tabs>
          <w:tab w:val="left" w:pos="420"/>
        </w:tabs>
        <w:spacing w:line="360" w:lineRule="auto"/>
        <w:rPr>
          <w:rFonts w:ascii="仿宋" w:hAnsi="仿宋" w:eastAsia="仿宋"/>
          <w:i w:val="0"/>
          <w:iCs w:val="0"/>
          <w:color w:val="auto"/>
          <w:sz w:val="24"/>
          <w:szCs w:val="24"/>
          <w:highlight w:val="none"/>
        </w:rPr>
      </w:pPr>
      <w:bookmarkStart w:id="870" w:name="_Toc18584"/>
      <w:bookmarkStart w:id="871" w:name="_Toc7072"/>
      <w:bookmarkStart w:id="872" w:name="_Toc47694437"/>
      <w:r>
        <w:rPr>
          <w:rFonts w:hint="eastAsia" w:ascii="仿宋" w:hAnsi="仿宋" w:eastAsia="仿宋" w:cs="仿宋"/>
          <w:i w:val="0"/>
          <w:iCs w:val="0"/>
          <w:color w:val="auto"/>
          <w:sz w:val="24"/>
          <w:szCs w:val="24"/>
          <w:highlight w:val="none"/>
        </w:rPr>
        <w:t>★77.  优质优价费用</w:t>
      </w:r>
      <w:bookmarkEnd w:id="870"/>
      <w:bookmarkEnd w:id="871"/>
      <w:bookmarkEnd w:id="872"/>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77.1优质优价费用的约定</w:t>
      </w:r>
    </w:p>
    <w:p>
      <w:pPr>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约定优质优价费用的，其计算方法：</w:t>
      </w:r>
      <w:r>
        <w:rPr>
          <w:rFonts w:hint="eastAsia" w:ascii="仿宋" w:hAnsi="仿宋" w:eastAsia="仿宋" w:cs="仿宋"/>
          <w:color w:val="auto"/>
          <w:highlight w:val="none"/>
          <w:u w:val="single"/>
          <w:lang w:eastAsia="zh-CN"/>
        </w:rPr>
        <w:t xml:space="preserve"> 本工程</w:t>
      </w:r>
      <w:r>
        <w:rPr>
          <w:rFonts w:hint="eastAsia" w:ascii="仿宋" w:hAnsi="仿宋" w:eastAsia="仿宋"/>
          <w:color w:val="auto"/>
          <w:highlight w:val="none"/>
          <w:u w:val="single"/>
          <w:lang w:eastAsia="zh-CN"/>
        </w:rPr>
        <w:t xml:space="preserve">不设工程优质费，费用视为承包人在投标报价综合考虑，发包人不再另行支付。 </w:t>
      </w:r>
    </w:p>
    <w:p>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77.2 优质优价费用计提与支付</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优质优价费用的计算额度：</w:t>
      </w:r>
    </w:p>
    <w:p>
      <w:pPr>
        <w:widowControl w:val="0"/>
        <w:spacing w:line="360" w:lineRule="auto"/>
        <w:ind w:firstLine="720" w:firstLineChars="3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；省级质量奖，优质优价费用率为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；市级质量奖，优质优价费用率为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；精品工程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；其它质量奖</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widowControl w:val="0"/>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另作约定（工程优质费率参考广东省建设工程计价依据工程优质费、广州市住房和城乡建设局发布的工程优质费率；合同工程同时获得下列多个奖项的，只按最高奖项的额度计算。）：</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国家级质量奖，工程优质费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省级质量奖，工程优质费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市级质量奖，工程优质费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精品工程，工程优质费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其它质量奖：工程优质费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□获得优质奖项的最迟时间限制：竣工结算获批准后后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年内。</w:t>
      </w:r>
    </w:p>
    <w:p>
      <w:pPr>
        <w:pStyle w:val="4"/>
        <w:tabs>
          <w:tab w:val="left" w:pos="420"/>
        </w:tabs>
        <w:spacing w:line="360" w:lineRule="auto"/>
        <w:rPr>
          <w:rFonts w:ascii="仿宋" w:hAnsi="仿宋" w:eastAsia="仿宋" w:cs="仿宋"/>
          <w:i w:val="0"/>
          <w:iCs w:val="0"/>
          <w:color w:val="auto"/>
          <w:sz w:val="24"/>
          <w:szCs w:val="24"/>
          <w:highlight w:val="none"/>
        </w:rPr>
      </w:pPr>
      <w:bookmarkStart w:id="873" w:name="_Toc25300"/>
      <w:bookmarkStart w:id="874" w:name="_Toc47694438"/>
      <w:bookmarkStart w:id="875" w:name="_Toc16332"/>
      <w:r>
        <w:rPr>
          <w:rFonts w:hint="eastAsia" w:ascii="仿宋" w:hAnsi="仿宋" w:eastAsia="仿宋" w:cs="仿宋"/>
          <w:i w:val="0"/>
          <w:iCs w:val="0"/>
          <w:color w:val="auto"/>
          <w:sz w:val="24"/>
          <w:szCs w:val="24"/>
          <w:highlight w:val="none"/>
        </w:rPr>
        <w:t>79.  可调变更定价</w:t>
      </w:r>
      <w:bookmarkEnd w:id="873"/>
      <w:bookmarkEnd w:id="874"/>
      <w:bookmarkEnd w:id="875"/>
    </w:p>
    <w:p>
      <w:pPr>
        <w:spacing w:line="360" w:lineRule="auto"/>
        <w:rPr>
          <w:rFonts w:ascii="仿宋" w:hAnsi="仿宋" w:eastAsia="仿宋"/>
          <w:color w:val="auto"/>
          <w:highlight w:val="none"/>
          <w:lang w:eastAsia="zh-CN"/>
        </w:rPr>
      </w:pPr>
      <w:bookmarkStart w:id="876" w:name="_Toc6987"/>
      <w:r>
        <w:rPr>
          <w:rFonts w:hint="eastAsia" w:ascii="仿宋" w:hAnsi="仿宋" w:eastAsia="仿宋" w:cs="仿宋"/>
          <w:color w:val="auto"/>
          <w:highlight w:val="none"/>
          <w:lang w:eastAsia="zh-CN"/>
        </w:rPr>
        <w:t>79.2 可调变更工作项目的定价</w:t>
      </w:r>
      <w:bookmarkEnd w:id="876"/>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□按通用条款第79.2款规定执行。</w:t>
      </w:r>
    </w:p>
    <w:p>
      <w:pPr>
        <w:spacing w:line="360" w:lineRule="auto"/>
        <w:ind w:firstLine="600" w:firstLineChars="250"/>
        <w:rPr>
          <w:rFonts w:ascii="仿宋" w:hAnsi="仿宋" w:eastAsia="仿宋" w:cs="仿宋"/>
          <w:color w:val="auto"/>
          <w:highlight w:val="none"/>
          <w:u w:val="singl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按专用条款6</w:t>
      </w:r>
      <w:r>
        <w:rPr>
          <w:rFonts w:ascii="仿宋" w:hAnsi="仿宋" w:eastAsia="仿宋" w:cs="仿宋"/>
          <w:color w:val="auto"/>
          <w:highlight w:val="none"/>
          <w:u w:val="single"/>
          <w:lang w:eastAsia="zh-CN"/>
        </w:rPr>
        <w:t>9.2</w:t>
      </w:r>
      <w:r>
        <w:rPr>
          <w:rFonts w:hint="eastAsia" w:ascii="仿宋" w:hAnsi="仿宋" w:eastAsia="仿宋" w:cs="仿宋"/>
          <w:color w:val="auto"/>
          <w:highlight w:val="none"/>
          <w:u w:val="single"/>
          <w:lang w:eastAsia="zh-CN"/>
        </w:rPr>
        <w:t xml:space="preserve">的规定进行编制。 </w:t>
      </w:r>
    </w:p>
    <w:p>
      <w:pPr>
        <w:pStyle w:val="41"/>
        <w:ind w:firstLine="560"/>
        <w:rPr>
          <w:rFonts w:ascii="仿宋" w:hAnsi="仿宋" w:eastAsia="仿宋" w:cs="仿宋"/>
          <w:color w:val="auto"/>
          <w:sz w:val="28"/>
          <w:szCs w:val="28"/>
          <w:highlight w:val="none"/>
          <w:u w:val="single"/>
          <w:lang w:val="en-US"/>
        </w:rPr>
      </w:pP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(4)“类似清单项目”的认定原则：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79.3 可调价变更实体项目的定价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□按通用条款第 79.3 款约定执行。 </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(4)“类似清单项目”的认定原则：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按专用条款69.2的规定进行编制。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79.4 可调价变更措施项目的定价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□按通用条款第 79.4 款约定执行。 </w:t>
      </w:r>
    </w:p>
    <w:p>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按专用条款69.2执行。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79.6补充条款：</w:t>
      </w:r>
    </w:p>
    <w:p>
      <w:pPr>
        <w:widowControl w:val="0"/>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发包人根据工程实施情况，有权对承包人的承包范围及内容进行适当调整（包括增加或减少部分工程）。</w:t>
      </w:r>
    </w:p>
    <w:p>
      <w:pPr>
        <w:widowControl w:val="0"/>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如发生不可抗力、政策变更或规划变更等工程实施情况导致承包范围发生变化的，发包人有权发出书面指令单方增加或缩减合同范围。如上述变更导致承包人履行合同义务的费用增加，发包人与承包人按照合同约定调整合同价款。如上述变更导致承包人承包范围减少的，除已发生的工程量按合同约定计价外，承包人无权向发包人另行提出其他任何补偿或赔偿要求。</w:t>
      </w:r>
    </w:p>
    <w:p>
      <w:pPr>
        <w:widowControl w:val="0"/>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承包人履行合同的质量、进度不符合合同约定或存在其他违约事实的，发包人有权直接减少承包人的承包范围直至解除合同，对此，承包人无权向发包人提出任何补偿或赔偿要求。</w:t>
      </w:r>
    </w:p>
    <w:p>
      <w:pPr>
        <w:pStyle w:val="4"/>
        <w:tabs>
          <w:tab w:val="left" w:pos="420"/>
        </w:tabs>
        <w:spacing w:line="360" w:lineRule="auto"/>
        <w:rPr>
          <w:rFonts w:ascii="仿宋" w:hAnsi="仿宋" w:eastAsia="仿宋"/>
          <w:i w:val="0"/>
          <w:iCs w:val="0"/>
          <w:color w:val="auto"/>
          <w:sz w:val="24"/>
          <w:szCs w:val="24"/>
          <w:highlight w:val="none"/>
        </w:rPr>
      </w:pPr>
      <w:bookmarkStart w:id="877" w:name="_Toc4129"/>
      <w:bookmarkStart w:id="878" w:name="_Toc24578"/>
      <w:bookmarkStart w:id="879" w:name="_Toc47694439"/>
      <w:r>
        <w:rPr>
          <w:rFonts w:hint="eastAsia" w:ascii="仿宋" w:hAnsi="仿宋" w:eastAsia="仿宋" w:cs="仿宋"/>
          <w:i w:val="0"/>
          <w:iCs w:val="0"/>
          <w:color w:val="auto"/>
          <w:sz w:val="24"/>
          <w:szCs w:val="24"/>
          <w:highlight w:val="none"/>
        </w:rPr>
        <w:t>★81.  现场签证价格的确定</w:t>
      </w:r>
      <w:bookmarkEnd w:id="877"/>
      <w:bookmarkEnd w:id="878"/>
      <w:bookmarkEnd w:id="879"/>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81.3 现场签证报告的确认</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提交现场签证报告的时间：</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按通用条款的规定的时间提交。</w:t>
      </w:r>
    </w:p>
    <w:p>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rPr>
          <w:rFonts w:ascii="仿宋" w:hAnsi="仿宋" w:eastAsia="仿宋"/>
          <w:i w:val="0"/>
          <w:iCs w:val="0"/>
          <w:color w:val="auto"/>
          <w:sz w:val="24"/>
          <w:szCs w:val="24"/>
          <w:highlight w:val="none"/>
        </w:rPr>
      </w:pPr>
      <w:bookmarkStart w:id="880" w:name="_Toc47694440"/>
      <w:bookmarkStart w:id="881" w:name="_Toc9116"/>
      <w:bookmarkStart w:id="882" w:name="_Toc16111"/>
      <w:r>
        <w:rPr>
          <w:rFonts w:hint="eastAsia" w:ascii="仿宋" w:hAnsi="仿宋" w:eastAsia="仿宋" w:cs="仿宋"/>
          <w:i w:val="0"/>
          <w:iCs w:val="0"/>
          <w:color w:val="auto"/>
          <w:sz w:val="24"/>
          <w:szCs w:val="24"/>
          <w:highlight w:val="none"/>
        </w:rPr>
        <w:t>★82.  物价涨落的价格调整</w:t>
      </w:r>
      <w:bookmarkEnd w:id="880"/>
      <w:bookmarkEnd w:id="881"/>
      <w:bookmarkEnd w:id="882"/>
    </w:p>
    <w:p>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□按通用条款第82.3款第1种方式对合同价格进行调整。</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□按通用条款第82.3款第2种方式对合同价格进行调整。</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因市场价格波动调整合同价格，采用以下第 </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种方式对合同价格进行调整：</w:t>
      </w:r>
    </w:p>
    <w:p>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种方式：采用造价信息进行价格调整。</w:t>
      </w:r>
    </w:p>
    <w:p>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）关于基准价格的约定：</w:t>
      </w:r>
      <w:r>
        <w:rPr>
          <w:rFonts w:eastAsia="仿宋_GB2312"/>
          <w:color w:val="auto"/>
          <w:sz w:val="30"/>
          <w:szCs w:val="30"/>
          <w:highlight w:val="none"/>
          <w:u w:val="single"/>
          <w:lang w:eastAsia="zh-CN"/>
        </w:rPr>
        <w:t xml:space="preserve">  </w:t>
      </w:r>
      <w:r>
        <w:rPr>
          <w:rFonts w:hint="eastAsia" w:eastAsia="仿宋_GB2312"/>
          <w:color w:val="auto"/>
          <w:sz w:val="30"/>
          <w:szCs w:val="30"/>
          <w:highlight w:val="none"/>
          <w:u w:val="single"/>
          <w:lang w:eastAsia="zh-CN"/>
        </w:rPr>
        <w:t>/</w:t>
      </w:r>
      <w:r>
        <w:rPr>
          <w:rFonts w:eastAsia="仿宋_GB2312"/>
          <w:color w:val="auto"/>
          <w:sz w:val="30"/>
          <w:szCs w:val="30"/>
          <w:highlight w:val="none"/>
          <w:u w:val="single"/>
          <w:lang w:eastAsia="zh-CN"/>
        </w:rPr>
        <w:t xml:space="preserve">  </w:t>
      </w:r>
      <w:r>
        <w:rPr>
          <w:rFonts w:hint="eastAsia" w:eastAsia="仿宋_GB2312" w:cs="仿宋_GB2312"/>
          <w:color w:val="auto"/>
          <w:sz w:val="30"/>
          <w:szCs w:val="30"/>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①承包人在已标价工程量清单或预算书中载明的材料单价低于基准价格的：专用合同条款合同履行期间材料单价涨幅以基准价格为基础超过</w:t>
      </w:r>
      <w:r>
        <w:rPr>
          <w:rFonts w:eastAsia="仿宋_GB2312"/>
          <w:color w:val="auto"/>
          <w:sz w:val="30"/>
          <w:szCs w:val="30"/>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时，或材料单价跌幅以已标价工程量清单或预算书中载明材料单价为基础超过</w:t>
      </w:r>
      <w:r>
        <w:rPr>
          <w:rFonts w:eastAsia="仿宋_GB2312"/>
          <w:color w:val="auto"/>
          <w:sz w:val="30"/>
          <w:szCs w:val="30"/>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时，其超过部分据实调整。</w:t>
      </w:r>
    </w:p>
    <w:p>
      <w:pPr>
        <w:spacing w:line="360" w:lineRule="auto"/>
        <w:ind w:firstLine="480" w:firstLineChars="200"/>
        <w:rPr>
          <w:rFonts w:eastAsia="仿宋_GB2312"/>
          <w:color w:val="auto"/>
          <w:sz w:val="30"/>
          <w:szCs w:val="30"/>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调整价格的材料品种：</w:t>
      </w:r>
      <w:r>
        <w:rPr>
          <w:rFonts w:eastAsia="仿宋_GB2312"/>
          <w:color w:val="auto"/>
          <w:sz w:val="30"/>
          <w:szCs w:val="30"/>
          <w:highlight w:val="none"/>
          <w:u w:val="single"/>
          <w:lang w:eastAsia="zh-CN"/>
        </w:rPr>
        <w:t xml:space="preserve">  </w:t>
      </w:r>
      <w:r>
        <w:rPr>
          <w:rFonts w:hint="eastAsia" w:eastAsia="仿宋_GB2312"/>
          <w:color w:val="auto"/>
          <w:sz w:val="30"/>
          <w:szCs w:val="30"/>
          <w:highlight w:val="none"/>
          <w:u w:val="single"/>
          <w:lang w:eastAsia="zh-CN"/>
        </w:rPr>
        <w:t>/</w:t>
      </w:r>
      <w:r>
        <w:rPr>
          <w:rFonts w:eastAsia="仿宋_GB2312"/>
          <w:color w:val="auto"/>
          <w:sz w:val="30"/>
          <w:szCs w:val="30"/>
          <w:highlight w:val="none"/>
          <w:u w:val="single"/>
          <w:lang w:eastAsia="zh-CN"/>
        </w:rPr>
        <w:t xml:space="preserve">  </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②承包人在已标价工程量清单或预算书中载明的材料单价高于基准价格的：专用合同条款合同履行期间材料单价跌幅以基准价格为基础超过</w:t>
      </w:r>
      <w:r>
        <w:rPr>
          <w:rFonts w:eastAsia="仿宋_GB2312"/>
          <w:color w:val="auto"/>
          <w:sz w:val="30"/>
          <w:szCs w:val="30"/>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时，材料单价涨幅以已标价工程量清单或预算书中载明材料单价为基础超过</w:t>
      </w:r>
      <w:r>
        <w:rPr>
          <w:rFonts w:eastAsia="仿宋_GB2312"/>
          <w:color w:val="auto"/>
          <w:sz w:val="30"/>
          <w:szCs w:val="30"/>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时，其超过部分据实调整。</w:t>
      </w:r>
    </w:p>
    <w:p>
      <w:pPr>
        <w:spacing w:line="360" w:lineRule="auto"/>
        <w:ind w:firstLine="708" w:firstLineChars="295"/>
        <w:rPr>
          <w:rFonts w:eastAsia="仿宋_GB2312"/>
          <w:color w:val="auto"/>
          <w:sz w:val="30"/>
          <w:szCs w:val="30"/>
          <w:highlight w:val="none"/>
          <w:lang w:eastAsia="zh-CN"/>
        </w:rPr>
      </w:pPr>
      <w:r>
        <w:rPr>
          <w:rFonts w:hint="eastAsia" w:ascii="仿宋" w:hAnsi="仿宋" w:eastAsia="仿宋" w:cs="仿宋"/>
          <w:color w:val="auto"/>
          <w:highlight w:val="none"/>
          <w:lang w:eastAsia="zh-CN"/>
        </w:rPr>
        <w:t>调整价格的材料品种：</w:t>
      </w:r>
      <w:r>
        <w:rPr>
          <w:rFonts w:eastAsia="仿宋_GB2312"/>
          <w:color w:val="auto"/>
          <w:sz w:val="30"/>
          <w:szCs w:val="30"/>
          <w:highlight w:val="none"/>
          <w:u w:val="single"/>
          <w:lang w:eastAsia="zh-CN"/>
        </w:rPr>
        <w:t xml:space="preserve">  </w:t>
      </w:r>
      <w:r>
        <w:rPr>
          <w:rFonts w:hint="eastAsia" w:eastAsia="仿宋_GB2312"/>
          <w:color w:val="auto"/>
          <w:sz w:val="30"/>
          <w:szCs w:val="30"/>
          <w:highlight w:val="none"/>
          <w:u w:val="single"/>
          <w:lang w:eastAsia="zh-CN"/>
        </w:rPr>
        <w:t>/</w:t>
      </w:r>
      <w:r>
        <w:rPr>
          <w:rFonts w:eastAsia="仿宋_GB2312"/>
          <w:color w:val="auto"/>
          <w:sz w:val="30"/>
          <w:szCs w:val="30"/>
          <w:highlight w:val="none"/>
          <w:u w:val="single"/>
          <w:lang w:eastAsia="zh-CN"/>
        </w:rPr>
        <w:t xml:space="preserve">  </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③承包人在已标价工程量清单或预算书中载明的材料单价等于基准单价的：专用合同条款合同履行期间材料单价涨跌幅以基准单价为基础超过±</w:t>
      </w:r>
      <w:r>
        <w:rPr>
          <w:rFonts w:eastAsia="仿宋_GB2312"/>
          <w:color w:val="auto"/>
          <w:sz w:val="30"/>
          <w:szCs w:val="30"/>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时，其超过部分据实调整。</w:t>
      </w:r>
    </w:p>
    <w:p>
      <w:pPr>
        <w:spacing w:line="360" w:lineRule="auto"/>
        <w:ind w:firstLine="708" w:firstLineChars="295"/>
        <w:rPr>
          <w:rFonts w:eastAsia="仿宋_GB2312"/>
          <w:color w:val="auto"/>
          <w:sz w:val="30"/>
          <w:szCs w:val="30"/>
          <w:highlight w:val="none"/>
          <w:lang w:eastAsia="zh-CN"/>
        </w:rPr>
      </w:pPr>
      <w:r>
        <w:rPr>
          <w:rFonts w:hint="eastAsia" w:ascii="仿宋" w:hAnsi="仿宋" w:eastAsia="仿宋" w:cs="仿宋"/>
          <w:color w:val="auto"/>
          <w:highlight w:val="none"/>
          <w:lang w:eastAsia="zh-CN"/>
        </w:rPr>
        <w:t>调整价格的材料品种：</w:t>
      </w:r>
      <w:r>
        <w:rPr>
          <w:rFonts w:eastAsia="仿宋_GB2312"/>
          <w:color w:val="auto"/>
          <w:sz w:val="30"/>
          <w:szCs w:val="30"/>
          <w:highlight w:val="none"/>
          <w:u w:val="single"/>
          <w:lang w:eastAsia="zh-CN"/>
        </w:rPr>
        <w:t xml:space="preserve">  </w:t>
      </w:r>
      <w:r>
        <w:rPr>
          <w:rFonts w:hint="eastAsia" w:eastAsia="仿宋_GB2312"/>
          <w:color w:val="auto"/>
          <w:sz w:val="30"/>
          <w:szCs w:val="30"/>
          <w:highlight w:val="none"/>
          <w:u w:val="single"/>
          <w:lang w:eastAsia="zh-CN"/>
        </w:rPr>
        <w:t>/</w:t>
      </w:r>
      <w:r>
        <w:rPr>
          <w:rFonts w:eastAsia="仿宋_GB2312"/>
          <w:color w:val="auto"/>
          <w:sz w:val="30"/>
          <w:szCs w:val="30"/>
          <w:highlight w:val="none"/>
          <w:u w:val="single"/>
          <w:lang w:eastAsia="zh-CN"/>
        </w:rPr>
        <w:t xml:space="preserve">  </w:t>
      </w:r>
    </w:p>
    <w:p>
      <w:pPr>
        <w:spacing w:line="360" w:lineRule="auto"/>
        <w:ind w:firstLine="645"/>
        <w:rPr>
          <w:rFonts w:ascii="仿宋" w:hAnsi="仿宋" w:eastAsia="仿宋" w:cs="仿宋"/>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种方式：其他价格调整方式：</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可调价工程项目的人、材、机调价起点的规定：施工当月（季）某一人工、材料、机械台班的价格对比预算编制当期广州地区建设工程常用材料综合价格的涨落幅度超过5%时，可调整涨落幅度超过5%部分，价格涨落幅度在5%及以内部分不予调整，（其中材料范围见下点规定）。</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(2)调价范围:</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1)可调价的材料范围：工程建设使用的相关主要材料，包括：钢筋、</w:t>
      </w:r>
      <w:r>
        <w:rPr>
          <w:rFonts w:hint="eastAsia" w:ascii="仿宋" w:hAnsi="仿宋" w:eastAsia="仿宋" w:cs="仿宋"/>
          <w:color w:val="auto"/>
          <w:highlight w:val="none"/>
          <w:u w:val="single"/>
          <w:lang w:eastAsia="zh-CN"/>
        </w:rPr>
        <w:t>钢结构幕墙专业的大型钢材</w:t>
      </w:r>
      <w:r>
        <w:rPr>
          <w:rFonts w:hint="eastAsia" w:ascii="仿宋" w:hAnsi="仿宋" w:eastAsia="仿宋" w:cs="仿宋"/>
          <w:color w:val="auto"/>
          <w:highlight w:val="none"/>
          <w:u w:val="single"/>
          <w:lang w:eastAsia="zh-CN"/>
        </w:rPr>
        <w:t>、水泥、商品混凝土、预拌砂浆。这五项且必须是《广州地区建设工程常用材料税前综合价格》有对应综合价格的，其他均不予调价。招标文件及总承包合同有关材料调价范围与此款约定不同的，均以此款为准。</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2)机械台班费的调整：所有机械台班均分解出人工费及燃油费，按施工期建委文件分别予以调整。</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3)人工费的调整：按施工当月（季）造价信息的人工价格指数分别调整计价。</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每月（季）度已完施工节点的划分和确认：承包人应根据实际施工情况，在各月（季）度结束后,及时将本月（季）度已完成的施工节点及相应的工程量以工程联系单的形式报送监理公司和发包人审核、确认，作为今后结算及调价的依据。调价因素不作为承包人工期索赔的影响因素。</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(4)调价方式</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按上述调价起点和调价范围确定的需调整项目，均以月（季）度为单位划分各个月（季）度实际完成的工程量，按此工程量计算出实际施工期价格信息(同一分部工程当实际施工期出现跨月（季）度者，则按所经月（季）度的工料机平均值计)相比预算编制期造价信息的涨落幅度超过5%的价差部分，计算得到总价差后再计算工程规费、税金，其它费用不计，合同的计价方式仍保持不变。如下公式：</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物价上涨时：A（工、料、机价差）=施工当月（季）实际发生人工费（含机械费内的人工费）×施工当月（季）人工价格指数－对应的预算编制基期人工费（含机械费内的人工费）×预算编制基期人工价格指数×（1+5%）+</w:t>
      </w:r>
      <w:r>
        <w:rPr>
          <w:rFonts w:hint="eastAsia" w:ascii="仿宋" w:hAnsi="仿宋" w:eastAsia="仿宋" w:cs="仿宋"/>
          <w:color w:val="auto"/>
          <w:highlight w:val="none"/>
          <w:u w:val="single"/>
        </w:rPr>
        <w:t>Σ</w:t>
      </w:r>
      <w:r>
        <w:rPr>
          <w:rFonts w:hint="eastAsia" w:ascii="仿宋" w:hAnsi="仿宋" w:eastAsia="仿宋" w:cs="仿宋"/>
          <w:color w:val="auto"/>
          <w:highlight w:val="none"/>
          <w:u w:val="single"/>
          <w:lang w:eastAsia="zh-CN"/>
        </w:rPr>
        <w:t>主材消耗量×(施工当月（季）造价信息－预算编制期造价信息×（1+5%）) + 机械费内的燃油费消耗量×(施工期造价信息－预算编制期造价信息×（1+5%）)</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物价下跌时：A（工、料、机价差）=对应的预算编制基期人工费（含机械费内的人工费）×预算编制基期人工价格指数×（1-5%）-施工当月（季）实际发生人工费（含机械费内的人工费）×施工当月（季）人工价格指数+</w:t>
      </w:r>
      <w:r>
        <w:rPr>
          <w:rFonts w:hint="eastAsia" w:ascii="仿宋" w:hAnsi="仿宋" w:eastAsia="仿宋" w:cs="仿宋"/>
          <w:color w:val="auto"/>
          <w:highlight w:val="none"/>
          <w:u w:val="single"/>
        </w:rPr>
        <w:t>Σ</w:t>
      </w:r>
      <w:r>
        <w:rPr>
          <w:rFonts w:hint="eastAsia" w:ascii="仿宋" w:hAnsi="仿宋" w:eastAsia="仿宋" w:cs="仿宋"/>
          <w:color w:val="auto"/>
          <w:highlight w:val="none"/>
          <w:u w:val="single"/>
          <w:lang w:eastAsia="zh-CN"/>
        </w:rPr>
        <w:t xml:space="preserve">主材消耗量×(预算编制期造价信息×（1-5%）－施工当月（季）造价信息) + </w:t>
      </w:r>
      <w:r>
        <w:rPr>
          <w:rFonts w:hint="eastAsia" w:ascii="仿宋" w:hAnsi="仿宋" w:eastAsia="仿宋" w:cs="仿宋"/>
          <w:color w:val="auto"/>
          <w:highlight w:val="none"/>
          <w:u w:val="single"/>
        </w:rPr>
        <w:t>Σ</w:t>
      </w:r>
      <w:r>
        <w:rPr>
          <w:rFonts w:hint="eastAsia" w:ascii="仿宋" w:hAnsi="仿宋" w:eastAsia="仿宋" w:cs="仿宋"/>
          <w:color w:val="auto"/>
          <w:highlight w:val="none"/>
          <w:u w:val="single"/>
          <w:lang w:eastAsia="zh-CN"/>
        </w:rPr>
        <w:t>机械费内的燃油费消耗量×(预算编制期造价信息×（1-5%）－施工当月（季）造价信息)</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以上公式仅适用于实际施工期造价信息相比预算编制期造价信息的上涨、下落幅度超过5%时，在涨落幅度在5%之内的，不予适用调价。</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注：“造价信息”指广州市工程造价管理机构发布的《广州建设工程造价信息》中的“人工价格指数及广州地区建设工程常用材料综合价格”；预算编制期为【20</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】月。</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B（税金）=A×规定税率</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C（总差价）=（A×50%+B）×（1-中标下浮率）</w:t>
      </w:r>
    </w:p>
    <w:p>
      <w:pPr>
        <w:spacing w:line="360" w:lineRule="auto"/>
        <w:ind w:firstLine="645"/>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（5）调价支付方式：</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如发生需要调价的事项,承包人应以月（季）度为单位申报监理工程师和发包人审核,并以此作为结算依据之一，跨月（季）度申报将视为当月（季）不存在调价事件（或承包人放弃调价申报权利）；若物价下跌时，无论是否当月（季）申报，发包人均有权在工程结算时一并调减，承包人应接受。</w:t>
      </w:r>
    </w:p>
    <w:p>
      <w:pPr>
        <w:pStyle w:val="22"/>
        <w:ind w:firstLine="720" w:firstLineChars="300"/>
        <w:rPr>
          <w:rFonts w:ascii="仿宋" w:hAnsi="仿宋" w:eastAsia="仿宋" w:cs="仿宋"/>
          <w:color w:val="auto"/>
          <w:sz w:val="24"/>
          <w:szCs w:val="24"/>
          <w:highlight w:val="none"/>
          <w:u w:val="single"/>
          <w:lang w:val="en-US" w:bidi="en-US"/>
        </w:rPr>
      </w:pPr>
      <w:r>
        <w:rPr>
          <w:rFonts w:hint="eastAsia" w:ascii="仿宋" w:hAnsi="仿宋" w:eastAsia="仿宋" w:cs="仿宋"/>
          <w:color w:val="auto"/>
          <w:sz w:val="24"/>
          <w:szCs w:val="24"/>
          <w:highlight w:val="none"/>
          <w:u w:val="single"/>
          <w:lang w:val="en-US" w:bidi="en-US"/>
        </w:rPr>
        <w:t>（6）价差调整在工程进度款支付时不计入，但需在当期向第三方造价咨询单位、监理等单位报备，并经发包人确认。在工程竣工结算时结清。</w:t>
      </w:r>
    </w:p>
    <w:p>
      <w:pPr>
        <w:spacing w:line="360" w:lineRule="auto"/>
        <w:ind w:firstLine="480" w:firstLineChars="200"/>
        <w:rPr>
          <w:rFonts w:ascii="仿宋" w:hAnsi="仿宋" w:eastAsia="仿宋" w:cs="仿宋"/>
          <w:color w:val="auto"/>
          <w:highlight w:val="none"/>
          <w:lang w:eastAsia="zh-CN"/>
        </w:rPr>
      </w:pPr>
      <w:bookmarkStart w:id="883" w:name="_Toc16786"/>
      <w:r>
        <w:rPr>
          <w:rFonts w:hint="eastAsia" w:ascii="仿宋" w:hAnsi="仿宋" w:eastAsia="仿宋" w:cs="仿宋"/>
          <w:color w:val="auto"/>
          <w:highlight w:val="none"/>
          <w:lang w:eastAsia="zh-CN"/>
        </w:rPr>
        <w:t>82.2 人工费的调整方法</w:t>
      </w:r>
      <w:bookmarkEnd w:id="883"/>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□按通用条款第82.2款规定进行调整。</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□人工单价调整条件的约定：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eastAsia="仿宋_GB2312" w:cs="仿宋_GB2312"/>
          <w:color w:val="auto"/>
          <w:sz w:val="30"/>
          <w:szCs w:val="30"/>
          <w:highlight w:val="none"/>
          <w:lang w:eastAsia="zh-CN"/>
        </w:rPr>
        <w:t>。</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 承包人采购材料和工程设备的材料设备费、施工机具费调整方法</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□第1种方式：采用政府信息指导价进行价格调整。</w:t>
      </w:r>
    </w:p>
    <w:p>
      <w:pPr>
        <w:spacing w:line="360" w:lineRule="auto"/>
        <w:ind w:firstLine="640" w:firstLineChars="267"/>
        <w:rPr>
          <w:rFonts w:ascii="仿宋" w:hAnsi="仿宋" w:eastAsia="仿宋" w:cs="仿宋"/>
          <w:color w:val="auto"/>
          <w:highlight w:val="none"/>
          <w:lang w:eastAsia="zh-CN"/>
        </w:rPr>
      </w:pPr>
      <w:r>
        <w:rPr>
          <w:rFonts w:hint="eastAsia" w:ascii="仿宋" w:hAnsi="仿宋" w:eastAsia="仿宋" w:cs="仿宋"/>
          <w:color w:val="auto"/>
          <w:highlight w:val="none"/>
          <w:lang w:eastAsia="zh-CN"/>
        </w:rPr>
        <w:t>（a）允许调整价格的工程材料品种：</w:t>
      </w:r>
      <w:r>
        <w:rPr>
          <w:rFonts w:hint="eastAsia" w:ascii="仿宋" w:hAnsi="仿宋" w:eastAsia="仿宋" w:cs="仿宋"/>
          <w:color w:val="auto"/>
          <w:highlight w:val="none"/>
          <w:u w:val="single"/>
          <w:lang w:eastAsia="zh-CN"/>
        </w:rPr>
        <w:t xml:space="preserve">                </w:t>
      </w:r>
    </w:p>
    <w:p>
      <w:pPr>
        <w:spacing w:line="360" w:lineRule="auto"/>
        <w:ind w:firstLine="640" w:firstLineChars="26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（b）工程材料单价涨跌幅度: </w:t>
      </w:r>
    </w:p>
    <w:p>
      <w:pPr>
        <w:spacing w:line="360" w:lineRule="auto"/>
        <w:ind w:firstLine="640" w:firstLineChars="267"/>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□合同履行期间工程材料、工程设备单价涨跌幅度按通用条款约定。</w:t>
      </w:r>
    </w:p>
    <w:p>
      <w:pPr>
        <w:spacing w:line="360" w:lineRule="auto"/>
        <w:ind w:firstLine="640" w:firstLineChars="267"/>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合同履行期间工程材料、工程设备单价涨跌幅度的约定：</w:t>
      </w:r>
      <w:r>
        <w:rPr>
          <w:rFonts w:hint="eastAsia" w:ascii="仿宋" w:hAnsi="仿宋" w:eastAsia="仿宋" w:cs="仿宋"/>
          <w:color w:val="auto"/>
          <w:highlight w:val="none"/>
          <w:u w:val="single"/>
          <w:lang w:eastAsia="zh-CN"/>
        </w:rPr>
        <w:t xml:space="preserve">                </w:t>
      </w:r>
    </w:p>
    <w:p>
      <w:pPr>
        <w:spacing w:line="360" w:lineRule="auto"/>
        <w:ind w:firstLine="640" w:firstLineChars="267"/>
        <w:rPr>
          <w:rFonts w:ascii="仿宋" w:hAnsi="仿宋" w:eastAsia="仿宋" w:cs="仿宋"/>
          <w:color w:val="auto"/>
          <w:highlight w:val="none"/>
          <w:lang w:eastAsia="zh-CN"/>
        </w:rPr>
      </w:pPr>
      <w:r>
        <w:rPr>
          <w:rFonts w:hint="eastAsia" w:ascii="仿宋" w:hAnsi="仿宋" w:eastAsia="仿宋" w:cs="仿宋"/>
          <w:color w:val="auto"/>
          <w:highlight w:val="none"/>
          <w:lang w:eastAsia="zh-CN"/>
        </w:rPr>
        <w:t>（c）工程材料、工程设备基准价格:</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640" w:firstLineChars="267"/>
        <w:rPr>
          <w:rFonts w:ascii="仿宋" w:hAnsi="仿宋" w:eastAsia="仿宋" w:cs="仿宋"/>
          <w:color w:val="auto"/>
          <w:highlight w:val="none"/>
          <w:lang w:eastAsia="zh-CN"/>
        </w:rPr>
      </w:pPr>
      <w:r>
        <w:rPr>
          <w:rFonts w:hint="eastAsia" w:ascii="仿宋" w:hAnsi="仿宋" w:eastAsia="仿宋" w:cs="仿宋"/>
          <w:color w:val="auto"/>
          <w:highlight w:val="none"/>
          <w:lang w:eastAsia="zh-CN"/>
        </w:rPr>
        <w:t>（d）工程材料、工程设备基准价格的计算依据、计算方式以及单价涨跌幅的确定方法:</w:t>
      </w:r>
      <w:r>
        <w:rPr>
          <w:rFonts w:hint="eastAsia" w:ascii="仿宋" w:hAnsi="仿宋" w:eastAsia="仿宋" w:cs="仿宋"/>
          <w:color w:val="auto"/>
          <w:highlight w:val="none"/>
          <w:u w:val="single"/>
          <w:lang w:eastAsia="zh-CN"/>
        </w:rPr>
        <w:t xml:space="preserve">                </w:t>
      </w:r>
    </w:p>
    <w:p>
      <w:pPr>
        <w:spacing w:line="360" w:lineRule="auto"/>
        <w:ind w:firstLine="640" w:firstLineChars="267"/>
        <w:rPr>
          <w:rFonts w:ascii="仿宋" w:hAnsi="仿宋" w:eastAsia="仿宋" w:cs="仿宋"/>
          <w:color w:val="auto"/>
          <w:highlight w:val="none"/>
          <w:lang w:eastAsia="zh-CN"/>
        </w:rPr>
      </w:pPr>
      <w:r>
        <w:rPr>
          <w:rFonts w:hint="eastAsia" w:ascii="仿宋" w:hAnsi="仿宋" w:eastAsia="仿宋" w:cs="仿宋"/>
          <w:color w:val="auto"/>
          <w:highlight w:val="none"/>
          <w:lang w:eastAsia="zh-CN"/>
        </w:rPr>
        <w:t>（e）允许调整价格的施工机具品种：</w:t>
      </w:r>
      <w:r>
        <w:rPr>
          <w:rFonts w:hint="eastAsia" w:ascii="仿宋" w:hAnsi="仿宋" w:eastAsia="仿宋" w:cs="仿宋"/>
          <w:color w:val="auto"/>
          <w:highlight w:val="none"/>
          <w:u w:val="single"/>
          <w:lang w:eastAsia="zh-CN"/>
        </w:rPr>
        <w:t xml:space="preserve">                </w:t>
      </w:r>
    </w:p>
    <w:p>
      <w:pPr>
        <w:spacing w:line="360" w:lineRule="auto"/>
        <w:ind w:firstLine="640" w:firstLineChars="267"/>
        <w:rPr>
          <w:rFonts w:ascii="仿宋" w:hAnsi="仿宋" w:eastAsia="仿宋" w:cs="仿宋"/>
          <w:color w:val="auto"/>
          <w:highlight w:val="none"/>
          <w:lang w:eastAsia="zh-CN"/>
        </w:rPr>
      </w:pPr>
      <w:r>
        <w:rPr>
          <w:rFonts w:hint="eastAsia" w:ascii="仿宋" w:hAnsi="仿宋" w:eastAsia="仿宋" w:cs="仿宋"/>
          <w:color w:val="auto"/>
          <w:highlight w:val="none"/>
          <w:lang w:eastAsia="zh-CN"/>
        </w:rPr>
        <w:t>（f）可调整合同价格的施工机具台班单价变化幅度：</w:t>
      </w:r>
      <w:r>
        <w:rPr>
          <w:rFonts w:hint="eastAsia" w:ascii="仿宋" w:hAnsi="仿宋" w:eastAsia="仿宋" w:cs="仿宋"/>
          <w:color w:val="auto"/>
          <w:highlight w:val="none"/>
          <w:u w:val="single"/>
          <w:lang w:eastAsia="zh-CN"/>
        </w:rPr>
        <w:t xml:space="preserve">                </w:t>
      </w:r>
    </w:p>
    <w:p>
      <w:pPr>
        <w:spacing w:line="360" w:lineRule="auto"/>
        <w:ind w:firstLine="640" w:firstLineChars="267"/>
        <w:rPr>
          <w:rFonts w:ascii="仿宋" w:hAnsi="仿宋" w:eastAsia="仿宋" w:cs="仿宋"/>
          <w:color w:val="auto"/>
          <w:highlight w:val="none"/>
          <w:lang w:eastAsia="zh-CN"/>
        </w:rPr>
      </w:pPr>
      <w:r>
        <w:rPr>
          <w:rFonts w:hint="eastAsia" w:ascii="仿宋" w:hAnsi="仿宋" w:eastAsia="仿宋" w:cs="仿宋"/>
          <w:color w:val="auto"/>
          <w:highlight w:val="none"/>
          <w:lang w:eastAsia="zh-CN"/>
        </w:rPr>
        <w:t>（g）施工机具台班单价变化幅度、台班单价的计算依据、计算方式：</w:t>
      </w:r>
      <w:r>
        <w:rPr>
          <w:rFonts w:hint="eastAsia" w:ascii="仿宋" w:hAnsi="仿宋" w:eastAsia="仿宋" w:cs="仿宋"/>
          <w:color w:val="auto"/>
          <w:highlight w:val="none"/>
          <w:u w:val="single"/>
          <w:lang w:eastAsia="zh-CN"/>
        </w:rPr>
        <w:t xml:space="preserve">          </w:t>
      </w:r>
    </w:p>
    <w:p>
      <w:pPr>
        <w:spacing w:line="360" w:lineRule="auto"/>
        <w:ind w:firstLine="640" w:firstLineChars="267"/>
        <w:rPr>
          <w:rFonts w:eastAsia="仿宋_GB2312"/>
          <w:color w:val="auto"/>
          <w:sz w:val="30"/>
          <w:szCs w:val="30"/>
          <w:highlight w:val="none"/>
          <w:lang w:eastAsia="zh-CN"/>
        </w:rPr>
      </w:pPr>
      <w:r>
        <w:rPr>
          <w:rFonts w:hint="eastAsia" w:ascii="仿宋" w:hAnsi="仿宋" w:eastAsia="仿宋" w:cs="仿宋"/>
          <w:color w:val="auto"/>
          <w:highlight w:val="none"/>
          <w:lang w:eastAsia="zh-CN"/>
        </w:rPr>
        <w:t>□第2种方式：其他价格调整方式的约定：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pPr>
        <w:pStyle w:val="4"/>
        <w:tabs>
          <w:tab w:val="left" w:pos="420"/>
        </w:tabs>
        <w:spacing w:line="360" w:lineRule="auto"/>
        <w:rPr>
          <w:rFonts w:ascii="仿宋" w:hAnsi="仿宋" w:eastAsia="仿宋"/>
          <w:bCs w:val="0"/>
          <w:i w:val="0"/>
          <w:iCs w:val="0"/>
          <w:color w:val="auto"/>
          <w:sz w:val="24"/>
          <w:szCs w:val="24"/>
          <w:highlight w:val="none"/>
        </w:rPr>
      </w:pPr>
      <w:bookmarkStart w:id="884" w:name="_Toc2828"/>
      <w:bookmarkStart w:id="885" w:name="_Toc47694441"/>
      <w:bookmarkStart w:id="886" w:name="_Toc4119"/>
      <w:r>
        <w:rPr>
          <w:rFonts w:hint="eastAsia" w:ascii="仿宋" w:hAnsi="仿宋" w:eastAsia="仿宋" w:cs="仿宋"/>
          <w:bCs w:val="0"/>
          <w:i w:val="0"/>
          <w:iCs w:val="0"/>
          <w:color w:val="auto"/>
          <w:sz w:val="24"/>
          <w:szCs w:val="24"/>
          <w:highlight w:val="none"/>
        </w:rPr>
        <w:t>★83. 支付事项</w:t>
      </w:r>
      <w:bookmarkEnd w:id="884"/>
      <w:bookmarkEnd w:id="885"/>
      <w:bookmarkEnd w:id="886"/>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83.2 计算利息的利率</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按照中国人民银行发布的同期同类贷款利率。</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发包人不支付利息。</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rPr>
          <w:rFonts w:ascii="仿宋" w:hAnsi="仿宋" w:eastAsia="仿宋"/>
          <w:i w:val="0"/>
          <w:iCs w:val="0"/>
          <w:color w:val="auto"/>
          <w:sz w:val="24"/>
          <w:szCs w:val="24"/>
          <w:highlight w:val="none"/>
        </w:rPr>
      </w:pPr>
      <w:bookmarkStart w:id="887" w:name="_Toc8496"/>
      <w:bookmarkStart w:id="888" w:name="_Toc16088"/>
      <w:bookmarkStart w:id="889" w:name="_Toc47694442"/>
      <w:r>
        <w:rPr>
          <w:rFonts w:hint="eastAsia" w:ascii="仿宋" w:hAnsi="仿宋" w:eastAsia="仿宋" w:cs="仿宋"/>
          <w:i w:val="0"/>
          <w:iCs w:val="0"/>
          <w:color w:val="auto"/>
          <w:sz w:val="24"/>
          <w:szCs w:val="24"/>
          <w:highlight w:val="none"/>
        </w:rPr>
        <w:t>★84.  预付款</w:t>
      </w:r>
      <w:bookmarkEnd w:id="887"/>
      <w:bookmarkEnd w:id="888"/>
      <w:bookmarkEnd w:id="889"/>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（1）□无预付款，本条不适用。</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（2）□有预付款，其支付办法和抵扣方式，按专用条款第84.2款和第84.4款规定。</w:t>
      </w:r>
    </w:p>
    <w:p>
      <w:pPr>
        <w:spacing w:line="360" w:lineRule="auto"/>
        <w:ind w:left="480" w:leftChars="200" w:firstLine="619" w:firstLineChars="258"/>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工程勘察费预付款支付比例及金额：</w:t>
      </w:r>
      <w:r>
        <w:rPr>
          <w:rFonts w:hint="eastAsia" w:ascii="仿宋" w:hAnsi="仿宋" w:eastAsia="仿宋" w:cs="仿宋"/>
          <w:color w:val="auto"/>
          <w:highlight w:val="none"/>
          <w:u w:val="single"/>
          <w:lang w:eastAsia="zh-CN"/>
        </w:rPr>
        <w:t xml:space="preserve"> 详见下表。</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工程设计费预付款支付比例及金额：</w:t>
      </w:r>
      <w:r>
        <w:rPr>
          <w:rFonts w:hint="eastAsia" w:ascii="仿宋" w:hAnsi="仿宋" w:eastAsia="仿宋" w:cs="仿宋"/>
          <w:color w:val="auto"/>
          <w:highlight w:val="none"/>
          <w:u w:val="single"/>
          <w:lang w:eastAsia="zh-CN"/>
        </w:rPr>
        <w:t xml:space="preserve"> 详见下表。</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BIM技术应用费预付款支付比例及金额：</w:t>
      </w:r>
      <w:r>
        <w:rPr>
          <w:rFonts w:hint="eastAsia" w:ascii="仿宋" w:hAnsi="仿宋" w:eastAsia="仿宋" w:cs="仿宋"/>
          <w:color w:val="auto"/>
          <w:highlight w:val="none"/>
          <w:u w:val="single"/>
          <w:lang w:eastAsia="zh-CN"/>
        </w:rPr>
        <w:t xml:space="preserve"> 详见下表。</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设备及工器具购置费预付款支付比例及金额：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建筑安装工程费</w:t>
      </w:r>
      <w:r>
        <w:rPr>
          <w:rFonts w:hint="eastAsia" w:ascii="仿宋" w:hAnsi="仿宋" w:eastAsia="仿宋" w:cs="仿宋"/>
          <w:color w:val="auto"/>
          <w:highlight w:val="none"/>
          <w:lang w:eastAsia="zh-CN"/>
        </w:rPr>
        <w:t>（扣除暂列金额、暂估价、绿色安全防护措施费等）</w:t>
      </w:r>
      <w:r>
        <w:rPr>
          <w:rFonts w:hint="eastAsia" w:ascii="仿宋" w:hAnsi="仿宋" w:eastAsia="仿宋"/>
          <w:color w:val="auto"/>
          <w:highlight w:val="none"/>
          <w:lang w:eastAsia="zh-CN"/>
        </w:rPr>
        <w:t>预付款支付比例及金额：</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u w:val="single"/>
          <w:lang w:eastAsia="zh-CN"/>
        </w:rPr>
        <w:t>详见下表。</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□其他费用预付</w:t>
      </w:r>
      <w:r>
        <w:rPr>
          <w:rFonts w:hint="eastAsia" w:ascii="仿宋" w:hAnsi="仿宋" w:eastAsia="仿宋"/>
          <w:color w:val="auto"/>
          <w:highlight w:val="none"/>
          <w:lang w:eastAsia="zh-CN"/>
        </w:rPr>
        <w:t>款支付比例及金额：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pStyle w:val="22"/>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预付款</w:t>
      </w:r>
      <w:r>
        <w:rPr>
          <w:rFonts w:hint="eastAsia" w:ascii="仿宋" w:hAnsi="仿宋" w:eastAsia="仿宋" w:cs="仿宋"/>
          <w:color w:val="auto"/>
          <w:sz w:val="24"/>
          <w:szCs w:val="24"/>
          <w:highlight w:val="none"/>
          <w:u w:val="single"/>
          <w:lang w:val="en-US"/>
        </w:rPr>
        <w:t>支付</w:t>
      </w:r>
      <w:r>
        <w:rPr>
          <w:rFonts w:hint="eastAsia" w:ascii="仿宋" w:hAnsi="仿宋" w:eastAsia="仿宋" w:cs="仿宋"/>
          <w:color w:val="auto"/>
          <w:sz w:val="24"/>
          <w:szCs w:val="24"/>
          <w:highlight w:val="none"/>
          <w:u w:val="single"/>
        </w:rPr>
        <w:t>计划如下：</w:t>
      </w:r>
    </w:p>
    <w:tbl>
      <w:tblPr>
        <w:tblStyle w:val="43"/>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1"/>
        <w:gridCol w:w="1667"/>
        <w:gridCol w:w="1854"/>
        <w:gridCol w:w="1673"/>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081" w:type="dxa"/>
            <w:vAlign w:val="center"/>
          </w:tcPr>
          <w:p>
            <w:pPr>
              <w:pStyle w:val="22"/>
              <w:widowControl w:val="0"/>
              <w:adjustRightInd w:val="0"/>
              <w:snapToGrid w:val="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费用项目</w:t>
            </w:r>
          </w:p>
        </w:tc>
        <w:tc>
          <w:tcPr>
            <w:tcW w:w="1667" w:type="dxa"/>
            <w:vAlign w:val="center"/>
          </w:tcPr>
          <w:p>
            <w:pPr>
              <w:pStyle w:val="22"/>
              <w:widowControl w:val="0"/>
              <w:adjustRightInd w:val="0"/>
              <w:snapToGrid w:val="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基数</w:t>
            </w:r>
          </w:p>
        </w:tc>
        <w:tc>
          <w:tcPr>
            <w:tcW w:w="1854"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2023年</w:t>
            </w:r>
            <w:r>
              <w:rPr>
                <w:rFonts w:hint="eastAsia" w:ascii="仿宋" w:hAnsi="仿宋" w:eastAsia="仿宋" w:cs="仿宋"/>
                <w:color w:val="auto"/>
                <w:sz w:val="24"/>
                <w:szCs w:val="24"/>
                <w:highlight w:val="none"/>
              </w:rPr>
              <w:t>预付比例（</w:t>
            </w:r>
            <w:r>
              <w:rPr>
                <w:rFonts w:hint="eastAsia" w:ascii="仿宋" w:hAnsi="仿宋" w:eastAsia="仿宋" w:cs="仿宋"/>
                <w:color w:val="auto"/>
                <w:sz w:val="24"/>
                <w:szCs w:val="24"/>
                <w:highlight w:val="none"/>
                <w:lang w:val="en-US"/>
              </w:rPr>
              <w:t>%）</w:t>
            </w:r>
          </w:p>
        </w:tc>
        <w:tc>
          <w:tcPr>
            <w:tcW w:w="1673" w:type="dxa"/>
            <w:vAlign w:val="center"/>
          </w:tcPr>
          <w:p>
            <w:pPr>
              <w:pStyle w:val="22"/>
              <w:widowControl w:val="0"/>
              <w:adjustRightInd w:val="0"/>
              <w:snapToGrid w:val="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rPr>
              <w:t>2024年</w:t>
            </w:r>
            <w:r>
              <w:rPr>
                <w:rFonts w:hint="eastAsia" w:ascii="仿宋" w:hAnsi="仿宋" w:eastAsia="仿宋" w:cs="仿宋"/>
                <w:color w:val="auto"/>
                <w:sz w:val="24"/>
                <w:szCs w:val="24"/>
                <w:highlight w:val="none"/>
              </w:rPr>
              <w:t>预付比例（</w:t>
            </w:r>
            <w:r>
              <w:rPr>
                <w:rFonts w:hint="eastAsia" w:ascii="仿宋" w:hAnsi="仿宋" w:eastAsia="仿宋" w:cs="仿宋"/>
                <w:color w:val="auto"/>
                <w:sz w:val="24"/>
                <w:szCs w:val="24"/>
                <w:highlight w:val="none"/>
                <w:lang w:val="en-US"/>
              </w:rPr>
              <w:t>%）</w:t>
            </w:r>
          </w:p>
        </w:tc>
        <w:tc>
          <w:tcPr>
            <w:tcW w:w="1673"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合计</w:t>
            </w:r>
            <w:r>
              <w:rPr>
                <w:rFonts w:hint="eastAsia" w:ascii="仿宋" w:hAnsi="仿宋" w:eastAsia="仿宋" w:cs="仿宋"/>
                <w:color w:val="auto"/>
                <w:sz w:val="24"/>
                <w:szCs w:val="24"/>
                <w:highlight w:val="none"/>
              </w:rPr>
              <w:t>预付比例（</w:t>
            </w:r>
            <w:r>
              <w:rPr>
                <w:rFonts w:hint="eastAsia" w:ascii="仿宋" w:hAnsi="仿宋" w:eastAsia="仿宋" w:cs="仿宋"/>
                <w:color w:val="auto"/>
                <w:sz w:val="24"/>
                <w:szCs w:val="24"/>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081" w:type="dxa"/>
            <w:vAlign w:val="center"/>
          </w:tcPr>
          <w:p>
            <w:pPr>
              <w:pStyle w:val="22"/>
              <w:widowControl w:val="0"/>
              <w:adjustRightInd w:val="0"/>
              <w:snapToGrid w:val="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工程勘察费</w:t>
            </w:r>
          </w:p>
        </w:tc>
        <w:tc>
          <w:tcPr>
            <w:tcW w:w="1667"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暂定合同价</w:t>
            </w:r>
          </w:p>
        </w:tc>
        <w:tc>
          <w:tcPr>
            <w:tcW w:w="1854"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10</w:t>
            </w:r>
          </w:p>
        </w:tc>
        <w:tc>
          <w:tcPr>
            <w:tcW w:w="1673"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0</w:t>
            </w:r>
          </w:p>
        </w:tc>
        <w:tc>
          <w:tcPr>
            <w:tcW w:w="1673"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081" w:type="dxa"/>
            <w:vAlign w:val="center"/>
          </w:tcPr>
          <w:p>
            <w:pPr>
              <w:pStyle w:val="22"/>
              <w:widowControl w:val="0"/>
              <w:adjustRightInd w:val="0"/>
              <w:snapToGrid w:val="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工程设计费</w:t>
            </w:r>
          </w:p>
        </w:tc>
        <w:tc>
          <w:tcPr>
            <w:tcW w:w="1667"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暂定合同价</w:t>
            </w:r>
          </w:p>
        </w:tc>
        <w:tc>
          <w:tcPr>
            <w:tcW w:w="1854"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10</w:t>
            </w:r>
          </w:p>
        </w:tc>
        <w:tc>
          <w:tcPr>
            <w:tcW w:w="1673"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0</w:t>
            </w:r>
          </w:p>
        </w:tc>
        <w:tc>
          <w:tcPr>
            <w:tcW w:w="1673"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081" w:type="dxa"/>
            <w:vAlign w:val="center"/>
          </w:tcPr>
          <w:p>
            <w:pPr>
              <w:pStyle w:val="22"/>
              <w:widowControl w:val="0"/>
              <w:adjustRightInd w:val="0"/>
              <w:snapToGrid w:val="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BIM技术应用费</w:t>
            </w:r>
          </w:p>
        </w:tc>
        <w:tc>
          <w:tcPr>
            <w:tcW w:w="1667"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暂定合同价</w:t>
            </w:r>
          </w:p>
        </w:tc>
        <w:tc>
          <w:tcPr>
            <w:tcW w:w="1854"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10</w:t>
            </w:r>
          </w:p>
        </w:tc>
        <w:tc>
          <w:tcPr>
            <w:tcW w:w="1673"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0</w:t>
            </w:r>
          </w:p>
        </w:tc>
        <w:tc>
          <w:tcPr>
            <w:tcW w:w="1673"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081" w:type="dxa"/>
            <w:vAlign w:val="center"/>
          </w:tcPr>
          <w:p>
            <w:pPr>
              <w:pStyle w:val="22"/>
              <w:widowControl w:val="0"/>
              <w:adjustRightInd w:val="0"/>
              <w:snapToGrid w:val="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建筑安装工程费</w:t>
            </w:r>
          </w:p>
        </w:tc>
        <w:tc>
          <w:tcPr>
            <w:tcW w:w="1667"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暂定合同价</w:t>
            </w:r>
          </w:p>
        </w:tc>
        <w:tc>
          <w:tcPr>
            <w:tcW w:w="1854"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6</w:t>
            </w:r>
          </w:p>
        </w:tc>
        <w:tc>
          <w:tcPr>
            <w:tcW w:w="1673"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6</w:t>
            </w:r>
          </w:p>
        </w:tc>
        <w:tc>
          <w:tcPr>
            <w:tcW w:w="1673" w:type="dxa"/>
            <w:vAlign w:val="center"/>
          </w:tcPr>
          <w:p>
            <w:pPr>
              <w:pStyle w:val="22"/>
              <w:widowControl w:val="0"/>
              <w:adjustRightInd w:val="0"/>
              <w:snapToGrid w:val="0"/>
              <w:jc w:val="center"/>
              <w:rPr>
                <w:rFonts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12</w:t>
            </w:r>
          </w:p>
        </w:tc>
      </w:tr>
    </w:tbl>
    <w:p>
      <w:pPr>
        <w:pStyle w:val="22"/>
        <w:adjustRightInd w:val="0"/>
        <w:snapToGrid w:val="0"/>
        <w:spacing w:line="360" w:lineRule="auto"/>
        <w:ind w:firstLine="480" w:firstLineChars="200"/>
        <w:rPr>
          <w:rFonts w:ascii="仿宋" w:hAnsi="仿宋" w:eastAsia="仿宋" w:cs="仿宋"/>
          <w:color w:val="auto"/>
          <w:sz w:val="24"/>
          <w:szCs w:val="24"/>
          <w:highlight w:val="none"/>
        </w:rPr>
      </w:pPr>
    </w:p>
    <w:p>
      <w:pPr>
        <w:pStyle w:val="22"/>
        <w:adjustRightInd w:val="0"/>
        <w:snapToGrid w:val="0"/>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84.2 提交预付款支付申请期限：</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□按通用条款第84.2款规定。</w:t>
      </w:r>
    </w:p>
    <w:p>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合同签订以及承包人提交履约保证金后，承包人则提交预付款支付申请流程，</w:t>
      </w:r>
      <w:r>
        <w:rPr>
          <w:rFonts w:hint="eastAsia" w:ascii="仿宋" w:hAnsi="仿宋" w:eastAsia="仿宋" w:cs="仿宋"/>
          <w:color w:val="auto"/>
          <w:position w:val="1"/>
          <w:highlight w:val="none"/>
          <w:u w:val="single"/>
          <w:lang w:eastAsia="zh-CN"/>
        </w:rPr>
        <w:t>发包人收齐预付款申请资料后及时完成审批流程支付给承包人。</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84.4 预付款的扣回</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□按通用条款规定。</w:t>
      </w:r>
    </w:p>
    <w:p>
      <w:pPr>
        <w:spacing w:line="360" w:lineRule="auto"/>
        <w:ind w:left="480" w:leftChars="200"/>
        <w:rPr>
          <w:rStyle w:val="49"/>
          <w:color w:val="auto"/>
          <w:highlight w:val="none"/>
          <w:lang w:val="zh-CN" w:eastAsia="zh-CN" w:bidi="ar-SA"/>
        </w:rPr>
      </w:pPr>
      <w:r>
        <w:rPr>
          <w:rFonts w:hint="eastAsia" w:ascii="仿宋" w:hAnsi="仿宋" w:eastAsia="仿宋" w:cs="仿宋"/>
          <w:color w:val="auto"/>
          <w:highlight w:val="none"/>
          <w:lang w:eastAsia="zh-CN"/>
        </w:rPr>
        <w:t>☑其它抵扣方式：</w:t>
      </w:r>
      <w:r>
        <w:rPr>
          <w:rFonts w:hint="eastAsia" w:ascii="仿宋" w:hAnsi="仿宋" w:eastAsia="仿宋" w:cs="仿宋"/>
          <w:color w:val="auto"/>
          <w:highlight w:val="none"/>
          <w:u w:val="single"/>
          <w:lang w:eastAsia="zh-CN"/>
        </w:rPr>
        <w:t xml:space="preserve"> 建筑安装工程费预付款按比例扣回，自第一期施工进度款起，发包人有权在每期应付的施工进度款中按应付施工进度款的30%扣回预付款，直至全部扣回为止。 </w:t>
      </w:r>
    </w:p>
    <w:p>
      <w:pPr>
        <w:ind w:left="480" w:leftChars="200"/>
        <w:rPr>
          <w:rFonts w:ascii="仿宋" w:hAnsi="仿宋" w:eastAsia="仿宋" w:cs="仿宋"/>
          <w:color w:val="auto"/>
          <w:highlight w:val="none"/>
          <w:lang w:eastAsia="zh-CN"/>
        </w:rPr>
      </w:pPr>
    </w:p>
    <w:p>
      <w:pPr>
        <w:pStyle w:val="4"/>
        <w:tabs>
          <w:tab w:val="left" w:pos="420"/>
        </w:tabs>
        <w:spacing w:line="360" w:lineRule="auto"/>
        <w:rPr>
          <w:rFonts w:ascii="仿宋" w:hAnsi="仿宋" w:eastAsia="仿宋"/>
          <w:i w:val="0"/>
          <w:iCs w:val="0"/>
          <w:color w:val="auto"/>
          <w:sz w:val="24"/>
          <w:szCs w:val="24"/>
          <w:highlight w:val="none"/>
        </w:rPr>
      </w:pPr>
      <w:bookmarkStart w:id="890" w:name="_Toc23319"/>
      <w:bookmarkStart w:id="891" w:name="_Toc47694443"/>
      <w:bookmarkStart w:id="892" w:name="_Toc4058"/>
      <w:r>
        <w:rPr>
          <w:rFonts w:hint="eastAsia" w:ascii="仿宋" w:hAnsi="仿宋" w:eastAsia="仿宋" w:cs="仿宋"/>
          <w:i w:val="0"/>
          <w:iCs w:val="0"/>
          <w:color w:val="auto"/>
          <w:sz w:val="24"/>
          <w:szCs w:val="24"/>
          <w:highlight w:val="none"/>
        </w:rPr>
        <w:t>★85.  绿色施工安全防护费</w:t>
      </w:r>
      <w:bookmarkEnd w:id="890"/>
      <w:bookmarkEnd w:id="891"/>
      <w:bookmarkEnd w:id="892"/>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绿色施工安全防护费的内容、范围和金额</w:t>
      </w:r>
    </w:p>
    <w:p>
      <w:pPr>
        <w:spacing w:line="360" w:lineRule="auto"/>
        <w:ind w:firstLine="480" w:firstLineChars="200"/>
        <w:rPr>
          <w:rFonts w:ascii="仿宋" w:hAnsi="仿宋" w:eastAsia="仿宋"/>
          <w:color w:val="auto"/>
          <w:highlight w:val="none"/>
          <w:lang w:eastAsia="zh-CN"/>
        </w:rPr>
      </w:pPr>
      <w:bookmarkStart w:id="893" w:name="_Toc6285"/>
      <w:r>
        <w:rPr>
          <w:rFonts w:hint="eastAsia" w:ascii="仿宋" w:hAnsi="仿宋" w:eastAsia="仿宋" w:cs="仿宋"/>
          <w:color w:val="auto"/>
          <w:highlight w:val="none"/>
          <w:lang w:eastAsia="zh-CN"/>
        </w:rPr>
        <w:t>（1）内容和范围</w:t>
      </w:r>
      <w:bookmarkEnd w:id="893"/>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□按通用条款的约定，以现行省、市有关文件规定为准。</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承包人应按照国家、省、市安全文明施工的有关条例进行施工，若承包人有违反国家、省、市安全文明施工有关条例，发包人有权依约收取违约金及扣减按广州市建委文件规定计费的相关费用和文明施工费。   </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（2）绿色施工安全防护费的总金额为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按通用条款的规定。</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绿色施工安全防护费的支付办法和抵扣方式：</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按通用条款的规定。</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另作约定：首期：本工程暂按</w:t>
      </w:r>
      <w:r>
        <w:rPr>
          <w:rFonts w:hint="eastAsia" w:ascii="仿宋" w:hAnsi="仿宋" w:eastAsia="仿宋" w:cs="仿宋"/>
          <w:color w:val="auto"/>
          <w:highlight w:val="none"/>
          <w:u w:val="single"/>
          <w:lang w:eastAsia="zh-CN"/>
        </w:rPr>
        <w:t>合同中</w:t>
      </w:r>
      <w:r>
        <w:rPr>
          <w:rFonts w:hint="eastAsia" w:ascii="仿宋" w:hAnsi="仿宋" w:eastAsia="仿宋" w:cs="仿宋"/>
          <w:color w:val="auto"/>
          <w:highlight w:val="none"/>
          <w:lang w:eastAsia="zh-CN"/>
        </w:rPr>
        <w:t>建筑安装工程费</w:t>
      </w:r>
      <w:r>
        <w:rPr>
          <w:rFonts w:hint="eastAsia" w:ascii="仿宋" w:hAnsi="仿宋" w:eastAsia="仿宋" w:cs="仿宋"/>
          <w:color w:val="auto"/>
          <w:highlight w:val="none"/>
          <w:u w:val="single"/>
          <w:lang w:eastAsia="zh-CN"/>
        </w:rPr>
        <w:t>金额（即为</w:t>
      </w:r>
      <w:r>
        <w:rPr>
          <w:rFonts w:hint="eastAsia" w:ascii="仿宋" w:hAnsi="仿宋" w:eastAsia="仿宋" w:cs="仿宋"/>
          <w:color w:val="auto"/>
          <w:highlight w:val="none"/>
          <w:lang w:eastAsia="zh-CN"/>
        </w:rPr>
        <w:t>建筑安装工程费中标金额</w:t>
      </w:r>
      <w:r>
        <w:rPr>
          <w:rFonts w:hint="eastAsia" w:ascii="仿宋" w:hAnsi="仿宋" w:eastAsia="仿宋" w:cs="仿宋"/>
          <w:color w:val="auto"/>
          <w:highlight w:val="none"/>
          <w:u w:val="single"/>
          <w:lang w:eastAsia="zh-CN"/>
        </w:rPr>
        <w:t>）的3%计取暂定绿色施工安全防护费（仅作为首期支付时的计算基数），经审查符合开工条件的支付暂定绿色施工安全防护费的30%（如首次支付的费用已超过第二期（或第三期）应支付的费用，则第二期（或第三期）不予支付）；第二期：主楼地下室顶板工程完成支付至50%；第三期：工程结构封顶付至80%；第四期：工程竣工安全评价合格后支付至100%。</w:t>
      </w:r>
      <w:r>
        <w:rPr>
          <w:rFonts w:ascii="仿宋" w:hAnsi="仿宋" w:eastAsia="仿宋" w:cs="仿宋"/>
          <w:color w:val="auto"/>
          <w:highlight w:val="none"/>
          <w:u w:val="single"/>
          <w:lang w:eastAsia="zh-CN"/>
        </w:rPr>
        <w:t xml:space="preserve"> </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85.6 文明工地增加费</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文明工地增加费的计算额度：</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rPr>
          <w:rFonts w:ascii="仿宋" w:hAnsi="仿宋" w:eastAsia="仿宋"/>
          <w:i w:val="0"/>
          <w:iCs w:val="0"/>
          <w:color w:val="auto"/>
          <w:sz w:val="24"/>
          <w:szCs w:val="24"/>
          <w:highlight w:val="none"/>
        </w:rPr>
      </w:pPr>
      <w:bookmarkStart w:id="894" w:name="_Toc47694444"/>
      <w:bookmarkStart w:id="895" w:name="_Toc11591"/>
      <w:bookmarkStart w:id="896" w:name="_Toc8006"/>
      <w:r>
        <w:rPr>
          <w:rFonts w:hint="eastAsia" w:ascii="仿宋" w:hAnsi="仿宋" w:eastAsia="仿宋" w:cs="仿宋"/>
          <w:i w:val="0"/>
          <w:iCs w:val="0"/>
          <w:color w:val="auto"/>
          <w:sz w:val="24"/>
          <w:szCs w:val="24"/>
          <w:highlight w:val="none"/>
        </w:rPr>
        <w:t>★86.  进度款</w:t>
      </w:r>
      <w:bookmarkEnd w:id="894"/>
      <w:bookmarkEnd w:id="895"/>
      <w:bookmarkEnd w:id="896"/>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86.1 约定支付期限和提交支付申请</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☑勘察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 xml:space="preserve"> 勘察费支付方式：由发包人直接支付给承包人（联合体成员勘察单位）。</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阶段性任务（工程初勘/详勘/超前钻）工作完成后，该项勘察成果资料通过发包人验收，分别累计支付至该项的实际已完成工作量对应勘察费的70%；项目获得施工图审查合格证后可申请勘察费结算，勘察费结算经发包人审定后，发包人向承包人支付至勘察费结算价的</w:t>
      </w:r>
      <w:r>
        <w:rPr>
          <w:rFonts w:ascii="仿宋" w:hAnsi="仿宋" w:eastAsia="仿宋" w:cs="仿宋"/>
          <w:color w:val="auto"/>
          <w:highlight w:val="none"/>
          <w:u w:val="single"/>
          <w:lang w:eastAsia="zh-CN"/>
        </w:rPr>
        <w:t>95</w:t>
      </w:r>
      <w:r>
        <w:rPr>
          <w:rFonts w:hint="eastAsia" w:ascii="仿宋" w:hAnsi="仿宋" w:eastAsia="仿宋" w:cs="仿宋"/>
          <w:color w:val="auto"/>
          <w:highlight w:val="none"/>
          <w:u w:val="single"/>
          <w:lang w:eastAsia="zh-CN"/>
        </w:rPr>
        <w:t>%；剩余的勘察费待地下室结构封顶后发包人一次结清（不计利息）。承包人应向发包人开具与发包人应付价款等额有效合法的增值税专用发票，承包人逾期提供前述发票的，发包人有权相应延迟付款。</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工程勘察费按实物工作量乘以合同约定的综合单价计算。实物工作量指按照工程勘察规范、规程、合同的规定及勘察作业实际情况完成且经发包人及发包人委托的第三方共同确认的工作量，但如勘察工作量大于招标勘察工作量110%，则超出招标勘察工作量110%部分不再另行计量，且勘察费结算价不得超过经有权审核部门审定的工程概算中对应的勘察费金额。合同综合单价为全费用综合单价。</w:t>
      </w:r>
    </w:p>
    <w:p>
      <w:pPr>
        <w:widowControl w:val="0"/>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本工程岩土工程勘察费中标综合单价为        元/米。（注：本工程为配合完成合同范围内工作（包括工程勘察、工程设计等）所需辅助测量等辅助性工作费用，已包含在勘察设计费中，不单独计费）</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本合同约定的勘察费为完成本合同约定的所有勘察工作内容及要求的全部费用，包括但不限于收集已有资料、现场踏勘、制定勘察纲要，进行测绘、勘探、取样、试验、测试、检测、监测等勘察作业，编制工程勘察文件和岩土工程设计文件、岩土工程技术说明、解决设计或施工中的工程勘察技术问题，参加工程测量交桩、水文地质交底、岩土工程验槽、购买有关资料、勘察文件的修改、实施勘察过程中发生的相关工作（包括障碍物拆除、开挖、地下管线的修复等）、勘察过程中发生的用材以及加工、勘察作业机具的进退场及现场搬运等服务，以及综合考虑不同自然条件下、不同作业内容、不同复杂程度及高温勘察等一切因素下的勘探作业的费用。本款约定的综合单价也已包含完成实施所有勘察工作内容的费用。</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承包人提交符合本合同约定的全部勘察成果文件并通过发包人或发包人委托的第三方审查，且实际承包人实施勘察工作的实物工程量得到发包人及发包人委托的第三方确认后，承包人按合同要求提交申请支付的文件资料【必须包括勘察设备进出场时间记录、勘察工作的全过程勘察记录（包含全过程作业现场录像光盘，现场录像要求具体如下：①录像内容需体现钻探点位置或编号、勘察设备进出场时间、现场工作人员、现场勘察作业情况；②若现场多个钻探点同时勘察，多台勘察设备分散作业，则可用同一台录像机对多台勘察设备的作业情况进行连续录像；③每个钻探点都必须有相应的录像内容）及每个勘探钻孔及钻孔岩土样本的照片】</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设计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①支付期限、比例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 xml:space="preserve"> 设计费支付方式：由发包人直接支付给承包人（联合体成员设计单位）。</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（1）基本原则</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当甲乙双方签订合同时有权审核部门尚未审定本合同承包人设计范围的工程概算时，以中标价为暂定价；</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由于设计工作范围的调整，若某专业工程仅完成了某阶段设计工作，其工程设计费以本条款计算的设计收费总额中的工程设计费乘以相应比例计算。</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除非双方另有约定，本合同设计收费计取时已综合考虑各种费率变化、物价变动以及国家发改委、建设部《关于发布&lt;工程勘察设计收费管理规定&gt;的通知》（计价格〔2002〕10号）文中规定的费用。</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设计费暂定合同价与结算原则</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本合同设计费暂定为人民币：          元（大写：           元整）。</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设计费结算时按以下原则结算：</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工程设计费以经有权审核部门审定的初步设计概算中对应的设计费金额为基础，根据投标人的工程设计费中标下浮率计取工程设计费结算金额。工程设计费结算金额=初步设计概算中对应的设计费金额×（1-工程设计费中标下浮率），建设规模减少时，按设计单位工作完成情况据实折算调整。</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本合同设计费已包括设计送审、招标配合、施工现场的配合、指派设计代表驻场服务费用等工作的劳务、管理、住宿、临时办公、材料、保险、利润、税金、政策性文件规定及合同包含内的所有风险、责任等各项应有费用，不论其在招标文件中是否有提及。上述所列费用，发包人不再另行支付。</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若项目涉及其它专业设计，承包人经发包人批准同意后可分包给具有相应设计资质的单位进行设计，承包人必须负责统筹管理和协调配合，确保其成果满足相关部门报审要求以及满足合同约定的各项要求。</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设计承包人须承担本工程设计方案修改任务，发包人不再另行支付方案修改的费用，承包人配合办理工程报建等手续，直到办理建设用地手续为止，各个阶段设计内容及完成时间以发包人通知为准。如因发包人原因发生重大变更委托设计承包人作较大修改的，双方应酌情签订补充协议。</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若施工图预算超出有权审核部门审定的初步设计概算中工程费用（一类费用）的9</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承包人须保证根据评审专家和发包人的意见，进行修改，并承诺该修改不改变有关设计和规划的原则、内容与要求，不改变原方案设计的构思，不降低使用功能与设计质量标准，不增加设计费用，并承担一切的责任和损失。如果施工图预算超出经确认的初步设计概算中工程费用（一类费用）的9</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%，承包人须保证无偿在初步设计的基础上对施工图进行修改，项目立项投资调整而引起的设计概算修改除外。</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发包人所提供的设计依据仅为参考，最终以政府规划部门批复的相关文件为准，项目立项投资调整引起的设计修改除外。</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（2）设计费进度款支付方式</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承包人配合发包人通过项目基坑支护设计方案专家评审，发包人累计支付至设计费暂定总额的20%（预付款在该期设计费支付时抵作设计费）；</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承包人完成初步设计（含概算）并提交给发包人后，发包人累积支付至设计费暂定总额的40%；</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承包人按初步设计审查意见修编完成，配合发包人取得概算批复意见，累积支付至设计费总额的50%；</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承包人完成全部专业施工图设计并按审查意见修编完成，配合发包人取得施工图审查合格证书，施工图预算经审核确认后，累积支付至设计费总额的70%；</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主体结构封顶后，发包人累计支付至设计费总额的85%;</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发包人确认承包人已完成合同约定范围内的所有设计工作并配合完成项目竣工验收，累计支付至设计费总额的97%；</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自工程竣工验收合格之日起至“缺陷维护责任期”期满后，支付终审部门审定的设计费全部金额（无息），不留尾款。</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设计工作完成以工程设计成果提交审批完成或被确认合格且工程顺利进入下一阶段或合同符合终止条件为准。</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（3）支付要求</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每次付款前，承包人应按发包人要求报送完整的申请资料或结算资料，否则发包人有权顺延付款时间。</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设计费在发包人支付每笔费用3天前承包人应向发包人提供正式等额增值税专用发票，但发包人收到发票不作为认定承包人收到发票等额设计费的依据，承包人实际收到设计费的时间以发包人交付的款项正式在承包人入账之日为准。承包人未提供符合要求的发票给发包人的，发包人可以顺延付款日期。因承包人提供的发票不规范、不合法引起税务问题的，承包人应承担向发包人赔偿的责任，包括但不限于税款、滞纳金、罚款及相关损失等。</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施工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①支付期限、比例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：（1） 每月15日前上报进度款，按合同约定的计量计价原则，计算出已完工程价款，按规定格式编制工程进度款支付申请单报监理人核实确认，并附上隐蔽工程验收记录及发包人要求的其它相关材料（包括但不限于资金使用计划等）作为支持材料。承包人应向监理工程师及发包人报送实际完成的工程数量、应付的进度款和质量自检等表格。发包人应在收到完整请款资料起及时完成审批流程并向承包人（施工方）支付工程款（进度款）。</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 进度款的支付</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①工程进度款：计算公式：  </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A、当期可支付分部分项工程进度款＝承包人当期实际完成的分部分项工程费×85%-应扣款项（预付款、违约金、罚款等）;  </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B、措施项目费（绿色施工安全防护费除外）和其它项目费进度款计算规定：按实际完成情况每个月支付。措施项目费（绿色施工安全防护费除外）及其它项目费均纳入申报当月进度计量计算支付，按审核金额的85%支付。不发生的项目不予计量支付及结算支付。  </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C、对于供货周期较长，单个采购合同额超过500万元的主要材料或设备，承包人签订采购合同后，在施工（安装）前可以在当月向发包人申报合同额的50%进度款。承包人申请该部分进度款时，需要提交采购合同、付款银行流水凭证及发包人要求的其他相关证明文件（例如，供货保函、信用证、提货单、报关单据等资料），该部分进度款按监理人、发包人审定数额办理支付手续。在施工（安装）后，在相关工程进度款中只计算该部分材料或设备涉及的剩余部分应付款项，支付至85%时暂停支付。  </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①发包人支付该部分进度款不代表材料设备采购供货的相关风险转移给发包人，只有在工程竣工验收合格并按合同约定移交工程后，工程（含设备）风险及责任才转移给发包人。 </w:t>
      </w:r>
    </w:p>
    <w:p>
      <w:pPr>
        <w:widowControl w:val="0"/>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②承包人应保证提交监理人（造价工程师）、发包人的已完工程款额报告和支付申请中的计量及计价数据具备相当的准确度。  </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③在发包人审定施工图预算后，施工进度款（含预付款）支付至承包人施工范围部分的修正后合同价格（绿色施工安全防护措施费除外）的85%时暂停支付。  </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④竣工验收合格及工程结算书经结算终审部门审定后28日历天内，可申请办理付款至工程结算价的97%，剩余部分留作质量保证金，缺陷责任期满后支付（无息）。</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工人工资支付专用账户的监督和管理按照《广州市住房和城乡建设局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37号）、《关于印发&lt;广东省建设工程领域工人工资支付专用账户管理办法&gt;的通知》（粤人社规[2018]14号）及《广州市住房和城乡建设局关于我市房建市政工程贯彻省用工实名及工人工资支付专用账户管理办法有关要求的通知》（穗建筑[2019]352号）等相关规定执行，相关规定如有更新按最新执行。</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建筑施工实名制的监督和管理按照《广州市住房和城乡建设局关于印发广州市建筑施工实名制管理办法的通知》（穗建规字〔2020〕18号）、《关于转发广州市住房和城乡建设委员会关于转发广东省住房和城乡建设厅关于房屋建筑和市政基础设施工程用工实名管理暂行办法的通知》（穗南建交[2018]1799号）等有关规定执行，相关规定如有更新按最新执行。</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⑤工程变更、签证等进度款支付。原则上，工程变更、签证等进度款应在工程变更、签证经监理工程师及发包人审核后进行申请支付，其计量支付工作参照工程进度款支付执行，其进度款支付比例为当期完成产值的70%。</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⑥承包人发生的违约金、罚款等相应扣款，在进度款或结算款中扣除。</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⑦发包人付款前，承包人须按发包人要求提供等额合法有效增值税发票，因承包人未及时提供符合要求的发票等原因致使发包人逾期付款的，责任由承包人承担；承包人未提供符合要求的发票给发包人的，发包人可以顺延付款日期。因承包人提供发票不规范、不合法引起税务问题的，承包人应承担向发包人赔偿的责任，包括但不限于税金、滞纳金、罚款及相关损失等。</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（3） 本合同专用条款第69款确定调整的合同价款，本合同专用条款第79款工程变更调整的合同价款及其他条款中约定的追加合同价款，应与工程款（进度款）同期调整支付。</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BIM 技术应用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①支付期限、比例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其它方式：</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（1）基本原则</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当甲乙双方签订合同时有权审核部门尚未审定本合同承包人设计范围的工程概算时，以中标价为暂定价；</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 BIM技术应用费暂定合同价与结算原则</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本合同BIM技术应用费暂定为人民币：           元（大写：             整）。</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BIM技术应用费结算时按以下原则结算：</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BIM技术应用费由承包人</w:t>
      </w:r>
      <w:r>
        <w:rPr>
          <w:rFonts w:hint="eastAsia" w:ascii="仿宋" w:hAnsi="仿宋" w:eastAsia="仿宋" w:cs="仿宋"/>
          <w:color w:val="auto"/>
          <w:highlight w:val="none"/>
          <w:lang w:eastAsia="zh-CN"/>
        </w:rPr>
        <w:t>按</w:t>
      </w:r>
      <w:r>
        <w:rPr>
          <w:rFonts w:hint="eastAsia" w:ascii="仿宋" w:hAnsi="仿宋" w:eastAsia="仿宋" w:cs="仿宋"/>
          <w:color w:val="auto"/>
          <w:highlight w:val="none"/>
          <w:lang w:eastAsia="zh-CN"/>
        </w:rPr>
        <w:t>BIM技术应用费</w:t>
      </w:r>
      <w:r>
        <w:rPr>
          <w:rFonts w:hint="eastAsia" w:ascii="仿宋" w:hAnsi="仿宋" w:eastAsia="仿宋" w:cs="仿宋"/>
          <w:color w:val="auto"/>
          <w:highlight w:val="none"/>
          <w:lang w:eastAsia="zh-CN"/>
        </w:rPr>
        <w:t>中标价实行合同总价包干</w:t>
      </w:r>
      <w:r>
        <w:rPr>
          <w:rFonts w:hint="eastAsia" w:ascii="仿宋" w:hAnsi="仿宋" w:eastAsia="仿宋" w:cs="仿宋"/>
          <w:color w:val="auto"/>
          <w:highlight w:val="none"/>
          <w:lang w:eastAsia="zh-CN"/>
        </w:rPr>
        <w:t>，且BIM技术应用费不得超过经有权审核部门审定的初步设计概算中对应的BIM技术应用费金额</w:t>
      </w:r>
      <w:r>
        <w:rPr>
          <w:rFonts w:hint="eastAsia" w:ascii="仿宋" w:hAnsi="仿宋" w:eastAsia="仿宋" w:cs="仿宋"/>
          <w:color w:val="auto"/>
          <w:highlight w:val="none"/>
          <w:lang w:eastAsia="zh-CN"/>
        </w:rPr>
        <w:t>且不得超过投标总价</w:t>
      </w:r>
      <w:r>
        <w:rPr>
          <w:rFonts w:hint="eastAsia" w:ascii="仿宋" w:hAnsi="仿宋" w:eastAsia="仿宋" w:cs="仿宋"/>
          <w:color w:val="auto"/>
          <w:highlight w:val="none"/>
          <w:lang w:eastAsia="zh-CN"/>
        </w:rPr>
        <w:t>，建设规模减少时折算后据实调整。</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本合同BIM技术应用费已包括BIM设计、BIM各阶段技术应用，论证阶段评审及征询意见等所发生的相关费用包含在上述合同价中。</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BIM技术应用承包人须承担本工程BIM技术应用方案修改任务，发包人不再另行支付方案修改的费用，承包人配合办理工程报建等手续，各个阶段内容及完成时间以发包人通知为准。</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 BIM技术应用费进度款支付方式</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BIM技术应用费支付方式：由发包人直接支付给承包人（联合体成员设计单位）。①承包人完成初步设计BIM建模及相关BIM技术应用，交由发包人审批接收后，累积支付至BIM技术应用费暂定总额的40%；</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②承包人完成全部专业施工图BIM设计并按审查意见修编完成，配合发包人取得施工图审查合格证书后，累积支付至BIM技术应用费总额的70%；</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③按施工过程中变更等修改完善BIM模型及相关BIM技术应用，至本工程完成竣工验收后，完成合同约定的BIM技术应用工作，移交最终BIM模型及相关成果给发包人审批接收后，累积支付至BIM技术应用费总额的90%；</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④BIM技术应用费结算金额经结算终审部门审定后，累计支付至终审部门审定的BIM技术应用费的97</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⑤自工程竣工验收合格之日起至“缺陷维护责任期”期满后，支付终审部门审定的BIM技术应用费全部金额（无息），不留尾款。</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设计工作完成以工程设计成果提交审批完成或被确认合格且工程顺利进入下一阶段或合同符合终止条件为准。</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（3）支付要求</w:t>
      </w:r>
    </w:p>
    <w:p>
      <w:pPr>
        <w:spacing w:line="360" w:lineRule="auto"/>
        <w:ind w:left="480" w:leftChars="2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每次付款前，承包人应按发包人要求报送完整的申请资料或结算资料，否则发包人有权顺延付款时间。</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BIM技术应用费在发包人支付每笔费用3日历天前承包人应向发包人提供正式等额增值税专用发票，但发包人收到发票不作为认定承包人收到发票等额技术应用费的依据，承包人实际收到BIM技术应用费的时间以发包人交付的款项正式在承包人入账之日为准。承包人未提供符合要求的发票给发包人的，发包人可以顺延付款日期。因承包人提供的发票不规范、不合法引起税务问题的，承包人应承担向发包人赔偿的责任，包括但不限于税款、滞纳金、罚款及相关损失等</w:t>
      </w:r>
      <w:r>
        <w:rPr>
          <w:rFonts w:hint="eastAsia" w:ascii="仿宋" w:hAnsi="仿宋" w:eastAsia="仿宋" w:cs="仿宋"/>
          <w:color w:val="auto"/>
          <w:highlight w:val="none"/>
          <w:lang w:eastAsia="zh-CN"/>
        </w:rPr>
        <w:t>。</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设备及工器具购置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①支付期限、比例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其它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①支付期限、比例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left="480" w:leftChars="2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期中支付的最低限额为：□勘察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 设计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 施工</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元；□BIM 技术应用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元；□设备及工器具购置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pStyle w:val="4"/>
        <w:tabs>
          <w:tab w:val="left" w:pos="420"/>
        </w:tabs>
        <w:spacing w:line="360" w:lineRule="auto"/>
        <w:rPr>
          <w:rFonts w:ascii="仿宋" w:hAnsi="仿宋" w:eastAsia="仿宋"/>
          <w:i w:val="0"/>
          <w:iCs w:val="0"/>
          <w:color w:val="auto"/>
          <w:sz w:val="24"/>
          <w:szCs w:val="24"/>
          <w:highlight w:val="none"/>
        </w:rPr>
      </w:pPr>
      <w:bookmarkStart w:id="897" w:name="_Toc4266"/>
      <w:bookmarkStart w:id="898" w:name="_Toc47694445"/>
      <w:bookmarkStart w:id="899" w:name="_Toc25266"/>
      <w:r>
        <w:rPr>
          <w:rFonts w:hint="eastAsia" w:ascii="仿宋" w:hAnsi="仿宋" w:eastAsia="仿宋" w:cs="仿宋"/>
          <w:i w:val="0"/>
          <w:iCs w:val="0"/>
          <w:color w:val="auto"/>
          <w:sz w:val="24"/>
          <w:szCs w:val="24"/>
          <w:highlight w:val="none"/>
        </w:rPr>
        <w:t>★87. 竣工结算</w:t>
      </w:r>
      <w:bookmarkEnd w:id="897"/>
      <w:bookmarkEnd w:id="898"/>
      <w:bookmarkEnd w:id="899"/>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87.1 约定结算程序和时限</w:t>
      </w:r>
    </w:p>
    <w:p>
      <w:pPr>
        <w:spacing w:line="360" w:lineRule="auto"/>
        <w:ind w:firstLine="859" w:firstLineChars="358"/>
        <w:rPr>
          <w:rFonts w:ascii="仿宋" w:hAnsi="仿宋" w:eastAsia="仿宋"/>
          <w:color w:val="auto"/>
          <w:highlight w:val="none"/>
          <w:lang w:eastAsia="zh-CN"/>
        </w:rPr>
      </w:pPr>
      <w:r>
        <w:rPr>
          <w:rFonts w:hint="eastAsia" w:ascii="仿宋" w:hAnsi="仿宋" w:eastAsia="仿宋" w:cs="仿宋"/>
          <w:color w:val="auto"/>
          <w:highlight w:val="none"/>
          <w:lang w:eastAsia="zh-CN"/>
        </w:rPr>
        <w:t>1、竣工结算的程序和时限：</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按通用条款的规定办理。</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(1)承包人应提前做好结算资料的准备工作，工程完工并移交发包人后【60】日历天内，承包人需完成结算编制，并按国家、地方政府和发包人对工程结算的有关规定和要求，提交完整、真实的结算书原件一式四份及结算资料原件一份报送监理公司核实。承包人未在合同约定时间内递交竣工结算书，经发包人书面催促后7日历天内仍未提供或没有明确答复的，发包人可以根据已有的资料办理结算。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(2)监理公司自接到上述资料后，按监理合同的约定审核结算资料，并向承包人提出审核意见（包括进一步补充资料和修改结算文件等），同时抄报发包人。承包人在收到监理公司审核意见后的7日历天内按监理公司提出的合理要求补充资料。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(3)发包人在收齐承包人递交的结算文件和资料后的90日历天内完成审核，出具审核意见，承包人在收到审核意见后2</w:t>
      </w:r>
      <w:r>
        <w:rPr>
          <w:rFonts w:ascii="仿宋" w:hAnsi="仿宋" w:eastAsia="仿宋" w:cs="仿宋"/>
          <w:color w:val="auto"/>
          <w:highlight w:val="none"/>
          <w:u w:val="single"/>
          <w:lang w:eastAsia="zh-CN"/>
        </w:rPr>
        <w:t>0</w:t>
      </w:r>
      <w:r>
        <w:rPr>
          <w:rFonts w:hint="eastAsia" w:ascii="仿宋" w:hAnsi="仿宋" w:eastAsia="仿宋" w:cs="仿宋"/>
          <w:color w:val="auto"/>
          <w:highlight w:val="none"/>
          <w:u w:val="single"/>
          <w:lang w:eastAsia="zh-CN"/>
        </w:rPr>
        <w:t xml:space="preserve">日历天内完成复核，出具复核意见，承包人对审核意见若有异议的，则双方进行对数。对已达成共识的内容双方签字确认；因争议无法达成共识的内容，由发包人组织向广州市工程造价管理机构提请咨询；双方协商不成的，按照合同约定向仲裁机构申请仲裁或向人民法院提起诉讼。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因承包人结算资料不真实、不完整等原因导致不能按时完成结算审核和审计，则审核和审计时间顺延。承包人在接到发包人提出的核对意见后，在15日历天内不确认也未提出异议，视为对发包人提出的核对意见已经认可，发包人结算审核完毕。</w:t>
      </w:r>
    </w:p>
    <w:p>
      <w:pPr>
        <w:widowControl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(5)若承包人送审的结算价与最终审定价的净核减率（净核减率=（净核减额*100%/承包人送审的结算价）在10%以内（含10%），则审核咨询费用由发包人承担；若承包人送审的结算价与最终审定价的净核减率在10%以上，则全部审核咨询费用由承包人承担，该笔费用将从工程结算款中扣除。发包方有权责令承包方重新编制结算书。</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(6)净核减额=承包人确认的送审结算价-最终审定价。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□2、过程结算约定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□（a）工程勘察费结算的程序：</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过程结算支付时限与支付比例：</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（b）工程设计费结算的程序：</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□（c）BIM 技术应用费结算的程序：</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□（d）设备及工器具购置费结算的程序：</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□（e）建筑安装工程费结算的程序：</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一、施工过程结算的程序：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二、施工过程结算节点的约定：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□合同工程包括有多个单项工程、单位工程，以单项工程、单位工程竣工作</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或时间（季、年等）作为施工过程结算节点，具体节点为：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□（f）其它项目结算的程序：</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过程结算支付时限：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1、竣工结算文件清单：</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☑勘察服务费结算书</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☑设计服务费结算书</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☑设备购置费结算书（如有）</w:t>
      </w:r>
    </w:p>
    <w:p>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☑建筑安装工程费结算书</w:t>
      </w:r>
    </w:p>
    <w:p>
      <w:pPr>
        <w:spacing w:line="360" w:lineRule="auto"/>
        <w:ind w:firstLine="1320" w:firstLineChars="550"/>
        <w:rPr>
          <w:color w:val="auto"/>
          <w:highlight w:val="none"/>
          <w:lang w:eastAsia="zh-CN"/>
        </w:rPr>
      </w:pPr>
      <w:r>
        <w:rPr>
          <w:rFonts w:hint="eastAsia" w:ascii="仿宋" w:hAnsi="仿宋" w:eastAsia="仿宋" w:cs="仿宋"/>
          <w:color w:val="auto"/>
          <w:highlight w:val="none"/>
          <w:lang w:eastAsia="zh-CN"/>
        </w:rPr>
        <w:t>□其他：</w:t>
      </w:r>
      <w:r>
        <w:rPr>
          <w:rFonts w:hint="eastAsia" w:ascii="仿宋" w:hAnsi="仿宋" w:eastAsia="仿宋" w:cs="仿宋"/>
          <w:color w:val="auto"/>
          <w:highlight w:val="none"/>
          <w:u w:val="single"/>
          <w:lang w:eastAsia="zh-CN"/>
        </w:rPr>
        <w:t xml:space="preserve">              </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2、竣工结算需要提供的其它资料</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☑（1）工程量计算书</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☑（2）钢筋抽料表（如有）</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☑（3）工程总承包合同</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☑（4）工程竣工图及BIM竣工模型</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☑（5）工作成果验收确认或工程竣工验收资料</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☑（6）图纸会审记录</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☑（7）设计变更单</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☑（8）工程洽商记录</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☑（9）监理人通知或发包人工作指令、开工令</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☑（10）会议纪要</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☑（11）现场签证单</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☑（12）工程材料、工程设备单价呈批审核单</w:t>
      </w:r>
    </w:p>
    <w:p>
      <w:pPr>
        <w:spacing w:line="360" w:lineRule="auto"/>
        <w:ind w:firstLine="1320" w:firstLineChars="550"/>
        <w:rPr>
          <w:rFonts w:ascii="仿宋" w:hAnsi="仿宋" w:eastAsia="仿宋"/>
          <w:color w:val="auto"/>
          <w:highlight w:val="none"/>
          <w:lang w:eastAsia="zh-CN"/>
        </w:rPr>
      </w:pPr>
      <w:r>
        <w:rPr>
          <w:rFonts w:hint="eastAsia" w:ascii="仿宋" w:hAnsi="仿宋" w:eastAsia="仿宋" w:cs="仿宋"/>
          <w:color w:val="auto"/>
          <w:highlight w:val="none"/>
          <w:lang w:eastAsia="zh-CN"/>
        </w:rPr>
        <w:t>☑ （13）综合单价呈批审核单</w:t>
      </w:r>
    </w:p>
    <w:p>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☑（14）招标文件、答疑纪要</w:t>
      </w:r>
    </w:p>
    <w:p>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☑（15）投标文件（含经济标软件版）、中标通知书</w:t>
      </w:r>
    </w:p>
    <w:p>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☑（16）发包人供应材料收货验收签收单</w:t>
      </w:r>
    </w:p>
    <w:p>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☑（17）工期履行审核表</w:t>
      </w:r>
    </w:p>
    <w:p>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☑（18）移交资料签收表</w:t>
      </w:r>
    </w:p>
    <w:p>
      <w:pPr>
        <w:spacing w:line="360" w:lineRule="auto"/>
        <w:ind w:firstLine="1320" w:firstLineChars="550"/>
        <w:rPr>
          <w:rFonts w:eastAsia="仿宋_GB2312"/>
          <w:color w:val="auto"/>
          <w:sz w:val="30"/>
          <w:szCs w:val="30"/>
          <w:highlight w:val="none"/>
          <w:u w:val="single"/>
          <w:lang w:eastAsia="zh-CN"/>
        </w:rPr>
      </w:pPr>
      <w:r>
        <w:rPr>
          <w:rFonts w:hint="eastAsia" w:ascii="仿宋" w:hAnsi="仿宋" w:eastAsia="仿宋" w:cs="仿宋"/>
          <w:color w:val="auto"/>
          <w:highlight w:val="none"/>
          <w:lang w:eastAsia="zh-CN"/>
        </w:rPr>
        <w:t>☑（19）其他有关资料</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rPr>
          <w:rFonts w:ascii="仿宋" w:hAnsi="仿宋" w:eastAsia="仿宋"/>
          <w:i w:val="0"/>
          <w:iCs w:val="0"/>
          <w:color w:val="auto"/>
          <w:sz w:val="24"/>
          <w:szCs w:val="24"/>
          <w:highlight w:val="none"/>
        </w:rPr>
      </w:pPr>
      <w:bookmarkStart w:id="900" w:name="_Toc47694446"/>
      <w:bookmarkStart w:id="901" w:name="_Toc31625"/>
      <w:bookmarkStart w:id="902" w:name="_Toc10395"/>
      <w:r>
        <w:rPr>
          <w:rFonts w:hint="eastAsia" w:ascii="仿宋" w:hAnsi="仿宋" w:eastAsia="仿宋" w:cs="仿宋"/>
          <w:i w:val="0"/>
          <w:iCs w:val="0"/>
          <w:color w:val="auto"/>
          <w:sz w:val="24"/>
          <w:szCs w:val="24"/>
          <w:highlight w:val="none"/>
        </w:rPr>
        <w:t>★88.  结算款</w:t>
      </w:r>
      <w:bookmarkEnd w:id="900"/>
      <w:bookmarkEnd w:id="901"/>
      <w:bookmarkEnd w:id="902"/>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88.1 提交竣工支付申请</w:t>
      </w:r>
    </w:p>
    <w:p>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1、竣工支付时限</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按通用条款的规定，在造价咨询人签发竣工结算支付证书后的28天内。</w:t>
      </w:r>
    </w:p>
    <w:p>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840" w:firstLineChars="350"/>
        <w:rPr>
          <w:rFonts w:ascii="仿宋" w:hAnsi="仿宋" w:eastAsia="仿宋"/>
          <w:color w:val="auto"/>
          <w:highlight w:val="none"/>
          <w:lang w:eastAsia="zh-CN"/>
        </w:rPr>
      </w:pPr>
      <w:bookmarkStart w:id="903" w:name="_Toc25969"/>
      <w:r>
        <w:rPr>
          <w:rFonts w:hint="eastAsia" w:ascii="仿宋" w:hAnsi="仿宋" w:eastAsia="仿宋" w:cs="仿宋"/>
          <w:color w:val="auto"/>
          <w:highlight w:val="none"/>
          <w:lang w:eastAsia="zh-CN"/>
        </w:rPr>
        <w:t>2、政府资金投资工程的支付期、支付办法</w:t>
      </w:r>
      <w:bookmarkEnd w:id="903"/>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按通用条款的规定。</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工程完工验收合格、结算通过审核和审计、工程档案资料按发包方规定移交后45日历天内，支付至结算价的97%（扣除不按本合同专用条款执行的违约金，余额3%为工程质量保证金。</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3、实施过程结算的，其竣工结算支付方法：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pStyle w:val="4"/>
        <w:tabs>
          <w:tab w:val="left" w:pos="420"/>
        </w:tabs>
        <w:spacing w:line="360" w:lineRule="auto"/>
        <w:rPr>
          <w:rFonts w:ascii="仿宋" w:hAnsi="仿宋" w:eastAsia="仿宋"/>
          <w:i w:val="0"/>
          <w:iCs w:val="0"/>
          <w:color w:val="auto"/>
          <w:sz w:val="24"/>
          <w:szCs w:val="24"/>
          <w:highlight w:val="none"/>
        </w:rPr>
      </w:pPr>
      <w:bookmarkStart w:id="904" w:name="_Toc47694447"/>
      <w:bookmarkStart w:id="905" w:name="_Toc27292"/>
      <w:bookmarkStart w:id="906" w:name="_Toc7981"/>
      <w:r>
        <w:rPr>
          <w:rFonts w:hint="eastAsia" w:ascii="仿宋" w:hAnsi="仿宋" w:eastAsia="仿宋" w:cs="仿宋"/>
          <w:i w:val="0"/>
          <w:iCs w:val="0"/>
          <w:color w:val="auto"/>
          <w:sz w:val="24"/>
          <w:szCs w:val="24"/>
          <w:highlight w:val="none"/>
        </w:rPr>
        <w:t>★89.  质量保证金</w:t>
      </w:r>
      <w:bookmarkEnd w:id="904"/>
      <w:bookmarkEnd w:id="905"/>
      <w:bookmarkEnd w:id="906"/>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89.2.1质量保证金预留方式：</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□由承包人提交质量保证金银行保函；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□由承包人提交质量保证金担保公司担保；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□由承包人提交质量保证金保证保险；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□由发包人在支付工程进度款或结算款时逐次扣留，直到扣留的质量保证金总额达到专用条款约定的的金额为止；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□由发包人选择在工程竣工结算时一次性扣留相应比例的工程款； </w:t>
      </w:r>
    </w:p>
    <w:p>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☑双方约定的其他方式：</w:t>
      </w:r>
      <w:r>
        <w:rPr>
          <w:rFonts w:hint="eastAsia" w:ascii="仿宋" w:hAnsi="仿宋" w:eastAsia="仿宋"/>
          <w:color w:val="auto"/>
          <w:highlight w:val="none"/>
          <w:u w:val="single"/>
          <w:lang w:eastAsia="zh-CN"/>
        </w:rPr>
        <w:t>工程</w:t>
      </w:r>
      <w:r>
        <w:rPr>
          <w:rFonts w:ascii="仿宋" w:hAnsi="仿宋" w:eastAsia="仿宋"/>
          <w:color w:val="auto"/>
          <w:highlight w:val="none"/>
          <w:u w:val="single"/>
          <w:lang w:eastAsia="zh-CN"/>
        </w:rPr>
        <w:t>结算价的</w:t>
      </w:r>
      <w:r>
        <w:rPr>
          <w:rFonts w:hint="eastAsia" w:ascii="仿宋" w:hAnsi="仿宋" w:eastAsia="仿宋"/>
          <w:color w:val="auto"/>
          <w:highlight w:val="none"/>
          <w:u w:val="single"/>
          <w:lang w:eastAsia="zh-CN"/>
        </w:rPr>
        <w:t>3</w:t>
      </w:r>
      <w:r>
        <w:rPr>
          <w:rFonts w:ascii="仿宋" w:hAnsi="仿宋" w:eastAsia="仿宋"/>
          <w:color w:val="auto"/>
          <w:highlight w:val="none"/>
          <w:u w:val="single"/>
          <w:lang w:eastAsia="zh-CN"/>
        </w:rPr>
        <w:t>%</w:t>
      </w:r>
      <w:r>
        <w:rPr>
          <w:rFonts w:hint="eastAsia" w:ascii="仿宋" w:hAnsi="仿宋" w:eastAsia="仿宋" w:cs="仿宋"/>
          <w:color w:val="auto"/>
          <w:highlight w:val="none"/>
          <w:u w:val="single"/>
          <w:lang w:eastAsia="zh-CN"/>
        </w:rPr>
        <w:t>。</w:t>
      </w:r>
    </w:p>
    <w:p>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89.2.2质量保证金金额的约定：</w:t>
      </w:r>
    </w:p>
    <w:p>
      <w:pPr>
        <w:spacing w:line="360" w:lineRule="auto"/>
        <w:ind w:left="1634" w:leftChars="576" w:hanging="252" w:hangingChars="105"/>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☑按通用条款规定为合同价格中建筑安装工程费、设备及工器具购置费（如有）部分结算总额的3%，即 </w:t>
      </w:r>
      <w:r>
        <w:rPr>
          <w:rFonts w:hint="eastAsia" w:ascii="仿宋" w:hAnsi="仿宋" w:eastAsia="仿宋" w:cs="仿宋"/>
          <w:b/>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1680" w:leftChars="577" w:hanging="295" w:hangingChars="12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 /  </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89.3 质量保证金的约返还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逾期返还质量保证金的计息标准：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中国人民银行公布的同期贷款利率；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全国银行间同业拆借中心公布的贷款市场报价利率（LPR）；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发包人不进行任何利息支付。 </w:t>
      </w:r>
    </w:p>
    <w:p>
      <w:pPr>
        <w:pStyle w:val="4"/>
        <w:tabs>
          <w:tab w:val="left" w:pos="420"/>
        </w:tabs>
        <w:spacing w:line="360" w:lineRule="auto"/>
        <w:rPr>
          <w:rFonts w:ascii="仿宋" w:hAnsi="仿宋" w:eastAsia="仿宋"/>
          <w:i w:val="0"/>
          <w:iCs w:val="0"/>
          <w:color w:val="auto"/>
          <w:sz w:val="24"/>
          <w:szCs w:val="24"/>
          <w:highlight w:val="none"/>
        </w:rPr>
      </w:pPr>
      <w:bookmarkStart w:id="907" w:name="_Toc23686"/>
      <w:bookmarkStart w:id="908" w:name="_Toc47694448"/>
      <w:bookmarkStart w:id="909" w:name="_Toc23927"/>
      <w:r>
        <w:rPr>
          <w:rFonts w:hint="eastAsia" w:ascii="仿宋" w:hAnsi="仿宋" w:eastAsia="仿宋" w:cs="仿宋"/>
          <w:i w:val="0"/>
          <w:iCs w:val="0"/>
          <w:color w:val="auto"/>
          <w:sz w:val="24"/>
          <w:szCs w:val="24"/>
          <w:highlight w:val="none"/>
        </w:rPr>
        <w:t>90.  最终清算款</w:t>
      </w:r>
      <w:bookmarkEnd w:id="907"/>
      <w:bookmarkEnd w:id="908"/>
      <w:bookmarkEnd w:id="909"/>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910" w:name="_Toc901"/>
      <w:r>
        <w:rPr>
          <w:rFonts w:hint="eastAsia" w:ascii="仿宋" w:hAnsi="仿宋" w:eastAsia="仿宋" w:cs="仿宋"/>
          <w:color w:val="auto"/>
          <w:highlight w:val="none"/>
          <w:lang w:eastAsia="zh-CN"/>
        </w:rPr>
        <w:t>90.1 提交最终清算支付申请</w:t>
      </w:r>
      <w:bookmarkEnd w:id="910"/>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1、最终清算支付申请</w:t>
      </w:r>
    </w:p>
    <w:p>
      <w:pPr>
        <w:spacing w:line="360" w:lineRule="auto"/>
        <w:ind w:firstLine="787" w:firstLineChars="328"/>
        <w:rPr>
          <w:rFonts w:ascii="仿宋" w:hAnsi="仿宋" w:eastAsia="仿宋"/>
          <w:color w:val="auto"/>
          <w:highlight w:val="none"/>
          <w:lang w:eastAsia="zh-CN"/>
        </w:rPr>
      </w:pPr>
      <w:r>
        <w:rPr>
          <w:rFonts w:hint="eastAsia" w:ascii="仿宋" w:hAnsi="仿宋" w:eastAsia="仿宋" w:cs="仿宋"/>
          <w:color w:val="auto"/>
          <w:highlight w:val="none"/>
          <w:lang w:eastAsia="zh-CN"/>
        </w:rPr>
        <w:t>提交份数：</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ind w:firstLine="787" w:firstLineChars="328"/>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提交期限：</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2、最终清算支付时限</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按通用条款的规定，在造价咨询人签发最终清算支付证书后的14天内。</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pStyle w:val="4"/>
        <w:tabs>
          <w:tab w:val="left" w:pos="420"/>
        </w:tabs>
        <w:spacing w:line="360" w:lineRule="auto"/>
        <w:rPr>
          <w:rFonts w:ascii="仿宋" w:hAnsi="仿宋" w:eastAsia="仿宋"/>
          <w:i w:val="0"/>
          <w:iCs w:val="0"/>
          <w:color w:val="auto"/>
          <w:sz w:val="24"/>
          <w:szCs w:val="24"/>
          <w:highlight w:val="none"/>
        </w:rPr>
      </w:pPr>
      <w:bookmarkStart w:id="911" w:name="_Toc7860"/>
      <w:bookmarkStart w:id="912" w:name="_Toc3051"/>
      <w:bookmarkStart w:id="913" w:name="_Toc47694449"/>
      <w:r>
        <w:rPr>
          <w:rFonts w:hint="eastAsia" w:ascii="仿宋" w:hAnsi="仿宋" w:eastAsia="仿宋" w:cs="仿宋"/>
          <w:i w:val="0"/>
          <w:iCs w:val="0"/>
          <w:color w:val="auto"/>
          <w:sz w:val="24"/>
          <w:szCs w:val="24"/>
          <w:highlight w:val="none"/>
        </w:rPr>
        <w:t>91.  合同争议</w:t>
      </w:r>
      <w:bookmarkEnd w:id="911"/>
      <w:bookmarkEnd w:id="912"/>
      <w:bookmarkEnd w:id="913"/>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91.4 调解或认定</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争议调解或认定机构：</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按通用条款的规定。</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914" w:name="_Toc27460"/>
      <w:r>
        <w:rPr>
          <w:rFonts w:hint="eastAsia" w:ascii="仿宋" w:hAnsi="仿宋" w:eastAsia="仿宋" w:cs="仿宋"/>
          <w:color w:val="auto"/>
          <w:highlight w:val="none"/>
          <w:lang w:eastAsia="zh-CN"/>
        </w:rPr>
        <w:t>91.6 仲裁或诉讼</w:t>
      </w:r>
      <w:bookmarkEnd w:id="914"/>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解决争议的方式：</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向约定的仲裁委员会申请仲裁，约定的仲裁委员会为：</w:t>
      </w:r>
      <w:r>
        <w:rPr>
          <w:rFonts w:hint="eastAsia" w:ascii="仿宋" w:hAnsi="仿宋" w:eastAsia="仿宋" w:cs="仿宋"/>
          <w:color w:val="auto"/>
          <w:highlight w:val="none"/>
          <w:u w:val="single"/>
          <w:lang w:eastAsia="zh-CN"/>
        </w:rPr>
        <w:t xml:space="preserve">  /  </w:t>
      </w:r>
    </w:p>
    <w:p>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向有管辖权的人民法院提起诉讼。</w:t>
      </w:r>
    </w:p>
    <w:p>
      <w:pPr>
        <w:pStyle w:val="4"/>
        <w:tabs>
          <w:tab w:val="left" w:pos="360"/>
          <w:tab w:val="left" w:pos="420"/>
        </w:tabs>
        <w:spacing w:line="360" w:lineRule="auto"/>
        <w:rPr>
          <w:rFonts w:ascii="仿宋" w:hAnsi="仿宋" w:eastAsia="仿宋"/>
          <w:i w:val="0"/>
          <w:iCs w:val="0"/>
          <w:color w:val="auto"/>
          <w:sz w:val="24"/>
          <w:szCs w:val="24"/>
          <w:highlight w:val="none"/>
          <w:lang w:val="en-US"/>
        </w:rPr>
      </w:pPr>
      <w:bookmarkStart w:id="915" w:name="_Toc21960"/>
      <w:bookmarkStart w:id="916" w:name="_Toc47694450"/>
      <w:bookmarkStart w:id="917" w:name="_Toc4439"/>
      <w:r>
        <w:rPr>
          <w:rFonts w:hint="eastAsia" w:ascii="仿宋" w:hAnsi="仿宋" w:eastAsia="仿宋" w:cs="仿宋"/>
          <w:i w:val="0"/>
          <w:iCs w:val="0"/>
          <w:color w:val="auto"/>
          <w:sz w:val="24"/>
          <w:szCs w:val="24"/>
          <w:highlight w:val="none"/>
          <w:lang w:val="en-US"/>
        </w:rPr>
        <w:t xml:space="preserve">92.  </w:t>
      </w:r>
      <w:r>
        <w:rPr>
          <w:rFonts w:hint="eastAsia" w:ascii="仿宋" w:hAnsi="仿宋" w:eastAsia="仿宋" w:cs="仿宋"/>
          <w:i w:val="0"/>
          <w:iCs w:val="0"/>
          <w:color w:val="auto"/>
          <w:sz w:val="24"/>
          <w:szCs w:val="24"/>
          <w:highlight w:val="none"/>
        </w:rPr>
        <w:t>合同解除</w:t>
      </w:r>
      <w:bookmarkEnd w:id="915"/>
      <w:bookmarkEnd w:id="916"/>
      <w:bookmarkEnd w:id="917"/>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92.3 因承包人的原因解除</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承包人有下列情形之一者，发包人可以解除合同：</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（4）承包人拖延完工且能偿付的误期赔偿费最高限额为</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（13）承包人严重违反合同的其他违约行为：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92.4 发包人有下列情形之一者，承包人可以解除合同：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（9）发包人严重违反合同的其他违约行为：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pStyle w:val="4"/>
        <w:tabs>
          <w:tab w:val="left" w:pos="360"/>
          <w:tab w:val="left" w:pos="420"/>
        </w:tabs>
        <w:spacing w:line="360" w:lineRule="auto"/>
        <w:rPr>
          <w:rFonts w:ascii="仿宋" w:hAnsi="仿宋" w:eastAsia="仿宋" w:cs="仿宋"/>
          <w:bCs w:val="0"/>
          <w:i w:val="0"/>
          <w:iCs w:val="0"/>
          <w:color w:val="auto"/>
          <w:sz w:val="24"/>
          <w:szCs w:val="24"/>
          <w:highlight w:val="none"/>
        </w:rPr>
      </w:pPr>
      <w:bookmarkStart w:id="918" w:name="_Toc47694451"/>
      <w:bookmarkStart w:id="919" w:name="_Toc1272"/>
      <w:bookmarkStart w:id="920" w:name="_Toc19223"/>
      <w:r>
        <w:rPr>
          <w:rFonts w:hint="eastAsia" w:ascii="仿宋" w:hAnsi="仿宋" w:eastAsia="仿宋" w:cs="仿宋"/>
          <w:bCs w:val="0"/>
          <w:i w:val="0"/>
          <w:iCs w:val="0"/>
          <w:color w:val="auto"/>
          <w:sz w:val="24"/>
          <w:szCs w:val="24"/>
          <w:highlight w:val="none"/>
        </w:rPr>
        <w:t>★95</w:t>
      </w:r>
      <w:r>
        <w:rPr>
          <w:rFonts w:ascii="仿宋" w:hAnsi="仿宋" w:eastAsia="仿宋" w:cs="仿宋"/>
          <w:bCs w:val="0"/>
          <w:i w:val="0"/>
          <w:iCs w:val="0"/>
          <w:color w:val="auto"/>
          <w:sz w:val="24"/>
          <w:szCs w:val="24"/>
          <w:highlight w:val="none"/>
        </w:rPr>
        <w:t xml:space="preserve">  </w:t>
      </w:r>
      <w:r>
        <w:rPr>
          <w:rFonts w:hint="eastAsia" w:ascii="仿宋" w:hAnsi="仿宋" w:eastAsia="仿宋" w:cs="仿宋"/>
          <w:bCs w:val="0"/>
          <w:i w:val="0"/>
          <w:iCs w:val="0"/>
          <w:color w:val="auto"/>
          <w:sz w:val="24"/>
          <w:szCs w:val="24"/>
          <w:highlight w:val="none"/>
        </w:rPr>
        <w:t>承包人违约</w:t>
      </w:r>
      <w:bookmarkEnd w:id="918"/>
      <w:bookmarkEnd w:id="919"/>
      <w:bookmarkEnd w:id="920"/>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95.1 承包人违约的情形</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承包人违约的其他情形</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95.2 通知改正</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发包人通知承包人纠正或采取补救措施的合理期限是：</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95.3 承包人违约的责任</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承包人违约责任的承担方式和计算方法：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pStyle w:val="4"/>
        <w:tabs>
          <w:tab w:val="left" w:pos="360"/>
          <w:tab w:val="left" w:pos="420"/>
        </w:tabs>
        <w:spacing w:line="360" w:lineRule="auto"/>
        <w:rPr>
          <w:rFonts w:ascii="仿宋" w:hAnsi="仿宋" w:eastAsia="仿宋" w:cs="仿宋"/>
          <w:b w:val="0"/>
          <w:i w:val="0"/>
          <w:iCs w:val="0"/>
          <w:color w:val="auto"/>
          <w:sz w:val="24"/>
          <w:szCs w:val="24"/>
          <w:highlight w:val="none"/>
        </w:rPr>
      </w:pPr>
      <w:bookmarkStart w:id="921" w:name="_Toc27586"/>
      <w:bookmarkStart w:id="922" w:name="_Toc47694452"/>
      <w:bookmarkStart w:id="923" w:name="_Toc29007"/>
      <w:r>
        <w:rPr>
          <w:rFonts w:hint="eastAsia" w:ascii="仿宋" w:hAnsi="仿宋" w:eastAsia="仿宋" w:cs="仿宋"/>
          <w:b w:val="0"/>
          <w:i w:val="0"/>
          <w:iCs w:val="0"/>
          <w:color w:val="auto"/>
          <w:sz w:val="24"/>
          <w:szCs w:val="24"/>
          <w:highlight w:val="none"/>
        </w:rPr>
        <w:t>★96</w:t>
      </w:r>
      <w:r>
        <w:rPr>
          <w:rFonts w:ascii="仿宋" w:hAnsi="仿宋" w:eastAsia="仿宋" w:cs="仿宋"/>
          <w:b w:val="0"/>
          <w:i w:val="0"/>
          <w:iCs w:val="0"/>
          <w:color w:val="auto"/>
          <w:sz w:val="24"/>
          <w:szCs w:val="24"/>
          <w:highlight w:val="none"/>
        </w:rPr>
        <w:t xml:space="preserve">  </w:t>
      </w:r>
      <w:r>
        <w:rPr>
          <w:rFonts w:hint="eastAsia" w:ascii="仿宋" w:hAnsi="仿宋" w:eastAsia="仿宋" w:cs="仿宋"/>
          <w:b w:val="0"/>
          <w:i w:val="0"/>
          <w:iCs w:val="0"/>
          <w:color w:val="auto"/>
          <w:sz w:val="24"/>
          <w:szCs w:val="24"/>
          <w:highlight w:val="none"/>
        </w:rPr>
        <w:t>发包人违约</w:t>
      </w:r>
      <w:bookmarkEnd w:id="921"/>
      <w:bookmarkEnd w:id="922"/>
      <w:bookmarkEnd w:id="923"/>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pStyle w:val="4"/>
        <w:tabs>
          <w:tab w:val="left" w:pos="360"/>
          <w:tab w:val="left" w:pos="420"/>
        </w:tabs>
        <w:spacing w:line="360" w:lineRule="auto"/>
        <w:rPr>
          <w:rFonts w:ascii="仿宋" w:hAnsi="仿宋" w:eastAsia="仿宋" w:cs="仿宋"/>
          <w:i w:val="0"/>
          <w:iCs w:val="0"/>
          <w:color w:val="auto"/>
          <w:sz w:val="24"/>
          <w:szCs w:val="24"/>
          <w:highlight w:val="none"/>
        </w:rPr>
      </w:pPr>
      <w:bookmarkStart w:id="924" w:name="_Toc19011"/>
      <w:bookmarkStart w:id="925" w:name="_Toc10987"/>
      <w:bookmarkStart w:id="926" w:name="_Toc47694453"/>
      <w:r>
        <w:rPr>
          <w:rFonts w:hint="eastAsia" w:ascii="仿宋" w:hAnsi="仿宋" w:eastAsia="仿宋" w:cs="仿宋"/>
          <w:i w:val="0"/>
          <w:iCs w:val="0"/>
          <w:color w:val="auto"/>
          <w:sz w:val="24"/>
          <w:szCs w:val="24"/>
          <w:highlight w:val="none"/>
        </w:rPr>
        <w:t>99.  保密要求</w:t>
      </w:r>
      <w:bookmarkEnd w:id="924"/>
      <w:bookmarkEnd w:id="925"/>
      <w:bookmarkEnd w:id="926"/>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 xml:space="preserve"> 承包人从发包人处获得的资料、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如有违反，发包人有权不予退还履约保证金，并依法追究给发包人造成的损失。 </w:t>
      </w:r>
    </w:p>
    <w:p>
      <w:pPr>
        <w:pStyle w:val="4"/>
        <w:tabs>
          <w:tab w:val="left" w:pos="360"/>
          <w:tab w:val="left" w:pos="420"/>
        </w:tabs>
        <w:spacing w:line="360" w:lineRule="auto"/>
        <w:rPr>
          <w:rFonts w:ascii="仿宋" w:hAnsi="仿宋" w:eastAsia="仿宋"/>
          <w:i w:val="0"/>
          <w:iCs w:val="0"/>
          <w:color w:val="auto"/>
          <w:sz w:val="24"/>
          <w:szCs w:val="24"/>
          <w:highlight w:val="none"/>
        </w:rPr>
      </w:pPr>
      <w:bookmarkStart w:id="927" w:name="_Toc17728"/>
      <w:bookmarkStart w:id="928" w:name="_Toc26196"/>
      <w:bookmarkStart w:id="929" w:name="_Toc47694454"/>
      <w:r>
        <w:rPr>
          <w:rFonts w:hint="eastAsia" w:ascii="仿宋" w:hAnsi="仿宋" w:eastAsia="仿宋" w:cs="仿宋"/>
          <w:i w:val="0"/>
          <w:iCs w:val="0"/>
          <w:color w:val="auto"/>
          <w:sz w:val="24"/>
          <w:szCs w:val="24"/>
          <w:highlight w:val="none"/>
        </w:rPr>
        <w:t>102.  合同份数</w:t>
      </w:r>
      <w:bookmarkEnd w:id="927"/>
      <w:bookmarkEnd w:id="928"/>
      <w:bookmarkEnd w:id="929"/>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102.1 约定提供合同文件</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提供合同文本：</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按通用条款的规定，由发包人向承包人提供。</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930" w:name="_Toc7412"/>
      <w:r>
        <w:rPr>
          <w:rFonts w:hint="eastAsia" w:ascii="仿宋" w:hAnsi="仿宋" w:eastAsia="仿宋" w:cs="仿宋"/>
          <w:color w:val="auto"/>
          <w:highlight w:val="none"/>
          <w:lang w:eastAsia="zh-CN"/>
        </w:rPr>
        <w:t>102.2 正副本效力</w:t>
      </w:r>
      <w:bookmarkEnd w:id="930"/>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合同的份数：</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正本：</w:t>
      </w:r>
      <w:r>
        <w:rPr>
          <w:rFonts w:hint="eastAsia" w:ascii="仿宋" w:hAnsi="仿宋" w:eastAsia="仿宋" w:cs="仿宋"/>
          <w:color w:val="auto"/>
          <w:highlight w:val="none"/>
          <w:u w:val="single"/>
          <w:lang w:eastAsia="zh-CN"/>
        </w:rPr>
        <w:t xml:space="preserve"> 肆 </w:t>
      </w:r>
      <w:r>
        <w:rPr>
          <w:rFonts w:hint="eastAsia" w:ascii="仿宋" w:hAnsi="仿宋" w:eastAsia="仿宋" w:cs="仿宋"/>
          <w:color w:val="auto"/>
          <w:highlight w:val="none"/>
          <w:lang w:eastAsia="zh-CN"/>
        </w:rPr>
        <w:t>份，副本</w:t>
      </w:r>
      <w:r>
        <w:rPr>
          <w:rFonts w:hint="eastAsia" w:ascii="仿宋" w:hAnsi="仿宋" w:eastAsia="仿宋" w:cs="仿宋"/>
          <w:color w:val="auto"/>
          <w:highlight w:val="none"/>
          <w:u w:val="single"/>
          <w:lang w:eastAsia="zh-CN"/>
        </w:rPr>
        <w:t xml:space="preserve"> 壹拾壹 </w:t>
      </w:r>
      <w:r>
        <w:rPr>
          <w:rFonts w:hint="eastAsia" w:ascii="仿宋" w:hAnsi="仿宋" w:eastAsia="仿宋" w:cs="仿宋"/>
          <w:color w:val="auto"/>
          <w:highlight w:val="none"/>
          <w:lang w:eastAsia="zh-CN"/>
        </w:rPr>
        <w:t>份。</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其中：发包人正本</w:t>
      </w:r>
      <w:r>
        <w:rPr>
          <w:rFonts w:hint="eastAsia" w:ascii="仿宋" w:hAnsi="仿宋" w:eastAsia="仿宋" w:cs="仿宋"/>
          <w:color w:val="auto"/>
          <w:highlight w:val="none"/>
          <w:u w:val="single"/>
          <w:lang w:eastAsia="zh-CN"/>
        </w:rPr>
        <w:t xml:space="preserve"> 壹 </w:t>
      </w:r>
      <w:r>
        <w:rPr>
          <w:rFonts w:hint="eastAsia" w:ascii="仿宋" w:hAnsi="仿宋" w:eastAsia="仿宋" w:cs="仿宋"/>
          <w:color w:val="auto"/>
          <w:highlight w:val="none"/>
          <w:lang w:eastAsia="zh-CN"/>
        </w:rPr>
        <w:t>份，副本</w:t>
      </w:r>
      <w:r>
        <w:rPr>
          <w:rFonts w:hint="eastAsia" w:ascii="仿宋" w:hAnsi="仿宋" w:eastAsia="仿宋" w:cs="仿宋"/>
          <w:color w:val="auto"/>
          <w:highlight w:val="none"/>
          <w:u w:val="single"/>
          <w:lang w:eastAsia="zh-CN"/>
        </w:rPr>
        <w:t xml:space="preserve"> 伍 </w:t>
      </w:r>
      <w:r>
        <w:rPr>
          <w:rFonts w:hint="eastAsia" w:ascii="仿宋" w:hAnsi="仿宋" w:eastAsia="仿宋" w:cs="仿宋"/>
          <w:color w:val="auto"/>
          <w:highlight w:val="none"/>
          <w:lang w:eastAsia="zh-CN"/>
        </w:rPr>
        <w:t>份；</w:t>
      </w:r>
    </w:p>
    <w:p>
      <w:pPr>
        <w:ind w:firstLine="1077" w:firstLineChars="449"/>
        <w:rPr>
          <w:color w:val="auto"/>
          <w:highlight w:val="none"/>
          <w:lang w:eastAsia="zh-CN"/>
        </w:rPr>
      </w:pPr>
      <w:r>
        <w:rPr>
          <w:rFonts w:hint="eastAsia" w:ascii="仿宋" w:hAnsi="仿宋" w:eastAsia="仿宋" w:cs="仿宋"/>
          <w:color w:val="auto"/>
          <w:highlight w:val="none"/>
          <w:lang w:eastAsia="zh-CN"/>
        </w:rPr>
        <w:t>承包人正本</w:t>
      </w:r>
      <w:r>
        <w:rPr>
          <w:rFonts w:hint="eastAsia" w:ascii="仿宋" w:hAnsi="仿宋" w:eastAsia="仿宋" w:cs="仿宋"/>
          <w:color w:val="auto"/>
          <w:highlight w:val="none"/>
          <w:u w:val="single"/>
          <w:lang w:eastAsia="zh-CN"/>
        </w:rPr>
        <w:t xml:space="preserve"> 叁 </w:t>
      </w:r>
      <w:r>
        <w:rPr>
          <w:rFonts w:hint="eastAsia" w:ascii="仿宋" w:hAnsi="仿宋" w:eastAsia="仿宋" w:cs="仿宋"/>
          <w:color w:val="auto"/>
          <w:highlight w:val="none"/>
          <w:lang w:eastAsia="zh-CN"/>
        </w:rPr>
        <w:t>份，副本</w:t>
      </w:r>
      <w:r>
        <w:rPr>
          <w:rFonts w:hint="eastAsia" w:ascii="仿宋" w:hAnsi="仿宋" w:eastAsia="仿宋" w:cs="仿宋"/>
          <w:color w:val="auto"/>
          <w:highlight w:val="none"/>
          <w:u w:val="single"/>
          <w:lang w:eastAsia="zh-CN"/>
        </w:rPr>
        <w:t xml:space="preserve"> 陆 </w:t>
      </w:r>
      <w:r>
        <w:rPr>
          <w:rFonts w:hint="eastAsia" w:ascii="仿宋" w:hAnsi="仿宋" w:eastAsia="仿宋" w:cs="仿宋"/>
          <w:color w:val="auto"/>
          <w:highlight w:val="none"/>
          <w:lang w:eastAsia="zh-CN"/>
        </w:rPr>
        <w:t>份。</w:t>
      </w:r>
    </w:p>
    <w:p>
      <w:pPr>
        <w:spacing w:line="360" w:lineRule="auto"/>
        <w:rPr>
          <w:rFonts w:ascii="宋体" w:hAnsi="宋体" w:cs="SimSun-Identity-H"/>
          <w:b/>
          <w:color w:val="auto"/>
          <w:highlight w:val="none"/>
          <w:lang w:eastAsia="zh-CN"/>
        </w:rPr>
      </w:pPr>
      <w:bookmarkStart w:id="931" w:name="_Toc5615"/>
      <w:bookmarkStart w:id="932" w:name="_Toc23368"/>
    </w:p>
    <w:p>
      <w:pPr>
        <w:numPr>
          <w:ilvl w:val="0"/>
          <w:numId w:val="28"/>
        </w:num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补充条款：</w:t>
      </w:r>
      <w:bookmarkEnd w:id="931"/>
      <w:bookmarkEnd w:id="932"/>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103.1如遇到工程的设计更改或增加工程项目，发包人、监理单位、承包人必须做好工程量记录。并按照发包人的有关制度规定和程序办理。</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103.2发包人采用不定期形式对工地进行综合考评，承包人应无条件进行配合，承包人对发包人提出的考评整改意见必须采取措施进行整改，对于整改不力，经发包人劝告仍未整改的，每拖延一日历天按总造价的万分之三予以处罚。</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103.3承包人必须指定专人负责财务：承包人任命（【     】）为承包人财务代表，身份证号码是：【             】，联系电话是【          】，联系邮箱是【     】；设计承包人任命（【   】）为设计承包人财务代表，身份证号码是：【           】，联系电话是【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103.4承包人应在每次申报工程进度款时，一并申报当季度施工实际产生的增加项目（无论是否获得批准支付，包括但不限于工程变更、签证、物价涨落事件等，工程量偏差除外），跨季度（或不申报）视为承包人放弃增加费用权利（或视为承包人确认该增加项目不产生增加费用），发包人不予结算（无论是否已将该设计变更、图纸会审记录、工程洽商记录、施工指令等反映在竣工图纸上）。</w:t>
      </w:r>
    </w:p>
    <w:p>
      <w:pPr>
        <w:pStyle w:val="40"/>
        <w:rPr>
          <w:rFonts w:ascii="仿宋" w:hAnsi="仿宋" w:eastAsia="仿宋" w:cs="仿宋"/>
          <w:color w:val="auto"/>
          <w:highlight w:val="none"/>
          <w:u w:val="single"/>
        </w:rPr>
      </w:pPr>
      <w:r>
        <w:rPr>
          <w:rFonts w:hint="eastAsia" w:ascii="仿宋" w:hAnsi="仿宋" w:eastAsia="仿宋" w:cs="仿宋"/>
          <w:color w:val="auto"/>
          <w:highlight w:val="none"/>
          <w:u w:val="single"/>
        </w:rPr>
        <w:t>103.5 承包人必须按照国家、省、地方相关规定要求做好防疫工作。</w:t>
      </w:r>
    </w:p>
    <w:p>
      <w:pPr>
        <w:pStyle w:val="41"/>
        <w:ind w:firstLine="480"/>
        <w:rPr>
          <w:rFonts w:ascii="仿宋" w:hAnsi="仿宋" w:eastAsia="仿宋" w:cs="仿宋"/>
          <w:color w:val="auto"/>
          <w:sz w:val="24"/>
          <w:szCs w:val="24"/>
          <w:highlight w:val="none"/>
          <w:u w:val="single"/>
          <w:lang w:val="en-US" w:bidi="en-US"/>
        </w:rPr>
      </w:pPr>
      <w:r>
        <w:rPr>
          <w:rFonts w:hint="eastAsia" w:ascii="仿宋" w:hAnsi="仿宋" w:eastAsia="仿宋" w:cs="仿宋"/>
          <w:color w:val="auto"/>
          <w:sz w:val="24"/>
          <w:szCs w:val="24"/>
          <w:highlight w:val="none"/>
          <w:u w:val="single"/>
          <w:lang w:val="en-US" w:bidi="en-US"/>
        </w:rPr>
        <w:t>103.6承包人已完全知悉并了解发包人有关制度及审批流程（包括但不限于监理单位、全过程造价编控单位（如有）、全过程跟踪审计造价咨询单位、院内相关部门等），承包人承诺不追究由此引起的任何费用补偿并无条件积极配合完成审批。</w:t>
      </w:r>
    </w:p>
    <w:p>
      <w:pPr>
        <w:pStyle w:val="41"/>
        <w:ind w:firstLine="480"/>
        <w:rPr>
          <w:rFonts w:ascii="仿宋" w:hAnsi="仿宋" w:eastAsia="仿宋" w:cs="仿宋"/>
          <w:color w:val="auto"/>
          <w:sz w:val="24"/>
          <w:szCs w:val="24"/>
          <w:highlight w:val="none"/>
          <w:u w:val="single"/>
          <w:lang w:val="en-US" w:bidi="en-US"/>
        </w:rPr>
      </w:pPr>
      <w:r>
        <w:rPr>
          <w:rFonts w:hint="eastAsia" w:ascii="仿宋" w:hAnsi="仿宋" w:eastAsia="仿宋" w:cs="仿宋"/>
          <w:color w:val="auto"/>
          <w:sz w:val="24"/>
          <w:szCs w:val="24"/>
          <w:highlight w:val="none"/>
          <w:u w:val="single"/>
          <w:lang w:val="en-US" w:bidi="en-US"/>
        </w:rPr>
        <w:t>103.7承包人响应《项目管理机构人员配置要求表》要求，并按投标文件承诺安排人员驻场，</w:t>
      </w:r>
      <w:r>
        <w:rPr>
          <w:rFonts w:hint="eastAsia" w:ascii="仿宋" w:hAnsi="仿宋" w:eastAsia="仿宋" w:cs="仿宋"/>
          <w:color w:val="auto"/>
          <w:sz w:val="24"/>
          <w:szCs w:val="24"/>
          <w:highlight w:val="none"/>
          <w:u w:val="single"/>
          <w:lang w:val="en-US" w:bidi="en-US"/>
        </w:rPr>
        <w:t>驻场设计代</w:t>
      </w:r>
      <w:r>
        <w:rPr>
          <w:rFonts w:hint="eastAsia" w:ascii="仿宋" w:hAnsi="仿宋" w:eastAsia="仿宋" w:cs="仿宋"/>
          <w:color w:val="auto"/>
          <w:sz w:val="24"/>
          <w:szCs w:val="24"/>
          <w:highlight w:val="none"/>
          <w:u w:val="single"/>
          <w:lang w:val="en-US" w:bidi="en-US"/>
        </w:rPr>
        <w:t>表</w:t>
      </w:r>
      <w:r>
        <w:rPr>
          <w:rFonts w:hint="eastAsia" w:ascii="仿宋" w:hAnsi="仿宋" w:eastAsia="仿宋" w:cs="仿宋"/>
          <w:color w:val="auto"/>
          <w:sz w:val="24"/>
          <w:szCs w:val="24"/>
          <w:highlight w:val="none"/>
          <w:u w:val="single"/>
          <w:lang w:val="en-US" w:bidi="en-US"/>
        </w:rPr>
        <w:t>以及驻场专职造价人员（土建），开始驻场时间：承包人签订合同当日或发包人另行书面通知。承包人在申请进度款时应提供驻场人员的考勤记录作为支付进度款依据之一。无驻场记录或无故缺勤的，视为承包人违约，处以</w:t>
      </w:r>
      <w:r>
        <w:rPr>
          <w:rFonts w:ascii="仿宋" w:hAnsi="仿宋" w:eastAsia="仿宋" w:cs="仿宋"/>
          <w:color w:val="auto"/>
          <w:sz w:val="24"/>
          <w:szCs w:val="24"/>
          <w:highlight w:val="none"/>
          <w:u w:val="single"/>
          <w:lang w:val="en-US" w:bidi="en-US"/>
        </w:rPr>
        <w:t>500</w:t>
      </w:r>
      <w:r>
        <w:rPr>
          <w:rFonts w:hint="eastAsia" w:ascii="仿宋" w:hAnsi="仿宋" w:eastAsia="仿宋" w:cs="仿宋"/>
          <w:color w:val="auto"/>
          <w:sz w:val="24"/>
          <w:szCs w:val="24"/>
          <w:highlight w:val="none"/>
          <w:u w:val="single"/>
          <w:lang w:val="en-US" w:bidi="en-US"/>
        </w:rPr>
        <w:t>元</w:t>
      </w:r>
      <w:r>
        <w:rPr>
          <w:rFonts w:ascii="仿宋" w:hAnsi="仿宋" w:eastAsia="仿宋" w:cs="仿宋"/>
          <w:color w:val="auto"/>
          <w:sz w:val="24"/>
          <w:szCs w:val="24"/>
          <w:highlight w:val="none"/>
          <w:u w:val="single"/>
          <w:lang w:val="en-US" w:bidi="en-US"/>
        </w:rPr>
        <w:t>/人</w:t>
      </w:r>
      <w:r>
        <w:rPr>
          <w:rFonts w:hint="eastAsia" w:ascii="仿宋" w:hAnsi="仿宋" w:eastAsia="仿宋" w:cs="仿宋"/>
          <w:color w:val="auto"/>
          <w:sz w:val="24"/>
          <w:szCs w:val="24"/>
          <w:highlight w:val="none"/>
          <w:u w:val="single"/>
          <w:lang w:val="en-US" w:bidi="en-US"/>
        </w:rPr>
        <w:t>/天违约金，在进度款或结算款中扣除。</w:t>
      </w:r>
    </w:p>
    <w:p>
      <w:pPr>
        <w:pStyle w:val="41"/>
        <w:ind w:firstLine="480"/>
        <w:rPr>
          <w:rFonts w:ascii="仿宋" w:hAnsi="仿宋" w:eastAsia="仿宋" w:cs="仿宋"/>
          <w:color w:val="auto"/>
          <w:sz w:val="24"/>
          <w:szCs w:val="24"/>
          <w:highlight w:val="none"/>
          <w:u w:val="single"/>
          <w:lang w:val="en-US" w:bidi="en-US"/>
        </w:rPr>
      </w:pPr>
      <w:r>
        <w:rPr>
          <w:rFonts w:hint="eastAsia" w:ascii="仿宋" w:hAnsi="仿宋" w:eastAsia="仿宋" w:cs="仿宋"/>
          <w:color w:val="auto"/>
          <w:sz w:val="24"/>
          <w:szCs w:val="24"/>
          <w:highlight w:val="none"/>
          <w:u w:val="single"/>
          <w:lang w:val="en-US" w:bidi="en-US"/>
        </w:rPr>
        <w:t>103.8提出设计更改（含设计变更）或签证的，承包人应按总承包合同的计价规定计算设计更改（含设计变更）或签证的造价增减金额，随设计更改（含设计变更）或签证一并提供审核审批，否则视为该设计更改（含设计变更）或签证不涉及造价增加（造价减少的则据实调整）。</w:t>
      </w:r>
    </w:p>
    <w:p>
      <w:pPr>
        <w:pStyle w:val="41"/>
        <w:ind w:firstLine="480"/>
        <w:rPr>
          <w:rFonts w:ascii="仿宋" w:hAnsi="仿宋" w:eastAsia="仿宋" w:cs="仿宋"/>
          <w:color w:val="auto"/>
          <w:sz w:val="24"/>
          <w:szCs w:val="24"/>
          <w:highlight w:val="none"/>
          <w:u w:val="single"/>
          <w:lang w:val="en-US" w:bidi="en-US"/>
        </w:rPr>
      </w:pPr>
    </w:p>
    <w:p>
      <w:pPr>
        <w:pStyle w:val="41"/>
        <w:ind w:firstLine="480"/>
        <w:rPr>
          <w:rFonts w:ascii="仿宋" w:hAnsi="仿宋" w:eastAsia="仿宋" w:cs="仿宋"/>
          <w:color w:val="auto"/>
          <w:sz w:val="24"/>
          <w:szCs w:val="24"/>
          <w:highlight w:val="none"/>
          <w:u w:val="single"/>
          <w:lang w:val="en-US" w:bidi="en-US"/>
        </w:rPr>
      </w:pPr>
    </w:p>
    <w:p>
      <w:pPr>
        <w:pStyle w:val="41"/>
        <w:ind w:firstLine="480"/>
        <w:rPr>
          <w:rFonts w:ascii="仿宋" w:hAnsi="仿宋" w:eastAsia="仿宋" w:cs="仿宋"/>
          <w:color w:val="auto"/>
          <w:sz w:val="24"/>
          <w:szCs w:val="24"/>
          <w:highlight w:val="none"/>
          <w:u w:val="single"/>
          <w:lang w:val="en-US" w:bidi="en-US"/>
        </w:rPr>
      </w:pPr>
      <w:r>
        <w:rPr>
          <w:rFonts w:hint="eastAsia" w:ascii="仿宋" w:hAnsi="仿宋" w:eastAsia="仿宋" w:cs="仿宋"/>
          <w:color w:val="auto"/>
          <w:sz w:val="24"/>
          <w:szCs w:val="24"/>
          <w:highlight w:val="none"/>
          <w:u w:val="single"/>
          <w:lang w:val="en-US" w:bidi="en-US"/>
        </w:rPr>
        <w:t>103.9承包人在申报预付款时，应提供一套完整的招标文件（含公告、答疑等）、投标文件、总承包合同文件（盖章版）纸质版及其对应的电子文档作为付款依据，所提供的资料均不退回，供全过程跟踪审计造价咨询单位存底备查。</w:t>
      </w:r>
    </w:p>
    <w:p>
      <w:pPr>
        <w:pStyle w:val="41"/>
        <w:ind w:firstLine="480"/>
        <w:rPr>
          <w:rFonts w:ascii="仿宋" w:hAnsi="仿宋" w:eastAsia="仿宋" w:cs="仿宋"/>
          <w:color w:val="auto"/>
          <w:sz w:val="24"/>
          <w:szCs w:val="24"/>
          <w:highlight w:val="none"/>
          <w:u w:val="single"/>
          <w:lang w:val="en-US" w:bidi="en-US"/>
        </w:rPr>
      </w:pPr>
      <w:r>
        <w:rPr>
          <w:rFonts w:hint="eastAsia" w:ascii="仿宋" w:hAnsi="仿宋" w:eastAsia="仿宋" w:cs="仿宋"/>
          <w:color w:val="auto"/>
          <w:sz w:val="24"/>
          <w:szCs w:val="24"/>
          <w:highlight w:val="none"/>
          <w:u w:val="single"/>
          <w:lang w:val="en-US" w:bidi="en-US"/>
        </w:rPr>
        <w:t>103.10承包人提交的施工图预算总价与有权审定部门对施工图预算总价的最终审定价偏差率超出5%的，承包人应承担违约责任（无论承包人是否申请撤回送审文件重新调整后送审，均视为已违约），违约金按超出允许偏差率5%以外部分的造价的10%计算，违约金在当期进度款或结算款中扣除。</w:t>
      </w:r>
    </w:p>
    <w:p>
      <w:pPr>
        <w:pStyle w:val="41"/>
        <w:ind w:firstLine="480"/>
        <w:rPr>
          <w:rFonts w:ascii="仿宋" w:hAnsi="仿宋" w:eastAsia="仿宋" w:cs="仿宋"/>
          <w:color w:val="auto"/>
          <w:sz w:val="24"/>
          <w:szCs w:val="24"/>
          <w:highlight w:val="none"/>
          <w:u w:val="single"/>
          <w:lang w:val="en-US" w:bidi="en-US"/>
        </w:rPr>
      </w:pPr>
      <w:r>
        <w:rPr>
          <w:rFonts w:hint="eastAsia" w:ascii="仿宋" w:hAnsi="仿宋" w:eastAsia="仿宋" w:cs="仿宋"/>
          <w:color w:val="auto"/>
          <w:sz w:val="24"/>
          <w:szCs w:val="24"/>
          <w:highlight w:val="none"/>
          <w:u w:val="single"/>
          <w:lang w:val="en-US" w:bidi="en-US"/>
        </w:rPr>
        <w:t>103.11编制初步设计概算书、施工图预算书中人材机价格的编制期统一为投标截止日期前28天对应的月份。即202  年  月。招标文件及总承包合同有关编制期与此款约定不同的，均以此款为准。</w:t>
      </w:r>
    </w:p>
    <w:p>
      <w:pPr>
        <w:pStyle w:val="41"/>
        <w:ind w:firstLine="480"/>
        <w:rPr>
          <w:rFonts w:ascii="仿宋" w:hAnsi="仿宋" w:eastAsia="仿宋" w:cs="仿宋"/>
          <w:color w:val="auto"/>
          <w:sz w:val="24"/>
          <w:szCs w:val="24"/>
          <w:highlight w:val="none"/>
          <w:u w:val="single"/>
          <w:lang w:val="en-US" w:bidi="en-US"/>
        </w:rPr>
      </w:pPr>
      <w:r>
        <w:rPr>
          <w:rFonts w:hint="eastAsia" w:ascii="仿宋" w:hAnsi="仿宋" w:eastAsia="仿宋" w:cs="仿宋"/>
          <w:color w:val="auto"/>
          <w:sz w:val="24"/>
          <w:szCs w:val="24"/>
          <w:highlight w:val="none"/>
          <w:u w:val="single"/>
          <w:lang w:val="en-US" w:bidi="en-US"/>
        </w:rPr>
        <w:t>103.12承包人响应招标文件有关土石方弃置（含拆除旧房屋、余泥渣土等）的招标要求，承包人已充分调查过工地就近可接收本项目所有余泥渣土（含拆除旧房屋、土石方等）的中大型消纳场情况并结合自身优势承诺土石方弃置（含拆除旧房屋、余泥渣土等）的结算综合单价最高不超过批复可研估算单价120元/立方米（全费用单价，含税、含消纳费等），超过部分承包人自行优化消化，减少部分据实调整，并严格执行相关运输弃置管理规定。</w:t>
      </w:r>
    </w:p>
    <w:p>
      <w:pPr>
        <w:pStyle w:val="41"/>
        <w:ind w:firstLine="480"/>
        <w:rPr>
          <w:rFonts w:ascii="仿宋" w:hAnsi="仿宋" w:eastAsia="仿宋" w:cs="仿宋"/>
          <w:color w:val="auto"/>
          <w:sz w:val="24"/>
          <w:szCs w:val="24"/>
          <w:highlight w:val="none"/>
          <w:u w:val="single"/>
          <w:lang w:val="en-US" w:bidi="en-US"/>
        </w:rPr>
      </w:pPr>
      <w:r>
        <w:rPr>
          <w:rFonts w:hint="eastAsia" w:ascii="仿宋" w:hAnsi="仿宋" w:eastAsia="仿宋" w:cs="仿宋"/>
          <w:color w:val="auto"/>
          <w:sz w:val="24"/>
          <w:szCs w:val="24"/>
          <w:highlight w:val="none"/>
          <w:u w:val="single"/>
          <w:lang w:val="en-US" w:bidi="en-US"/>
        </w:rPr>
        <w:t>103.1</w:t>
      </w:r>
      <w:r>
        <w:rPr>
          <w:rFonts w:ascii="仿宋" w:hAnsi="仿宋" w:eastAsia="仿宋" w:cs="仿宋"/>
          <w:color w:val="auto"/>
          <w:sz w:val="24"/>
          <w:szCs w:val="24"/>
          <w:highlight w:val="none"/>
          <w:u w:val="single"/>
          <w:lang w:val="en-US" w:bidi="en-US"/>
        </w:rPr>
        <w:t>3</w:t>
      </w:r>
      <w:r>
        <w:rPr>
          <w:rFonts w:hint="eastAsia" w:ascii="仿宋" w:hAnsi="仿宋" w:eastAsia="仿宋" w:cs="仿宋"/>
          <w:color w:val="auto"/>
          <w:sz w:val="24"/>
          <w:szCs w:val="24"/>
          <w:highlight w:val="none"/>
          <w:u w:val="single"/>
          <w:lang w:val="en-US" w:bidi="en-US"/>
        </w:rPr>
        <w:t>款：承包人采购的材料、设备品牌必须按招标文件发包人要求《推荐品牌或相当于品牌选用的推荐品牌》</w:t>
      </w:r>
      <w:r>
        <w:rPr>
          <w:rFonts w:hint="eastAsia" w:ascii="仿宋" w:hAnsi="仿宋" w:eastAsia="仿宋" w:cs="仿宋"/>
          <w:color w:val="auto"/>
          <w:sz w:val="24"/>
          <w:szCs w:val="24"/>
          <w:highlight w:val="none"/>
          <w:u w:val="single"/>
          <w:lang w:val="en-US" w:bidi="en-US"/>
        </w:rPr>
        <w:t>采购。</w:t>
      </w:r>
    </w:p>
    <w:p>
      <w:pPr>
        <w:rPr>
          <w:rFonts w:hAnsi="宋体"/>
          <w:color w:val="auto"/>
          <w:sz w:val="36"/>
          <w:szCs w:val="36"/>
          <w:highlight w:val="none"/>
          <w:lang w:eastAsia="zh-CN"/>
        </w:rPr>
      </w:pPr>
      <w:bookmarkStart w:id="933" w:name="_Toc47694455"/>
      <w:bookmarkStart w:id="934" w:name="_Toc31990"/>
      <w:bookmarkStart w:id="935" w:name="_Toc23249"/>
      <w:r>
        <w:rPr>
          <w:rFonts w:hint="eastAsia" w:hAnsi="宋体"/>
          <w:color w:val="auto"/>
          <w:sz w:val="36"/>
          <w:szCs w:val="36"/>
          <w:highlight w:val="none"/>
          <w:lang w:eastAsia="zh-CN"/>
        </w:rPr>
        <w:br w:type="page"/>
      </w:r>
    </w:p>
    <w:p>
      <w:pPr>
        <w:pStyle w:val="3"/>
        <w:tabs>
          <w:tab w:val="left" w:pos="420"/>
        </w:tabs>
        <w:ind w:left="494" w:leftChars="206" w:firstLine="2707" w:firstLineChars="749"/>
        <w:rPr>
          <w:rFonts w:hAnsi="宋体"/>
          <w:color w:val="auto"/>
          <w:sz w:val="36"/>
          <w:szCs w:val="36"/>
          <w:highlight w:val="none"/>
          <w:lang w:val="en-US"/>
        </w:rPr>
      </w:pPr>
      <w:r>
        <w:rPr>
          <w:rFonts w:hint="eastAsia" w:hAnsi="宋体"/>
          <w:color w:val="auto"/>
          <w:sz w:val="36"/>
          <w:szCs w:val="36"/>
          <w:highlight w:val="none"/>
        </w:rPr>
        <w:t>第四部分</w:t>
      </w:r>
      <w:r>
        <w:rPr>
          <w:rFonts w:hint="eastAsia" w:hAnsi="宋体"/>
          <w:color w:val="auto"/>
          <w:sz w:val="36"/>
          <w:szCs w:val="36"/>
          <w:highlight w:val="none"/>
          <w:lang w:val="en-US"/>
        </w:rPr>
        <w:t xml:space="preserve">  </w:t>
      </w:r>
      <w:r>
        <w:rPr>
          <w:rFonts w:hint="eastAsia" w:hAnsi="宋体"/>
          <w:color w:val="auto"/>
          <w:sz w:val="36"/>
          <w:szCs w:val="36"/>
          <w:highlight w:val="none"/>
        </w:rPr>
        <w:t>附件与格式</w:t>
      </w:r>
      <w:bookmarkEnd w:id="933"/>
      <w:bookmarkEnd w:id="934"/>
      <w:bookmarkEnd w:id="935"/>
    </w:p>
    <w:p>
      <w:pPr>
        <w:spacing w:line="360" w:lineRule="auto"/>
        <w:outlineLvl w:val="0"/>
        <w:rPr>
          <w:rFonts w:ascii="仿宋" w:hAnsi="仿宋" w:eastAsia="仿宋"/>
          <w:b/>
          <w:bCs/>
          <w:color w:val="auto"/>
          <w:highlight w:val="none"/>
          <w:lang w:eastAsia="zh-CN"/>
        </w:rPr>
      </w:pPr>
      <w:bookmarkStart w:id="936" w:name="_Toc47694456"/>
      <w:bookmarkStart w:id="937" w:name="_Toc5368"/>
      <w:bookmarkStart w:id="938" w:name="_Toc27942"/>
      <w:r>
        <w:rPr>
          <w:rFonts w:hint="eastAsia" w:ascii="仿宋" w:hAnsi="仿宋" w:eastAsia="仿宋" w:cs="仿宋"/>
          <w:b/>
          <w:bCs/>
          <w:color w:val="auto"/>
          <w:highlight w:val="none"/>
          <w:lang w:eastAsia="zh-CN"/>
        </w:rPr>
        <w:t>附件一</w:t>
      </w:r>
      <w:bookmarkEnd w:id="936"/>
      <w:bookmarkEnd w:id="937"/>
      <w:bookmarkEnd w:id="938"/>
    </w:p>
    <w:p>
      <w:pPr>
        <w:spacing w:after="240" w:line="360" w:lineRule="auto"/>
        <w:jc w:val="center"/>
        <w:rPr>
          <w:rFonts w:ascii="宋体" w:hAnsi="宋体"/>
          <w:b/>
          <w:bCs/>
          <w:color w:val="auto"/>
          <w:sz w:val="32"/>
          <w:highlight w:val="none"/>
          <w:lang w:eastAsia="zh-CN"/>
        </w:rPr>
      </w:pPr>
      <w:r>
        <w:rPr>
          <w:rFonts w:hint="eastAsia" w:ascii="宋体" w:hAnsi="宋体"/>
          <w:b/>
          <w:bCs/>
          <w:color w:val="auto"/>
          <w:sz w:val="32"/>
          <w:highlight w:val="none"/>
          <w:lang w:eastAsia="zh-CN"/>
        </w:rPr>
        <w:t>联合体承包协议书</w:t>
      </w:r>
    </w:p>
    <w:p>
      <w:pPr>
        <w:pStyle w:val="40"/>
        <w:rPr>
          <w:rFonts w:ascii="宋体" w:hAnsi="宋体"/>
          <w:color w:val="auto"/>
          <w:szCs w:val="21"/>
          <w:highlight w:val="none"/>
          <w:lang w:val="en-US" w:bidi="en-US"/>
        </w:rPr>
      </w:pPr>
      <w:r>
        <w:rPr>
          <w:rFonts w:ascii="宋体" w:hAnsi="宋体"/>
          <w:color w:val="auto"/>
          <w:szCs w:val="21"/>
          <w:highlight w:val="none"/>
          <w:lang w:val="en-US" w:bidi="en-US"/>
        </w:rPr>
        <w:t>联合体牵头人（全称）：</w:t>
      </w:r>
      <w:r>
        <w:rPr>
          <w:rFonts w:hint="eastAsia" w:ascii="宋体" w:hAnsi="宋体"/>
          <w:color w:val="auto"/>
          <w:szCs w:val="21"/>
          <w:highlight w:val="none"/>
          <w:u w:val="single"/>
          <w:lang w:val="en-US" w:bidi="en-US"/>
        </w:rPr>
        <w:t xml:space="preserve">                          </w:t>
      </w:r>
      <w:r>
        <w:rPr>
          <w:rFonts w:ascii="宋体" w:hAnsi="宋体"/>
          <w:color w:val="auto"/>
          <w:szCs w:val="21"/>
          <w:highlight w:val="none"/>
          <w:u w:val="single"/>
          <w:lang w:val="en-US" w:bidi="en-US"/>
        </w:rPr>
        <w:t xml:space="preserve"> </w:t>
      </w:r>
    </w:p>
    <w:p>
      <w:pPr>
        <w:pStyle w:val="40"/>
        <w:rPr>
          <w:rFonts w:ascii="宋体" w:hAnsi="宋体"/>
          <w:color w:val="auto"/>
          <w:szCs w:val="21"/>
          <w:highlight w:val="none"/>
          <w:lang w:val="en-US" w:bidi="en-US"/>
        </w:rPr>
      </w:pPr>
      <w:r>
        <w:rPr>
          <w:rFonts w:ascii="宋体" w:hAnsi="宋体"/>
          <w:color w:val="auto"/>
          <w:szCs w:val="21"/>
          <w:highlight w:val="none"/>
          <w:lang w:val="en-US" w:bidi="en-US"/>
        </w:rPr>
        <w:t>成员单位（全称）：</w:t>
      </w:r>
      <w:r>
        <w:rPr>
          <w:rFonts w:hint="eastAsia" w:ascii="宋体" w:hAnsi="宋体"/>
          <w:color w:val="auto"/>
          <w:szCs w:val="21"/>
          <w:highlight w:val="none"/>
          <w:u w:val="single"/>
          <w:lang w:val="en-US" w:bidi="en-US"/>
        </w:rPr>
        <w:t xml:space="preserve">                          </w:t>
      </w:r>
      <w:r>
        <w:rPr>
          <w:rFonts w:ascii="宋体" w:hAnsi="宋体"/>
          <w:color w:val="auto"/>
          <w:szCs w:val="21"/>
          <w:highlight w:val="none"/>
          <w:u w:val="single"/>
          <w:lang w:val="en-US" w:bidi="en-US"/>
        </w:rPr>
        <w:t xml:space="preserve"> </w:t>
      </w:r>
    </w:p>
    <w:p>
      <w:pPr>
        <w:pStyle w:val="40"/>
        <w:rPr>
          <w:rFonts w:ascii="宋体" w:hAnsi="宋体"/>
          <w:color w:val="auto"/>
          <w:szCs w:val="21"/>
          <w:highlight w:val="none"/>
          <w:u w:val="single"/>
          <w:lang w:val="en-US" w:bidi="en-US"/>
        </w:rPr>
      </w:pPr>
      <w:r>
        <w:rPr>
          <w:rFonts w:ascii="宋体" w:hAnsi="宋体"/>
          <w:color w:val="auto"/>
          <w:szCs w:val="21"/>
          <w:highlight w:val="none"/>
          <w:lang w:val="en-US" w:bidi="en-US"/>
        </w:rPr>
        <w:t>成员单位（全称</w:t>
      </w:r>
      <w:r>
        <w:rPr>
          <w:rFonts w:hint="eastAsia" w:ascii="宋体" w:hAnsi="宋体"/>
          <w:color w:val="auto"/>
          <w:szCs w:val="21"/>
          <w:highlight w:val="none"/>
          <w:lang w:val="en-US" w:bidi="en-US"/>
        </w:rPr>
        <w:t>）：</w:t>
      </w:r>
      <w:r>
        <w:rPr>
          <w:rFonts w:hint="eastAsia" w:ascii="宋体" w:hAnsi="宋体"/>
          <w:color w:val="auto"/>
          <w:szCs w:val="21"/>
          <w:highlight w:val="none"/>
          <w:u w:val="single"/>
          <w:lang w:val="en-US" w:bidi="en-US"/>
        </w:rPr>
        <w:t xml:space="preserve">                          </w:t>
      </w:r>
      <w:r>
        <w:rPr>
          <w:rFonts w:ascii="宋体" w:hAnsi="宋体"/>
          <w:color w:val="auto"/>
          <w:szCs w:val="21"/>
          <w:highlight w:val="none"/>
          <w:u w:val="single"/>
          <w:lang w:val="en-US" w:bidi="en-US"/>
        </w:rPr>
        <w:t xml:space="preserve"> </w:t>
      </w:r>
    </w:p>
    <w:p>
      <w:pPr>
        <w:pStyle w:val="41"/>
        <w:ind w:firstLine="400"/>
        <w:rPr>
          <w:color w:val="auto"/>
          <w:highlight w:val="none"/>
          <w:lang w:val="en-US"/>
        </w:rPr>
      </w:pP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 xml:space="preserve">本协议书各方遵循平等、自愿、公平和诚实信用的原则，共同愿意组成联合体，实施、完成工程总承包工作内容并保修合同工程。现就下列有关事宜，订立本协议书。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 xml:space="preserve">1. （公司名称）为联合体牵头人，（公司名称）、（公司名称）为联合体成员；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2. 联合体各成员单位对内部有关事项约定如下：</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2.1 联合体由牵头人负责与发包人联系；</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2.2 合同工程一切工作由联合体牵头人负责组织、管理，由联合体各成员单位按</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内部工作分范围具体实施，并服从联合体牵头人的管理；</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2.3 联合体牵头人项目管理费由联合体各成员单位分摊。</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 xml:space="preserve">2.3.1 计费方式和金额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□设计单位为联合体牵头人时，按本合同价格中建筑安装工程费（含税）的</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%计算，金额为</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元（含税）。其中，（公司名称）分摊金额为</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元（含税），（公司名称）分摊金额为</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元（含税），（公司名称）分摊金额为</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元（含税）；</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□施工单位为联合体牵头人时，按本合同价中工程设计费（含税）的</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%计算，金额为</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元（含税）。其中，（公司名称）分摊金额为</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元（含税），（公司名称）分摊金额为</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元（含税），（公司名称）分摊金额为</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元（含税）；</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□另行约定：</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2.3.2 支付方式：</w:t>
      </w:r>
      <w:r>
        <w:rPr>
          <w:rFonts w:hint="eastAsia" w:ascii="宋体" w:hAnsi="宋体"/>
          <w:color w:val="auto"/>
          <w:szCs w:val="21"/>
          <w:highlight w:val="none"/>
          <w:u w:val="single"/>
          <w:lang w:eastAsia="zh-CN"/>
        </w:rPr>
        <w:t xml:space="preserve">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2.3.3 违约处罚方式：</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 xml:space="preserve">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2.4 联合体各成员单位将严格按照招标文件的各项要求，切实执行合同工程一切合同工程文件，共同承担合同约定的一切义务，同时按照内部工作范围划分的职责，各自承担自身的责任和风险，但不免除承担联合体牵头人或其他成员单位造成的连带责任；</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 xml:space="preserve">2.5 联合体各成员单位的内部工作范围划分如下：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2.5.1（公司名称）承担合同工程工作内容：</w:t>
      </w:r>
      <w:r>
        <w:rPr>
          <w:rFonts w:hint="eastAsia" w:ascii="宋体" w:hAnsi="宋体"/>
          <w:color w:val="auto"/>
          <w:szCs w:val="21"/>
          <w:highlight w:val="none"/>
          <w:u w:val="single"/>
          <w:lang w:eastAsia="zh-CN"/>
        </w:rPr>
        <w:t xml:space="preserve">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2.5.2（公司名称）承担合同工程工作内容：</w:t>
      </w:r>
      <w:r>
        <w:rPr>
          <w:rFonts w:hint="eastAsia" w:ascii="宋体" w:hAnsi="宋体"/>
          <w:color w:val="auto"/>
          <w:szCs w:val="21"/>
          <w:highlight w:val="none"/>
          <w:u w:val="single"/>
          <w:lang w:eastAsia="zh-CN"/>
        </w:rPr>
        <w:t xml:space="preserve">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2.5.3（公司名称）承担合同工程工作内容：</w:t>
      </w:r>
      <w:r>
        <w:rPr>
          <w:rFonts w:hint="eastAsia" w:ascii="宋体" w:hAnsi="宋体"/>
          <w:color w:val="auto"/>
          <w:szCs w:val="21"/>
          <w:highlight w:val="none"/>
          <w:u w:val="single"/>
          <w:lang w:eastAsia="zh-CN"/>
        </w:rPr>
        <w:t xml:space="preserve">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2.6 联合体各成员单位对合同工程的其他约定：</w:t>
      </w:r>
      <w:r>
        <w:rPr>
          <w:rFonts w:hint="eastAsia" w:ascii="宋体" w:hAnsi="宋体"/>
          <w:color w:val="auto"/>
          <w:szCs w:val="21"/>
          <w:highlight w:val="none"/>
          <w:u w:val="single"/>
          <w:lang w:eastAsia="zh-CN"/>
        </w:rPr>
        <w:t xml:space="preserve">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 xml:space="preserve">2.7 联合体各成员单位在合同工程实施过程中的有关费用，按各自承担的工作量所占比例分摊，或由联合体各成员单位具体协商确定。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 xml:space="preserve">3. 本协议书签署后，联合体牵头人应将本协议书及时送交发包人和设计顾问人、监理人、造价咨询人。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 xml:space="preserve">4. 本协议书自签署之日起生效，至各成员单位履行完工程总承包合同全部义务后自行失效，并随工程总承包合同的终止而终止； </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5. 本协议书正本与副本具有同等效力，当正本与副本不一致时，以正本为准。</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正本一式</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份，联合体各成员单位各执一份，送交发包人和设计顾问人、监理</w:t>
      </w:r>
    </w:p>
    <w:p>
      <w:pPr>
        <w:topLinePunct/>
        <w:adjustRightInd w:val="0"/>
        <w:snapToGrid w:val="0"/>
        <w:spacing w:line="360" w:lineRule="auto"/>
        <w:ind w:firstLine="480" w:firstLineChars="200"/>
        <w:rPr>
          <w:rFonts w:ascii="宋体" w:hAnsi="宋体"/>
          <w:color w:val="auto"/>
          <w:szCs w:val="21"/>
          <w:highlight w:val="none"/>
          <w:lang w:eastAsia="zh-CN"/>
        </w:rPr>
      </w:pPr>
      <w:r>
        <w:rPr>
          <w:rFonts w:hint="eastAsia" w:ascii="宋体" w:hAnsi="宋体"/>
          <w:color w:val="auto"/>
          <w:szCs w:val="21"/>
          <w:highlight w:val="none"/>
          <w:lang w:eastAsia="zh-CN"/>
        </w:rPr>
        <w:t>人、造价咨询人各一份；副本一式</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份，联合体各成员单位各执</w:t>
      </w:r>
      <w:r>
        <w:rPr>
          <w:rFonts w:hint="eastAsia" w:ascii="宋体" w:hAnsi="宋体"/>
          <w:color w:val="auto"/>
          <w:szCs w:val="21"/>
          <w:highlight w:val="none"/>
          <w:u w:val="single"/>
          <w:lang w:eastAsia="zh-CN"/>
        </w:rPr>
        <w:t xml:space="preserve">    </w:t>
      </w:r>
      <w:r>
        <w:rPr>
          <w:rFonts w:hint="eastAsia" w:ascii="宋体" w:hAnsi="宋体"/>
          <w:color w:val="auto"/>
          <w:szCs w:val="21"/>
          <w:highlight w:val="none"/>
          <w:lang w:eastAsia="zh-CN"/>
        </w:rPr>
        <w:t xml:space="preserve">份。 </w:t>
      </w:r>
    </w:p>
    <w:p>
      <w:pPr>
        <w:topLinePunct/>
        <w:adjustRightInd w:val="0"/>
        <w:snapToGrid w:val="0"/>
        <w:spacing w:line="360" w:lineRule="auto"/>
        <w:ind w:firstLine="480" w:firstLineChars="200"/>
        <w:jc w:val="both"/>
        <w:rPr>
          <w:rFonts w:ascii="宋体" w:hAnsi="宋体"/>
          <w:color w:val="auto"/>
          <w:szCs w:val="21"/>
          <w:highlight w:val="none"/>
          <w:lang w:eastAsia="zh-CN"/>
        </w:rPr>
      </w:pPr>
      <w:r>
        <w:rPr>
          <w:rFonts w:hint="eastAsia" w:ascii="宋体" w:hAnsi="宋体"/>
          <w:color w:val="auto"/>
          <w:szCs w:val="21"/>
          <w:highlight w:val="none"/>
          <w:lang w:eastAsia="zh-CN"/>
        </w:rPr>
        <w:t>（以下无正文）</w:t>
      </w:r>
    </w:p>
    <w:p>
      <w:pPr>
        <w:rPr>
          <w:rFonts w:ascii="仿宋" w:hAnsi="仿宋" w:eastAsia="仿宋" w:cs="仿宋"/>
          <w:color w:val="auto"/>
          <w:highlight w:val="none"/>
          <w:lang w:eastAsia="zh-CN"/>
        </w:rPr>
      </w:pPr>
    </w:p>
    <w:p>
      <w:pPr>
        <w:rPr>
          <w:rFonts w:ascii="仿宋" w:hAnsi="仿宋" w:eastAsia="仿宋" w:cs="仿宋"/>
          <w:color w:val="auto"/>
          <w:highlight w:val="none"/>
          <w:lang w:eastAsia="zh-CN"/>
        </w:rPr>
      </w:pPr>
    </w:p>
    <w:p>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联合体主办方单位名称：                    联合体成员一名称：  </w:t>
      </w:r>
    </w:p>
    <w:p>
      <w:pPr>
        <w:pStyle w:val="40"/>
        <w:ind w:firstLine="3840" w:firstLineChars="1600"/>
        <w:rPr>
          <w:rFonts w:ascii="仿宋" w:hAnsi="仿宋" w:eastAsia="仿宋" w:cs="仿宋"/>
          <w:color w:val="auto"/>
          <w:highlight w:val="none"/>
          <w:lang w:val="en-US" w:bidi="en-US"/>
        </w:rPr>
      </w:pPr>
      <w:r>
        <w:rPr>
          <w:rFonts w:hint="eastAsia" w:ascii="仿宋" w:hAnsi="仿宋" w:eastAsia="仿宋" w:cs="仿宋"/>
          <w:color w:val="auto"/>
          <w:highlight w:val="none"/>
        </w:rPr>
        <w:t xml:space="preserve">（盖章）                      </w:t>
      </w:r>
      <w:r>
        <w:rPr>
          <w:rFonts w:hint="eastAsia" w:ascii="仿宋" w:hAnsi="仿宋" w:eastAsia="仿宋" w:cs="仿宋"/>
          <w:color w:val="auto"/>
          <w:highlight w:val="none"/>
          <w:lang w:val="en-US" w:bidi="en-US"/>
        </w:rPr>
        <w:t xml:space="preserve"> （盖章）</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                      委托代理人：（签字）</w:t>
      </w:r>
    </w:p>
    <w:p>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firstLine="360" w:firstLineChars="150"/>
        <w:rPr>
          <w:rFonts w:ascii="仿宋" w:hAnsi="仿宋" w:eastAsia="仿宋" w:cs="仿宋"/>
          <w:color w:val="auto"/>
          <w:highlight w:val="none"/>
          <w:lang w:eastAsia="zh-CN"/>
        </w:rPr>
      </w:pPr>
    </w:p>
    <w:p>
      <w:pPr>
        <w:spacing w:line="360" w:lineRule="auto"/>
        <w:ind w:firstLine="360" w:firstLineChars="150"/>
        <w:rPr>
          <w:color w:val="auto"/>
          <w:highlight w:val="none"/>
          <w:lang w:eastAsia="zh-CN"/>
        </w:rPr>
      </w:pPr>
      <w:r>
        <w:rPr>
          <w:rFonts w:hint="eastAsia" w:ascii="仿宋" w:hAnsi="仿宋" w:eastAsia="仿宋" w:cs="仿宋"/>
          <w:color w:val="auto"/>
          <w:highlight w:val="none"/>
          <w:lang w:eastAsia="zh-CN"/>
        </w:rPr>
        <w:t>联合体成员二名称：                （盖章）</w:t>
      </w:r>
    </w:p>
    <w:p>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法定代表人：（签字）                                                </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w:t>
      </w:r>
    </w:p>
    <w:p>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p>
    <w:p>
      <w:pPr>
        <w:spacing w:line="360" w:lineRule="auto"/>
        <w:rPr>
          <w:rFonts w:ascii="仿宋" w:hAnsi="仿宋" w:eastAsia="仿宋"/>
          <w:color w:val="auto"/>
          <w:highlight w:val="none"/>
          <w:lang w:eastAsia="zh-CN"/>
        </w:rPr>
        <w:sectPr>
          <w:endnotePr>
            <w:numFmt w:val="decimal"/>
          </w:endnotePr>
          <w:pgSz w:w="11906" w:h="16838"/>
          <w:pgMar w:top="1361" w:right="1361" w:bottom="1361" w:left="1361" w:header="794" w:footer="850" w:gutter="0"/>
          <w:cols w:space="0" w:num="1"/>
        </w:sectPr>
      </w:pPr>
    </w:p>
    <w:p>
      <w:pPr>
        <w:spacing w:line="360" w:lineRule="auto"/>
        <w:ind w:firstLine="361" w:firstLineChars="150"/>
        <w:outlineLvl w:val="0"/>
        <w:rPr>
          <w:rFonts w:ascii="仿宋" w:hAnsi="仿宋" w:eastAsia="仿宋"/>
          <w:b/>
          <w:bCs/>
          <w:color w:val="auto"/>
          <w:sz w:val="30"/>
          <w:szCs w:val="30"/>
          <w:highlight w:val="none"/>
          <w:lang w:eastAsia="zh-CN"/>
        </w:rPr>
      </w:pPr>
      <w:bookmarkStart w:id="939" w:name="_Toc2713"/>
      <w:bookmarkStart w:id="940" w:name="_Toc5195"/>
      <w:bookmarkStart w:id="941" w:name="_Toc47694457"/>
      <w:r>
        <w:rPr>
          <w:rFonts w:hint="eastAsia" w:ascii="仿宋" w:hAnsi="仿宋" w:eastAsia="仿宋" w:cs="仿宋"/>
          <w:b/>
          <w:bCs/>
          <w:color w:val="auto"/>
          <w:highlight w:val="none"/>
          <w:lang w:eastAsia="zh-CN"/>
        </w:rPr>
        <w:t>附件二</w:t>
      </w:r>
      <w:bookmarkEnd w:id="939"/>
      <w:bookmarkEnd w:id="940"/>
      <w:bookmarkEnd w:id="941"/>
    </w:p>
    <w:p>
      <w:pPr>
        <w:spacing w:line="360" w:lineRule="auto"/>
        <w:jc w:val="center"/>
        <w:rPr>
          <w:rFonts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发包人供应工程材料和工程设备一览表</w:t>
      </w:r>
    </w:p>
    <w:p>
      <w:pPr>
        <w:spacing w:line="360" w:lineRule="auto"/>
        <w:rPr>
          <w:rFonts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工程名称：                                                                                工程编号：</w:t>
      </w:r>
    </w:p>
    <w:tbl>
      <w:tblPr>
        <w:tblStyle w:val="42"/>
        <w:tblW w:w="14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350"/>
        <w:gridCol w:w="2520"/>
        <w:gridCol w:w="1432"/>
        <w:gridCol w:w="1448"/>
        <w:gridCol w:w="900"/>
        <w:gridCol w:w="720"/>
        <w:gridCol w:w="1620"/>
        <w:gridCol w:w="1550"/>
        <w:gridCol w:w="1188"/>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13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编码</w:t>
            </w: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工程材料和工程设备名称</w:t>
            </w: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规格</w:t>
            </w: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生产厂家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单位</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数量</w:t>
            </w: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单价（元）</w:t>
            </w: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总价（元）</w:t>
            </w: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投产日期</w:t>
            </w: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5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5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bl>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填表：             复核：             批准：               单位（章）　　　　　　　　日期：  　　年 　　月 　　日</w:t>
      </w:r>
    </w:p>
    <w:p>
      <w:pPr>
        <w:spacing w:line="360" w:lineRule="auto"/>
        <w:rPr>
          <w:rFonts w:ascii="仿宋" w:hAnsi="仿宋" w:eastAsia="仿宋"/>
          <w:b/>
          <w:bCs/>
          <w:color w:val="auto"/>
          <w:highlight w:val="none"/>
          <w:lang w:eastAsia="zh-CN"/>
        </w:rPr>
        <w:sectPr>
          <w:endnotePr>
            <w:numFmt w:val="decimal"/>
          </w:endnotePr>
          <w:pgSz w:w="16838" w:h="11906" w:orient="landscape"/>
          <w:pgMar w:top="1361" w:right="1361" w:bottom="1361" w:left="1361" w:header="794" w:footer="850" w:gutter="0"/>
          <w:cols w:space="0" w:num="1"/>
        </w:sectPr>
      </w:pPr>
    </w:p>
    <w:p>
      <w:pPr>
        <w:spacing w:line="360" w:lineRule="auto"/>
        <w:outlineLvl w:val="0"/>
        <w:rPr>
          <w:rFonts w:ascii="仿宋" w:hAnsi="仿宋" w:eastAsia="仿宋"/>
          <w:b/>
          <w:bCs/>
          <w:color w:val="auto"/>
          <w:highlight w:val="none"/>
          <w:lang w:eastAsia="zh-CN"/>
        </w:rPr>
      </w:pPr>
      <w:bookmarkStart w:id="942" w:name="_Toc15525"/>
      <w:bookmarkStart w:id="943" w:name="_Toc16046"/>
      <w:bookmarkStart w:id="944" w:name="_Toc47694458"/>
      <w:r>
        <w:rPr>
          <w:rFonts w:hint="eastAsia" w:ascii="仿宋" w:hAnsi="仿宋" w:eastAsia="仿宋" w:cs="仿宋"/>
          <w:b/>
          <w:bCs/>
          <w:color w:val="auto"/>
          <w:highlight w:val="none"/>
          <w:lang w:eastAsia="zh-CN"/>
        </w:rPr>
        <w:t>附件三</w:t>
      </w:r>
      <w:bookmarkEnd w:id="942"/>
      <w:bookmarkEnd w:id="943"/>
      <w:bookmarkEnd w:id="944"/>
    </w:p>
    <w:p>
      <w:pPr>
        <w:spacing w:line="360" w:lineRule="auto"/>
        <w:rPr>
          <w:rFonts w:ascii="仿宋" w:hAnsi="仿宋" w:eastAsia="仿宋"/>
          <w:color w:val="auto"/>
          <w:highlight w:val="none"/>
          <w:lang w:eastAsia="zh-CN"/>
        </w:rPr>
      </w:pPr>
    </w:p>
    <w:p>
      <w:pPr>
        <w:adjustRightInd w:val="0"/>
        <w:snapToGrid w:val="0"/>
        <w:spacing w:line="360" w:lineRule="auto"/>
        <w:jc w:val="center"/>
        <w:rPr>
          <w:rFonts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s="仿宋"/>
          <w:b/>
          <w:color w:val="auto"/>
          <w:highlight w:val="none"/>
          <w:u w:val="single"/>
          <w:lang w:eastAsia="zh-CN"/>
        </w:rPr>
        <w:t>中山大学附属第一医院</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(联合体牵头单位全称)：</w:t>
      </w:r>
      <w:r>
        <w:rPr>
          <w:rFonts w:hint="eastAsia" w:ascii="仿宋" w:hAnsi="仿宋" w:eastAsia="仿宋" w:cs="仿宋"/>
          <w:b/>
          <w:color w:val="auto"/>
          <w:highlight w:val="none"/>
          <w:u w:val="single"/>
          <w:lang w:eastAsia="zh-CN"/>
        </w:rPr>
        <w:t xml:space="preserve">                          </w:t>
      </w:r>
    </w:p>
    <w:p>
      <w:pPr>
        <w:spacing w:line="360" w:lineRule="auto"/>
        <w:rPr>
          <w:rFonts w:ascii="仿宋" w:hAnsi="仿宋" w:eastAsia="仿宋" w:cs="仿宋"/>
          <w:b/>
          <w:color w:val="auto"/>
          <w:highlight w:val="none"/>
          <w:u w:val="single"/>
          <w:lang w:eastAsia="zh-CN"/>
        </w:rPr>
      </w:pPr>
      <w:r>
        <w:rPr>
          <w:rFonts w:hint="eastAsia" w:ascii="仿宋" w:hAnsi="仿宋" w:eastAsia="仿宋" w:cs="仿宋"/>
          <w:color w:val="auto"/>
          <w:highlight w:val="none"/>
          <w:u w:val="single"/>
          <w:lang w:eastAsia="zh-CN"/>
        </w:rPr>
        <w:t>(联合体成员一全称)：</w:t>
      </w:r>
      <w:r>
        <w:rPr>
          <w:rFonts w:hint="eastAsia" w:ascii="仿宋" w:hAnsi="仿宋" w:eastAsia="仿宋" w:cs="仿宋"/>
          <w:b/>
          <w:color w:val="auto"/>
          <w:highlight w:val="none"/>
          <w:u w:val="single"/>
          <w:lang w:eastAsia="zh-CN"/>
        </w:rPr>
        <w:t xml:space="preserve">                            </w:t>
      </w:r>
    </w:p>
    <w:p>
      <w:pPr>
        <w:pStyle w:val="40"/>
        <w:ind w:firstLine="0"/>
        <w:rPr>
          <w:rFonts w:ascii="仿宋" w:hAnsi="仿宋" w:eastAsia="仿宋" w:cs="仿宋"/>
          <w:b/>
          <w:color w:val="auto"/>
          <w:highlight w:val="none"/>
          <w:u w:val="single"/>
          <w:lang w:val="en-US" w:bidi="en-US"/>
        </w:rPr>
      </w:pPr>
      <w:r>
        <w:rPr>
          <w:rFonts w:hint="eastAsia" w:ascii="仿宋" w:hAnsi="仿宋" w:eastAsia="仿宋" w:cs="仿宋"/>
          <w:color w:val="auto"/>
          <w:highlight w:val="none"/>
          <w:u w:val="single"/>
          <w:lang w:val="en-US" w:bidi="en-US"/>
        </w:rPr>
        <w:t>(联合体成员二全称)：</w:t>
      </w:r>
      <w:r>
        <w:rPr>
          <w:rFonts w:hint="eastAsia" w:ascii="仿宋" w:hAnsi="仿宋" w:eastAsia="仿宋" w:cs="仿宋"/>
          <w:b/>
          <w:color w:val="auto"/>
          <w:highlight w:val="none"/>
          <w:u w:val="single"/>
          <w:lang w:val="en-US" w:bidi="en-US"/>
        </w:rPr>
        <w:t xml:space="preserve">                            </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为保证</w:t>
      </w:r>
      <w:r>
        <w:rPr>
          <w:rFonts w:hint="eastAsia" w:ascii="仿宋" w:hAnsi="仿宋" w:eastAsia="仿宋" w:cs="仿宋"/>
          <w:b/>
          <w:color w:val="auto"/>
          <w:highlight w:val="none"/>
          <w:u w:val="single"/>
          <w:lang w:eastAsia="zh-CN"/>
        </w:rPr>
        <w:t>中山大学附属第一医院东院区改扩建工程</w:t>
      </w:r>
      <w:r>
        <w:rPr>
          <w:rFonts w:hint="eastAsia" w:ascii="仿宋" w:hAnsi="仿宋" w:eastAsia="仿宋" w:cs="仿宋"/>
          <w:color w:val="auto"/>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pPr>
        <w:numPr>
          <w:ilvl w:val="0"/>
          <w:numId w:val="29"/>
        </w:numPr>
        <w:adjustRightInd w:val="0"/>
        <w:snapToGrid w:val="0"/>
        <w:spacing w:line="360"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质量保修范围</w:t>
      </w:r>
    </w:p>
    <w:p>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r>
        <w:rPr>
          <w:rFonts w:hint="eastAsia" w:ascii="仿宋" w:hAnsi="仿宋" w:eastAsia="仿宋" w:cs="仿宋"/>
          <w:color w:val="auto"/>
          <w:highlight w:val="none"/>
          <w:u w:val="single"/>
          <w:lang w:eastAsia="zh-CN"/>
        </w:rPr>
        <w:t xml:space="preserve"> 招标文件、施工图纸和合同约定的内容。</w:t>
      </w:r>
    </w:p>
    <w:p>
      <w:pPr>
        <w:pStyle w:val="40"/>
        <w:rPr>
          <w:color w:val="auto"/>
          <w:highlight w:val="none"/>
          <w:lang w:val="en-US" w:bidi="en-US"/>
        </w:rPr>
      </w:pPr>
    </w:p>
    <w:p>
      <w:pPr>
        <w:numPr>
          <w:ilvl w:val="0"/>
          <w:numId w:val="29"/>
        </w:numPr>
        <w:adjustRightInd w:val="0"/>
        <w:snapToGrid w:val="0"/>
        <w:spacing w:line="360"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质量保修期</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2.1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质量保修期从工程实际竣工之日算起。单项竣工验收的工程，按单项工程分别计算质量保修期。</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2.2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val="zh-CN" w:eastAsia="zh-CN"/>
        </w:rPr>
        <w:t>合同工程质量保修期，合同双方当事人约定如下</w:t>
      </w:r>
      <w:r>
        <w:rPr>
          <w:rFonts w:hint="eastAsia" w:ascii="仿宋" w:hAnsi="仿宋" w:eastAsia="仿宋" w:cs="仿宋"/>
          <w:color w:val="auto"/>
          <w:highlight w:val="none"/>
          <w:lang w:eastAsia="zh-CN"/>
        </w:rPr>
        <w:t>：</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（1）地基基础工程、主体结构工程为设计文件规定的合理使用年限；</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（2）屋面防水工程、有防水要求的卫生间、房间和外墙面的防渗漏工程为</w:t>
      </w:r>
      <w:r>
        <w:rPr>
          <w:rFonts w:hint="eastAsia" w:ascii="仿宋" w:hAnsi="仿宋" w:eastAsia="仿宋" w:cs="仿宋"/>
          <w:color w:val="auto"/>
          <w:highlight w:val="none"/>
          <w:u w:val="single"/>
          <w:lang w:eastAsia="zh-CN"/>
        </w:rPr>
        <w:t xml:space="preserve"> 5</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（3）电气管线工程、给排水管道工程、设备安装工程为</w:t>
      </w:r>
      <w:r>
        <w:rPr>
          <w:rFonts w:hint="eastAsia" w:ascii="仿宋" w:hAnsi="仿宋" w:eastAsia="仿宋" w:cs="仿宋"/>
          <w:color w:val="auto"/>
          <w:highlight w:val="none"/>
          <w:u w:val="single"/>
          <w:lang w:eastAsia="zh-CN"/>
        </w:rPr>
        <w:t>2</w:t>
      </w:r>
      <w:r>
        <w:rPr>
          <w:rFonts w:hint="eastAsia" w:ascii="仿宋" w:hAnsi="仿宋" w:eastAsia="仿宋" w:cs="仿宋"/>
          <w:color w:val="auto"/>
          <w:highlight w:val="none"/>
          <w:lang w:eastAsia="zh-CN"/>
        </w:rPr>
        <w:t>年；</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（4）供热、供冷系统工程为</w:t>
      </w:r>
      <w:r>
        <w:rPr>
          <w:rFonts w:hint="eastAsia" w:ascii="仿宋" w:hAnsi="仿宋" w:eastAsia="仿宋" w:cs="仿宋"/>
          <w:color w:val="auto"/>
          <w:highlight w:val="none"/>
          <w:u w:val="single"/>
          <w:lang w:eastAsia="zh-CN"/>
        </w:rPr>
        <w:t xml:space="preserve"> 2</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个采暖期、供冷期；</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（5）装饰装修工程为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（6）其他项目</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2</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p>
    <w:p>
      <w:pPr>
        <w:adjustRightInd w:val="0"/>
        <w:snapToGrid w:val="0"/>
        <w:ind w:firstLine="480" w:firstLineChars="200"/>
        <w:rPr>
          <w:rFonts w:ascii="仿宋" w:hAnsi="仿宋" w:eastAsia="仿宋"/>
          <w:color w:val="auto"/>
          <w:highlight w:val="none"/>
          <w:lang w:eastAsia="zh-CN"/>
        </w:rPr>
      </w:pPr>
    </w:p>
    <w:p>
      <w:pPr>
        <w:adjustRightInd w:val="0"/>
        <w:snapToGrid w:val="0"/>
        <w:spacing w:line="360"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b/>
          <w:bCs/>
          <w:color w:val="auto"/>
          <w:highlight w:val="none"/>
          <w:lang w:eastAsia="zh-CN"/>
        </w:rPr>
        <w:t>质量保修责任</w:t>
      </w:r>
    </w:p>
    <w:p>
      <w:pPr>
        <w:adjustRightInd w:val="0"/>
        <w:snapToGrid w:val="0"/>
        <w:ind w:firstLine="480" w:firstLineChars="200"/>
        <w:rPr>
          <w:rFonts w:ascii="仿宋" w:hAnsi="仿宋" w:eastAsia="仿宋"/>
          <w:color w:val="auto"/>
          <w:highlight w:val="none"/>
          <w:lang w:eastAsia="zh-CN"/>
        </w:rPr>
      </w:pP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7</w:t>
      </w:r>
      <w:r>
        <w:rPr>
          <w:rFonts w:hint="eastAsia" w:ascii="仿宋" w:hAnsi="仿宋" w:eastAsia="仿宋" w:cs="仿宋"/>
          <w:color w:val="auto"/>
          <w:highlight w:val="none"/>
          <w:lang w:val="zh-CN" w:eastAsia="zh-CN"/>
        </w:rPr>
        <w:t>天内派人保修。承包人未能在规定时间内派人保修的，发包人可自行或委托第三方保修</w:t>
      </w:r>
      <w:r>
        <w:rPr>
          <w:rFonts w:hint="eastAsia" w:ascii="仿宋" w:hAnsi="仿宋" w:eastAsia="仿宋" w:cs="仿宋"/>
          <w:color w:val="auto"/>
          <w:highlight w:val="none"/>
          <w:lang w:eastAsia="zh-CN"/>
        </w:rPr>
        <w:t>。</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发生紧急抢修事故的，承包人在接到通知后，应立即到达事故现场抢修。</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质量保修完成后，由发包人组织验收。</w:t>
      </w:r>
    </w:p>
    <w:p>
      <w:pPr>
        <w:adjustRightInd w:val="0"/>
        <w:snapToGrid w:val="0"/>
        <w:ind w:firstLine="480" w:firstLineChars="200"/>
        <w:rPr>
          <w:rFonts w:ascii="仿宋" w:hAnsi="仿宋" w:eastAsia="仿宋"/>
          <w:color w:val="auto"/>
          <w:highlight w:val="none"/>
          <w:lang w:eastAsia="zh-CN"/>
        </w:rPr>
      </w:pPr>
    </w:p>
    <w:p>
      <w:pPr>
        <w:adjustRightInd w:val="0"/>
        <w:snapToGrid w:val="0"/>
        <w:spacing w:line="360"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b/>
          <w:bCs/>
          <w:color w:val="auto"/>
          <w:highlight w:val="none"/>
          <w:lang w:eastAsia="zh-CN"/>
        </w:rPr>
        <w:t>质量保修费用</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质量保修等费用，由责任方承担</w:t>
      </w:r>
      <w:r>
        <w:rPr>
          <w:rFonts w:hint="eastAsia" w:ascii="仿宋" w:hAnsi="仿宋" w:eastAsia="仿宋" w:cs="仿宋"/>
          <w:color w:val="auto"/>
          <w:highlight w:val="none"/>
          <w:lang w:eastAsia="zh-CN"/>
        </w:rPr>
        <w:t>。</w:t>
      </w:r>
    </w:p>
    <w:p>
      <w:pPr>
        <w:adjustRightInd w:val="0"/>
        <w:snapToGrid w:val="0"/>
        <w:ind w:firstLine="480" w:firstLineChars="200"/>
        <w:rPr>
          <w:rFonts w:ascii="仿宋" w:hAnsi="仿宋" w:eastAsia="仿宋"/>
          <w:color w:val="auto"/>
          <w:highlight w:val="none"/>
          <w:lang w:eastAsia="zh-CN"/>
        </w:rPr>
      </w:pP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b/>
          <w:bCs/>
          <w:color w:val="auto"/>
          <w:highlight w:val="none"/>
          <w:lang w:eastAsia="zh-CN"/>
        </w:rPr>
        <w:t>质量保证金</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质量保证金的约定、支付和使用与本合同第二部分《通用条款》第</w:t>
      </w:r>
      <w:r>
        <w:rPr>
          <w:rFonts w:hint="eastAsia" w:ascii="仿宋" w:hAnsi="仿宋" w:eastAsia="仿宋" w:cs="仿宋"/>
          <w:color w:val="auto"/>
          <w:highlight w:val="none"/>
          <w:lang w:eastAsia="zh-CN"/>
        </w:rPr>
        <w:t>90</w:t>
      </w:r>
      <w:r>
        <w:rPr>
          <w:rFonts w:hint="eastAsia" w:ascii="仿宋" w:hAnsi="仿宋" w:eastAsia="仿宋" w:cs="仿宋"/>
          <w:color w:val="auto"/>
          <w:highlight w:val="none"/>
          <w:lang w:val="zh-CN" w:eastAsia="zh-CN"/>
        </w:rPr>
        <w:t>条赋予的规</w:t>
      </w:r>
      <w:r>
        <w:rPr>
          <w:rFonts w:hint="eastAsia" w:ascii="仿宋" w:hAnsi="仿宋" w:eastAsia="仿宋" w:cs="仿宋"/>
          <w:color w:val="auto"/>
          <w:highlight w:val="none"/>
          <w:lang w:eastAsia="zh-CN"/>
        </w:rPr>
        <w:t>定一致。</w:t>
      </w:r>
    </w:p>
    <w:p>
      <w:pPr>
        <w:adjustRightInd w:val="0"/>
        <w:snapToGrid w:val="0"/>
        <w:ind w:firstLine="480" w:firstLineChars="200"/>
        <w:rPr>
          <w:rFonts w:ascii="仿宋" w:hAnsi="仿宋" w:eastAsia="仿宋"/>
          <w:color w:val="auto"/>
          <w:highlight w:val="none"/>
          <w:lang w:eastAsia="zh-CN"/>
        </w:rPr>
      </w:pPr>
    </w:p>
    <w:p>
      <w:pPr>
        <w:adjustRightInd w:val="0"/>
        <w:snapToGrid w:val="0"/>
        <w:spacing w:line="360"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s="仿宋"/>
          <w:b/>
          <w:bCs/>
          <w:color w:val="auto"/>
          <w:highlight w:val="none"/>
          <w:lang w:eastAsia="zh-CN"/>
        </w:rPr>
        <w:t>其他</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6.3  </w:t>
      </w:r>
      <w:r>
        <w:rPr>
          <w:rFonts w:hint="eastAsia" w:ascii="仿宋" w:hAnsi="仿宋" w:eastAsia="仿宋" w:cs="仿宋"/>
          <w:color w:val="auto"/>
          <w:highlight w:val="none"/>
          <w:lang w:val="zh-CN" w:eastAsia="zh-CN"/>
        </w:rPr>
        <w:t>本质量保修书，自合同双方当事人签署之日起生效，至质量保修期满后失效。</w:t>
      </w:r>
    </w:p>
    <w:p>
      <w:pPr>
        <w:adjustRightInd w:val="0"/>
        <w:snapToGrid w:val="0"/>
        <w:ind w:firstLine="480" w:firstLineChars="200"/>
        <w:rPr>
          <w:rFonts w:ascii="仿宋" w:hAnsi="仿宋" w:eastAsia="仿宋"/>
          <w:color w:val="auto"/>
          <w:highlight w:val="none"/>
          <w:lang w:eastAsia="zh-CN"/>
        </w:rPr>
      </w:pPr>
    </w:p>
    <w:p>
      <w:pPr>
        <w:adjustRightInd w:val="0"/>
        <w:snapToGrid w:val="0"/>
        <w:ind w:firstLine="480" w:firstLineChars="200"/>
        <w:rPr>
          <w:rFonts w:ascii="仿宋" w:hAnsi="仿宋" w:eastAsia="仿宋"/>
          <w:color w:val="auto"/>
          <w:highlight w:val="none"/>
          <w:lang w:eastAsia="zh-CN"/>
        </w:rPr>
      </w:pPr>
    </w:p>
    <w:p>
      <w:pPr>
        <w:spacing w:line="360" w:lineRule="auto"/>
        <w:ind w:left="175" w:leftChars="7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发包人：（盖章）中山大学附属第一医院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承包人：（联合体牵头单位）：（盖章）</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pPr>
        <w:spacing w:line="360" w:lineRule="auto"/>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p>
    <w:p>
      <w:pPr>
        <w:spacing w:line="360" w:lineRule="auto"/>
        <w:rPr>
          <w:rFonts w:ascii="仿宋" w:hAnsi="仿宋" w:eastAsia="仿宋"/>
          <w:color w:val="auto"/>
          <w:sz w:val="22"/>
          <w:szCs w:val="22"/>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邮政编码：</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                                承包人：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（联合体成员一）：（盖章）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（联合体成员二）：（盖章）</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                              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                           法定代表人：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委托代理人：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话：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话：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真：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开户银行：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号：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邮政编码：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pPr>
        <w:pStyle w:val="40"/>
        <w:rPr>
          <w:color w:val="auto"/>
          <w:highlight w:val="none"/>
          <w:lang w:val="en-US"/>
        </w:rPr>
      </w:pPr>
    </w:p>
    <w:p>
      <w:pPr>
        <w:spacing w:line="360" w:lineRule="auto"/>
        <w:rPr>
          <w:rFonts w:ascii="仿宋" w:hAnsi="仿宋" w:eastAsia="仿宋"/>
          <w:color w:val="auto"/>
          <w:highlight w:val="none"/>
          <w:lang w:eastAsia="zh-CN"/>
        </w:rPr>
        <w:sectPr>
          <w:headerReference r:id="rId9" w:type="default"/>
          <w:footerReference r:id="rId10" w:type="default"/>
          <w:endnotePr>
            <w:numFmt w:val="decimal"/>
          </w:endnotePr>
          <w:pgSz w:w="11906" w:h="16838"/>
          <w:pgMar w:top="1361" w:right="1361" w:bottom="1361" w:left="1361" w:header="794" w:footer="850" w:gutter="0"/>
          <w:cols w:space="0" w:num="1"/>
        </w:sectPr>
      </w:pPr>
    </w:p>
    <w:p>
      <w:pPr>
        <w:spacing w:line="360" w:lineRule="auto"/>
        <w:outlineLvl w:val="0"/>
        <w:rPr>
          <w:rFonts w:ascii="仿宋" w:hAnsi="仿宋" w:eastAsia="仿宋"/>
          <w:b/>
          <w:bCs/>
          <w:color w:val="auto"/>
          <w:highlight w:val="none"/>
          <w:lang w:eastAsia="zh-CN"/>
        </w:rPr>
      </w:pPr>
      <w:bookmarkStart w:id="945" w:name="_Toc2882"/>
      <w:bookmarkStart w:id="946" w:name="_Toc47694459"/>
      <w:bookmarkStart w:id="947" w:name="_Toc12634"/>
      <w:r>
        <w:rPr>
          <w:rFonts w:hint="eastAsia" w:ascii="仿宋" w:hAnsi="仿宋" w:eastAsia="仿宋" w:cs="仿宋"/>
          <w:b/>
          <w:bCs/>
          <w:color w:val="auto"/>
          <w:highlight w:val="none"/>
          <w:lang w:eastAsia="zh-CN"/>
        </w:rPr>
        <w:t>附件四</w:t>
      </w:r>
      <w:bookmarkEnd w:id="945"/>
      <w:bookmarkEnd w:id="946"/>
      <w:bookmarkEnd w:id="947"/>
    </w:p>
    <w:p>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廉 政 合 同</w:t>
      </w: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s="仿宋"/>
          <w:color w:val="auto"/>
          <w:highlight w:val="none"/>
          <w:u w:val="single"/>
          <w:lang w:eastAsia="zh-CN"/>
        </w:rPr>
        <w:t>中山大学附属第一医院</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(联合体牵头单位全称)：</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(联合体成员一全称)</w:t>
      </w:r>
      <w:r>
        <w:rPr>
          <w:rFonts w:hint="eastAsia" w:ascii="仿宋" w:hAnsi="仿宋" w:eastAsia="仿宋" w:cs="仿宋"/>
          <w:color w:val="auto"/>
          <w:highlight w:val="none"/>
          <w:u w:val="single"/>
          <w:lang w:eastAsia="zh-CN"/>
        </w:rPr>
        <w:t xml:space="preserve">：              </w:t>
      </w:r>
    </w:p>
    <w:p>
      <w:pPr>
        <w:pStyle w:val="40"/>
        <w:ind w:firstLine="0"/>
        <w:rPr>
          <w:rFonts w:ascii="仿宋" w:hAnsi="仿宋" w:eastAsia="仿宋" w:cs="仿宋"/>
          <w:color w:val="auto"/>
          <w:highlight w:val="none"/>
          <w:u w:val="single"/>
          <w:lang w:val="en-US" w:bidi="en-US"/>
        </w:rPr>
      </w:pPr>
      <w:r>
        <w:rPr>
          <w:rFonts w:hint="eastAsia" w:ascii="仿宋" w:hAnsi="仿宋" w:eastAsia="仿宋" w:cs="仿宋"/>
          <w:color w:val="auto"/>
          <w:highlight w:val="none"/>
          <w:lang w:val="en-US" w:bidi="en-US"/>
        </w:rPr>
        <w:t>(联合体成员二全称)：</w:t>
      </w:r>
      <w:r>
        <w:rPr>
          <w:rFonts w:hint="eastAsia" w:ascii="仿宋" w:hAnsi="仿宋" w:eastAsia="仿宋" w:cs="仿宋"/>
          <w:color w:val="auto"/>
          <w:highlight w:val="none"/>
          <w:u w:val="single"/>
          <w:lang w:val="en-US" w:bidi="en-US"/>
        </w:rPr>
        <w:t xml:space="preserve">                </w:t>
      </w:r>
    </w:p>
    <w:p>
      <w:pPr>
        <w:spacing w:line="360" w:lineRule="auto"/>
        <w:rPr>
          <w:rFonts w:ascii="仿宋" w:hAnsi="仿宋" w:eastAsia="仿宋" w:cs="仿宋"/>
          <w:color w:val="auto"/>
          <w:highlight w:val="none"/>
          <w:lang w:eastAsia="zh-CN"/>
        </w:rPr>
      </w:pP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highlight w:val="none"/>
          <w:lang w:eastAsia="zh-CN"/>
        </w:rPr>
        <w:t>。</w:t>
      </w:r>
    </w:p>
    <w:p>
      <w:pPr>
        <w:spacing w:line="360" w:lineRule="auto"/>
        <w:rPr>
          <w:rFonts w:ascii="仿宋" w:hAnsi="仿宋" w:eastAsia="仿宋"/>
          <w:b/>
          <w:bCs/>
          <w:color w:val="auto"/>
          <w:sz w:val="28"/>
          <w:szCs w:val="28"/>
          <w:highlight w:val="none"/>
          <w:lang w:eastAsia="zh-CN"/>
        </w:rPr>
      </w:pPr>
      <w:bookmarkStart w:id="948" w:name="_Toc11148"/>
      <w:r>
        <w:rPr>
          <w:rFonts w:hint="eastAsia" w:ascii="仿宋" w:hAnsi="仿宋" w:eastAsia="仿宋" w:cs="仿宋"/>
          <w:b/>
          <w:bCs/>
          <w:color w:val="auto"/>
          <w:sz w:val="28"/>
          <w:szCs w:val="28"/>
          <w:highlight w:val="none"/>
          <w:lang w:eastAsia="zh-CN"/>
        </w:rPr>
        <w:t>1  双方权利和义务</w:t>
      </w:r>
      <w:bookmarkEnd w:id="948"/>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  严格遵守国家、省有关法律法规的规定。</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1.2  严格执行合同工程一切合同文件，自觉按合同办事。</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1.3  </w:t>
      </w:r>
      <w:r>
        <w:rPr>
          <w:rFonts w:hint="eastAsia" w:ascii="仿宋" w:hAnsi="仿宋" w:eastAsia="仿宋" w:cs="仿宋"/>
          <w:color w:val="auto"/>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1.4  建立健全廉政制度，开展廉政教育，设立廉政告示牌，公布举报电话，监督并认真查处违法违纪行为。</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1.5  发现对方在业务活动中有违反廉政建设规定的行为，应及时给予提醒和纠正。</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1.6  发现对方严重违反合同的行为，有向其上级部门举报、建议给予处理并要求告知处理结果的权利。没有上级部门的，</w:t>
      </w:r>
      <w:r>
        <w:rPr>
          <w:rFonts w:hint="eastAsia" w:ascii="仿宋" w:hAnsi="仿宋" w:eastAsia="仿宋" w:cs="仿宋"/>
          <w:color w:val="auto"/>
          <w:highlight w:val="none"/>
          <w:lang w:val="zh-CN" w:eastAsia="zh-CN"/>
        </w:rPr>
        <w:t>可按本</w:t>
      </w:r>
      <w:r>
        <w:rPr>
          <w:rFonts w:hint="eastAsia" w:ascii="仿宋" w:hAnsi="仿宋" w:eastAsia="仿宋" w:cs="仿宋"/>
          <w:color w:val="auto"/>
          <w:highlight w:val="none"/>
          <w:lang w:eastAsia="zh-CN"/>
        </w:rPr>
        <w:t>工程总承包</w:t>
      </w:r>
      <w:r>
        <w:rPr>
          <w:rFonts w:hint="eastAsia" w:ascii="仿宋" w:hAnsi="仿宋" w:eastAsia="仿宋" w:cs="仿宋"/>
          <w:color w:val="auto"/>
          <w:highlight w:val="none"/>
          <w:lang w:val="zh-CN" w:eastAsia="zh-CN"/>
        </w:rPr>
        <w:t>合同第二部分《通用条款》第</w:t>
      </w:r>
      <w:r>
        <w:rPr>
          <w:rFonts w:hint="eastAsia" w:ascii="仿宋" w:hAnsi="仿宋" w:eastAsia="仿宋" w:cs="仿宋"/>
          <w:color w:val="auto"/>
          <w:highlight w:val="none"/>
          <w:lang w:eastAsia="zh-CN"/>
        </w:rPr>
        <w:t xml:space="preserve"> 101</w:t>
      </w:r>
      <w:r>
        <w:rPr>
          <w:rFonts w:hint="eastAsia" w:ascii="仿宋" w:hAnsi="仿宋" w:eastAsia="仿宋" w:cs="仿宋"/>
          <w:color w:val="auto"/>
          <w:highlight w:val="none"/>
          <w:lang w:val="zh-CN" w:eastAsia="zh-CN"/>
        </w:rPr>
        <w:t>条规定处</w:t>
      </w:r>
      <w:r>
        <w:rPr>
          <w:rFonts w:hint="eastAsia" w:ascii="仿宋" w:hAnsi="仿宋" w:eastAsia="仿宋" w:cs="仿宋"/>
          <w:color w:val="auto"/>
          <w:highlight w:val="none"/>
          <w:lang w:eastAsia="zh-CN"/>
        </w:rPr>
        <w:t>。</w:t>
      </w:r>
    </w:p>
    <w:p>
      <w:pPr>
        <w:spacing w:line="360" w:lineRule="auto"/>
        <w:rPr>
          <w:rFonts w:ascii="仿宋" w:hAnsi="仿宋" w:eastAsia="仿宋"/>
          <w:b/>
          <w:bCs/>
          <w:color w:val="auto"/>
          <w:sz w:val="28"/>
          <w:szCs w:val="28"/>
          <w:highlight w:val="none"/>
          <w:lang w:eastAsia="zh-CN"/>
        </w:rPr>
      </w:pPr>
      <w:bookmarkStart w:id="949" w:name="_Toc18074"/>
      <w:r>
        <w:rPr>
          <w:rFonts w:hint="eastAsia" w:ascii="仿宋" w:hAnsi="仿宋" w:eastAsia="仿宋" w:cs="仿宋"/>
          <w:b/>
          <w:bCs/>
          <w:color w:val="auto"/>
          <w:sz w:val="28"/>
          <w:szCs w:val="28"/>
          <w:highlight w:val="none"/>
          <w:lang w:eastAsia="zh-CN"/>
        </w:rPr>
        <w:t>2  发包人义务</w:t>
      </w:r>
      <w:bookmarkEnd w:id="949"/>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发包人及其工作人员不得索要或接受承包人的礼金、有价证券和贵重物品，不得在承包人报销任何应由发包人或工作人员个人支付的费用等。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2.2  发包人及其工作人员不得参加承包人安排的宴请（工作餐除外）和娱乐活动；不得接受承包人提供的通讯工具、交通工具和高档办公用品等。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  发包人及其工作人员不得要求或者接受承包人为其住房装修、婚丧嫁娶活动、配偶子女的工作安排以及出国出境、旅游等提供方便等。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2.4  </w:t>
      </w:r>
      <w:r>
        <w:rPr>
          <w:rFonts w:hint="eastAsia" w:ascii="仿宋" w:hAnsi="仿宋" w:eastAsia="仿宋" w:cs="仿宋"/>
          <w:color w:val="auto"/>
          <w:highlight w:val="none"/>
          <w:lang w:val="zh-CN" w:eastAsia="zh-CN"/>
        </w:rPr>
        <w:t>发包人及其工作人员不得以任何理由向承包人推荐分包人、推销材料和工程设备，不得要求承包人购买合同以外的材料和工程设备</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2.5  </w:t>
      </w:r>
      <w:r>
        <w:rPr>
          <w:rFonts w:hint="eastAsia" w:ascii="仿宋" w:hAnsi="仿宋" w:eastAsia="仿宋" w:cs="仿宋"/>
          <w:color w:val="auto"/>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发包人及其工作人员（含其配偶、子女）不得从事与合同工程有关的材料和工程设备供应、工程分包、劳务等经济活动</w:t>
      </w:r>
      <w:r>
        <w:rPr>
          <w:rFonts w:hint="eastAsia" w:ascii="仿宋" w:hAnsi="仿宋" w:eastAsia="仿宋" w:cs="仿宋"/>
          <w:color w:val="auto"/>
          <w:highlight w:val="none"/>
          <w:lang w:eastAsia="zh-CN"/>
        </w:rPr>
        <w:t>。</w:t>
      </w:r>
    </w:p>
    <w:p>
      <w:pPr>
        <w:spacing w:line="360" w:lineRule="auto"/>
        <w:rPr>
          <w:rFonts w:ascii="仿宋" w:hAnsi="仿宋" w:eastAsia="仿宋"/>
          <w:b/>
          <w:bCs/>
          <w:color w:val="auto"/>
          <w:sz w:val="28"/>
          <w:szCs w:val="28"/>
          <w:highlight w:val="none"/>
          <w:lang w:eastAsia="zh-CN"/>
        </w:rPr>
      </w:pPr>
      <w:bookmarkStart w:id="950" w:name="_Toc14380"/>
      <w:r>
        <w:rPr>
          <w:rFonts w:hint="eastAsia" w:ascii="仿宋" w:hAnsi="仿宋" w:eastAsia="仿宋" w:cs="仿宋"/>
          <w:b/>
          <w:bCs/>
          <w:color w:val="auto"/>
          <w:sz w:val="28"/>
          <w:szCs w:val="28"/>
          <w:highlight w:val="none"/>
          <w:lang w:eastAsia="zh-CN"/>
        </w:rPr>
        <w:t>3  承包人义务</w:t>
      </w:r>
      <w:bookmarkEnd w:id="950"/>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3.1  承包人不得以任何理由向发包人及其工作人员行贿或馈赠礼金、有价证券、贵重礼品。</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承包人不得以任何名义为发包人及其工作人员报销应由发包人或工作人员个人支付的任何费用。</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承包人不得以任何理由安排发包人及其工作人员参加宴请（工作餐除外）及娱乐活动。</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承包人不得为发包人和个人购置或提供通讯工具、交通工具和高档办公用品等。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3.5  </w:t>
      </w:r>
      <w:r>
        <w:rPr>
          <w:rFonts w:hint="eastAsia" w:ascii="仿宋" w:hAnsi="仿宋" w:eastAsia="仿宋" w:cs="仿宋"/>
          <w:color w:val="auto"/>
          <w:highlight w:val="none"/>
          <w:lang w:val="zh-CN" w:eastAsia="zh-CN"/>
        </w:rPr>
        <w:t>承包人不得为发包人及其工作人员的住房装修、婚丧嫁娶活动、配偶子女工作安排以及出国出境、旅游等提供方便。</w:t>
      </w:r>
    </w:p>
    <w:p>
      <w:pPr>
        <w:spacing w:line="360" w:lineRule="auto"/>
        <w:rPr>
          <w:rFonts w:ascii="仿宋" w:hAnsi="仿宋" w:eastAsia="仿宋"/>
          <w:b/>
          <w:bCs/>
          <w:color w:val="auto"/>
          <w:sz w:val="28"/>
          <w:szCs w:val="28"/>
          <w:highlight w:val="none"/>
          <w:lang w:eastAsia="zh-CN"/>
        </w:rPr>
      </w:pPr>
      <w:bookmarkStart w:id="951" w:name="_Toc8886"/>
      <w:r>
        <w:rPr>
          <w:rFonts w:hint="eastAsia" w:ascii="仿宋" w:hAnsi="仿宋" w:eastAsia="仿宋" w:cs="仿宋"/>
          <w:b/>
          <w:bCs/>
          <w:color w:val="auto"/>
          <w:sz w:val="28"/>
          <w:szCs w:val="28"/>
          <w:highlight w:val="none"/>
          <w:lang w:eastAsia="zh-CN"/>
        </w:rPr>
        <w:t>4  违约责任</w:t>
      </w:r>
      <w:bookmarkEnd w:id="951"/>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4.1  发包人及其工作人员违反本合同第1条和第2条规定，应依据有关规定给予廉政建设规定的处分；涉嫌犯罪的，移交司法机关追究刑事责任；给承包人造成经济损失的，应予赔偿。</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4.2  </w:t>
      </w:r>
      <w:r>
        <w:rPr>
          <w:rFonts w:hint="eastAsia" w:ascii="仿宋" w:hAnsi="仿宋" w:eastAsia="仿宋" w:cs="仿宋"/>
          <w:color w:val="auto"/>
          <w:highlight w:val="none"/>
          <w:lang w:val="zh-CN" w:eastAsia="zh-CN"/>
        </w:rPr>
        <w:t>承包人及其工作人员违反本合同第</w:t>
      </w:r>
      <w:r>
        <w:rPr>
          <w:rFonts w:hint="eastAsia" w:ascii="仿宋" w:hAnsi="仿宋" w:eastAsia="仿宋" w:cs="仿宋"/>
          <w:color w:val="auto"/>
          <w:highlight w:val="none"/>
          <w:lang w:eastAsia="zh-CN"/>
        </w:rPr>
        <w:t xml:space="preserve"> 1 </w:t>
      </w:r>
      <w:r>
        <w:rPr>
          <w:rFonts w:hint="eastAsia" w:ascii="仿宋" w:hAnsi="仿宋" w:eastAsia="仿宋" w:cs="仿宋"/>
          <w:color w:val="auto"/>
          <w:highlight w:val="none"/>
          <w:lang w:val="zh-CN" w:eastAsia="zh-CN"/>
        </w:rPr>
        <w:t>条和第</w:t>
      </w:r>
      <w:r>
        <w:rPr>
          <w:rFonts w:hint="eastAsia" w:ascii="仿宋" w:hAnsi="仿宋" w:eastAsia="仿宋" w:cs="仿宋"/>
          <w:color w:val="auto"/>
          <w:highlight w:val="none"/>
          <w:lang w:eastAsia="zh-CN"/>
        </w:rPr>
        <w:t xml:space="preserve"> 3 </w:t>
      </w:r>
      <w:r>
        <w:rPr>
          <w:rFonts w:hint="eastAsia" w:ascii="仿宋" w:hAnsi="仿宋" w:eastAsia="仿宋" w:cs="仿宋"/>
          <w:color w:val="auto"/>
          <w:highlight w:val="none"/>
          <w:lang w:val="zh-CN" w:eastAsia="zh-CN"/>
        </w:rPr>
        <w:t>条规定，应按照廉政建设的有关规定给</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zh-CN" w:eastAsia="zh-CN"/>
        </w:rPr>
        <w:t>予处分；涉嫌犯罪的，移交司法机关追究刑事责任；给发包人造成损失的，应予赔偿。</w:t>
      </w:r>
    </w:p>
    <w:p>
      <w:pPr>
        <w:spacing w:line="360" w:lineRule="auto"/>
        <w:rPr>
          <w:rFonts w:ascii="仿宋" w:hAnsi="仿宋" w:eastAsia="仿宋"/>
          <w:b/>
          <w:bCs/>
          <w:color w:val="auto"/>
          <w:sz w:val="28"/>
          <w:szCs w:val="28"/>
          <w:highlight w:val="none"/>
          <w:lang w:eastAsia="zh-CN"/>
        </w:rPr>
      </w:pPr>
      <w:bookmarkStart w:id="952" w:name="_Toc20236"/>
      <w:r>
        <w:rPr>
          <w:rFonts w:hint="eastAsia" w:ascii="仿宋" w:hAnsi="仿宋" w:eastAsia="仿宋" w:cs="仿宋"/>
          <w:b/>
          <w:bCs/>
          <w:color w:val="auto"/>
          <w:sz w:val="28"/>
          <w:szCs w:val="28"/>
          <w:highlight w:val="none"/>
          <w:lang w:eastAsia="zh-CN"/>
        </w:rPr>
        <w:t>5  双方约定</w:t>
      </w:r>
      <w:bookmarkEnd w:id="952"/>
    </w:p>
    <w:p>
      <w:pPr>
        <w:pStyle w:val="18"/>
        <w:spacing w:line="360" w:lineRule="auto"/>
        <w:ind w:firstLine="480" w:firstLineChars="200"/>
        <w:rPr>
          <w:rFonts w:ascii="仿宋" w:hAnsi="仿宋" w:eastAsia="仿宋"/>
          <w:color w:val="auto"/>
          <w:sz w:val="24"/>
          <w:szCs w:val="24"/>
          <w:highlight w:val="none"/>
        </w:rPr>
      </w:pPr>
      <w:r>
        <w:rPr>
          <w:rFonts w:hint="eastAsia" w:ascii="仿宋" w:hAnsi="仿宋" w:eastAsia="仿宋" w:cs="仿宋"/>
          <w:color w:val="auto"/>
          <w:sz w:val="24"/>
          <w:szCs w:val="24"/>
          <w:highlight w:val="none"/>
        </w:rPr>
        <w:t>本合同由合同双方当事人或其主管部门负责监督执行。</w:t>
      </w:r>
    </w:p>
    <w:p>
      <w:pPr>
        <w:spacing w:line="360" w:lineRule="auto"/>
        <w:rPr>
          <w:rFonts w:ascii="仿宋" w:hAnsi="仿宋" w:eastAsia="仿宋"/>
          <w:b/>
          <w:bCs/>
          <w:color w:val="auto"/>
          <w:sz w:val="28"/>
          <w:szCs w:val="28"/>
          <w:highlight w:val="none"/>
          <w:lang w:eastAsia="zh-CN"/>
        </w:rPr>
      </w:pPr>
      <w:bookmarkStart w:id="953" w:name="_Toc18718"/>
      <w:r>
        <w:rPr>
          <w:rFonts w:hint="eastAsia" w:ascii="仿宋" w:hAnsi="仿宋" w:eastAsia="仿宋" w:cs="仿宋"/>
          <w:b/>
          <w:bCs/>
          <w:color w:val="auto"/>
          <w:sz w:val="28"/>
          <w:szCs w:val="28"/>
          <w:highlight w:val="none"/>
          <w:lang w:eastAsia="zh-CN"/>
        </w:rPr>
        <w:t>6  民法典律效力</w:t>
      </w:r>
      <w:bookmarkEnd w:id="953"/>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本合同作为</w:t>
      </w:r>
      <w:r>
        <w:rPr>
          <w:rFonts w:hint="eastAsia" w:ascii="仿宋" w:hAnsi="仿宋" w:eastAsia="仿宋" w:cs="仿宋"/>
          <w:b/>
          <w:color w:val="auto"/>
          <w:highlight w:val="none"/>
          <w:u w:val="single"/>
          <w:lang w:eastAsia="zh-CN"/>
        </w:rPr>
        <w:t>中山大学附属第一医院东院区改扩建</w:t>
      </w:r>
      <w:r>
        <w:rPr>
          <w:rFonts w:hint="eastAsia" w:ascii="仿宋" w:hAnsi="仿宋" w:eastAsia="仿宋" w:cs="仿宋"/>
          <w:color w:val="auto"/>
          <w:highlight w:val="none"/>
          <w:lang w:eastAsia="zh-CN"/>
        </w:rPr>
        <w:t>工程总承包合同的附件，与工程总承包合同具有同等的法律效力。</w:t>
      </w:r>
    </w:p>
    <w:p>
      <w:pPr>
        <w:spacing w:line="360" w:lineRule="auto"/>
        <w:rPr>
          <w:rFonts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 xml:space="preserve">7 合同份数 </w:t>
      </w:r>
    </w:p>
    <w:p>
      <w:pPr>
        <w:pStyle w:val="18"/>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u w:val="single"/>
          <w:lang w:val="en-US"/>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份，合同双方当事人各执</w:t>
      </w:r>
      <w:r>
        <w:rPr>
          <w:rFonts w:hint="eastAsia" w:ascii="仿宋" w:hAnsi="仿宋" w:eastAsia="仿宋" w:cs="仿宋"/>
          <w:color w:val="auto"/>
          <w:sz w:val="24"/>
          <w:szCs w:val="24"/>
          <w:highlight w:val="none"/>
          <w:u w:val="single"/>
          <w:lang w:val="en-US"/>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份。有上级部门的，合同双方当事人应送交其上级部门各一份。</w:t>
      </w:r>
    </w:p>
    <w:p>
      <w:pPr>
        <w:rPr>
          <w:color w:val="auto"/>
          <w:highlight w:val="none"/>
          <w:lang w:eastAsia="zh-CN"/>
        </w:rPr>
      </w:pP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发包人：（盖章）中山大学附属第一医院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承包人：（联合体牵头单位）：（盖章）</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统一社会信用代码：                     统一社会信用代码：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址： </w:t>
      </w:r>
    </w:p>
    <w:p>
      <w:pPr>
        <w:spacing w:line="360" w:lineRule="auto"/>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p>
    <w:p>
      <w:pPr>
        <w:spacing w:line="360" w:lineRule="auto"/>
        <w:rPr>
          <w:rFonts w:ascii="仿宋" w:hAnsi="仿宋" w:eastAsia="仿宋"/>
          <w:color w:val="auto"/>
          <w:sz w:val="22"/>
          <w:szCs w:val="22"/>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邮政编码：</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                                承包人：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（联合体成员一）：（盖章）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（联合体成员二）：（盖章）</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址：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                           法定代表人：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委托代理人：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话：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号：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pPr>
        <w:pStyle w:val="40"/>
        <w:ind w:firstLine="0"/>
        <w:rPr>
          <w:color w:val="auto"/>
          <w:highlight w:val="none"/>
        </w:rPr>
        <w:sectPr>
          <w:endnotePr>
            <w:numFmt w:val="decimal"/>
          </w:endnotePr>
          <w:pgSz w:w="11906" w:h="16838"/>
          <w:pgMar w:top="1361" w:right="1361" w:bottom="1361" w:left="1361" w:header="794" w:footer="850" w:gutter="0"/>
          <w:cols w:space="0" w:num="1"/>
        </w:sectPr>
      </w:pPr>
    </w:p>
    <w:p>
      <w:pPr>
        <w:spacing w:line="360" w:lineRule="auto"/>
        <w:outlineLvl w:val="0"/>
        <w:rPr>
          <w:rFonts w:ascii="仿宋" w:hAnsi="仿宋" w:eastAsia="仿宋"/>
          <w:b/>
          <w:bCs/>
          <w:color w:val="auto"/>
          <w:highlight w:val="none"/>
          <w:lang w:eastAsia="zh-CN"/>
        </w:rPr>
      </w:pPr>
      <w:bookmarkStart w:id="954" w:name="_Toc47694460"/>
      <w:bookmarkStart w:id="955" w:name="_Toc190"/>
      <w:bookmarkStart w:id="956" w:name="_Toc28801"/>
      <w:r>
        <w:rPr>
          <w:rFonts w:hint="eastAsia" w:ascii="仿宋" w:hAnsi="仿宋" w:eastAsia="仿宋" w:cs="仿宋"/>
          <w:b/>
          <w:bCs/>
          <w:color w:val="auto"/>
          <w:highlight w:val="none"/>
          <w:lang w:eastAsia="zh-CN"/>
        </w:rPr>
        <w:t>附件五</w:t>
      </w:r>
      <w:bookmarkEnd w:id="954"/>
      <w:bookmarkEnd w:id="955"/>
      <w:bookmarkEnd w:id="956"/>
    </w:p>
    <w:p>
      <w:pPr>
        <w:spacing w:line="360" w:lineRule="auto"/>
        <w:jc w:val="center"/>
        <w:rPr>
          <w:rFonts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安全生产合同</w:t>
      </w:r>
    </w:p>
    <w:p>
      <w:pPr>
        <w:rPr>
          <w:rFonts w:ascii="仿宋" w:hAnsi="仿宋" w:eastAsia="仿宋" w:cs="仿宋"/>
          <w:color w:val="auto"/>
          <w:highlight w:val="none"/>
          <w:lang w:eastAsia="zh-CN"/>
        </w:rPr>
      </w:pP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hint="eastAsia" w:ascii="仿宋" w:hAnsi="仿宋" w:eastAsia="仿宋" w:cs="仿宋"/>
          <w:color w:val="auto"/>
          <w:highlight w:val="none"/>
          <w:u w:val="single"/>
          <w:lang w:eastAsia="zh-CN"/>
        </w:rPr>
        <w:t>中山大学附属第一医院</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(联合体主办方单位全称)：</w:t>
      </w:r>
    </w:p>
    <w:p>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(联合体成员一全称)：</w:t>
      </w:r>
    </w:p>
    <w:p>
      <w:pPr>
        <w:pStyle w:val="40"/>
        <w:ind w:firstLine="0"/>
        <w:rPr>
          <w:rFonts w:ascii="仿宋" w:hAnsi="仿宋" w:eastAsia="仿宋" w:cs="仿宋"/>
          <w:color w:val="auto"/>
          <w:highlight w:val="none"/>
          <w:u w:val="single"/>
          <w:lang w:val="en-US" w:bidi="en-US"/>
        </w:rPr>
      </w:pPr>
      <w:r>
        <w:rPr>
          <w:rFonts w:hint="eastAsia" w:ascii="仿宋" w:hAnsi="仿宋" w:eastAsia="仿宋" w:cs="仿宋"/>
          <w:color w:val="auto"/>
          <w:highlight w:val="none"/>
          <w:u w:val="single"/>
          <w:lang w:val="en-US" w:bidi="en-US"/>
        </w:rPr>
        <w:t>(联合体成员二全称)：</w:t>
      </w:r>
    </w:p>
    <w:p>
      <w:pPr>
        <w:rPr>
          <w:rFonts w:ascii="仿宋" w:hAnsi="仿宋" w:eastAsia="仿宋" w:cs="仿宋"/>
          <w:color w:val="auto"/>
          <w:highlight w:val="none"/>
          <w:lang w:eastAsia="zh-CN"/>
        </w:rPr>
      </w:pP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为保证</w:t>
      </w:r>
      <w:r>
        <w:rPr>
          <w:rFonts w:hint="eastAsia" w:ascii="仿宋" w:hAnsi="仿宋" w:eastAsia="仿宋" w:cs="仿宋"/>
          <w:b/>
          <w:color w:val="auto"/>
          <w:highlight w:val="none"/>
          <w:u w:val="single"/>
          <w:lang w:eastAsia="zh-CN"/>
        </w:rPr>
        <w:t>中山大学附属第一医院东院区改扩建工程</w:t>
      </w:r>
      <w:r>
        <w:rPr>
          <w:rFonts w:hint="eastAsia" w:ascii="仿宋" w:hAnsi="仿宋" w:eastAsia="仿宋" w:cs="仿宋"/>
          <w:color w:val="auto"/>
          <w:highlight w:val="none"/>
          <w:lang w:eastAsia="zh-CN"/>
        </w:rPr>
        <w:t>（工程名称）合同的实施过程中创造安全、高效的施工环境，切实搞好本项目的安全管理工作，合同双方特此签订安全生产合同：</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 发包人职责</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 严格遵守国家有关安全生产的法律法规，认真执行工程承包合同中的有关安全要求。</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 按照“安全第一、预防为主”和坚持“管生产必须管安全”的原则进行安全生产管理，做到生产和安全工作同时计划、布置、检查、总结和评比。</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 重要的安全设施必须坚持与主体工程“三同时”的原则，即：同时设计、审批；同时施工；同时验收，投入使用。</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 定期召开安全生产调度会，及时转达中央及地方有关安全生产的精神。</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 组织对承包人施工现场安全生产检查，监督承包人及时处理发现的各种安全隐患。</w:t>
      </w:r>
    </w:p>
    <w:p>
      <w:pPr>
        <w:spacing w:line="360" w:lineRule="auto"/>
        <w:ind w:firstLine="480" w:firstLineChars="200"/>
        <w:rPr>
          <w:rFonts w:ascii="仿宋" w:hAnsi="仿宋" w:eastAsia="仿宋" w:cs="仿宋"/>
          <w:color w:val="auto"/>
          <w:highlight w:val="none"/>
          <w:lang w:eastAsia="zh-CN"/>
        </w:rPr>
      </w:pP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 承包人职责</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 严格遵守国家有关安全生产的法律法规，认真执行工程承包合同中的有关安全要求。</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 坚持“安全第一、预防为主”和 “管生产必须管安全”的原则，加强安全生产宣传教育，增强全员安全生产意识，建立健全各项安全生产的管理规则和安全生产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 建立健全安全生产责任制，从派住项目实施的项目经理到生产工人（包括临时雇请的民工）的安全生产管理系统必须做到纵向到底，一环不漏；各职能部门、人员的安全生产责任制做到横向到位，人人有责，项目经理是安全生产的第一责任人。现场设置的安全机构：应按施工人员的1%-3%配备安全员，专职负责所有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 承包人在任何时候都应采取各种合理的预防措施，防止其员工发生各种违法、违禁、暴力或妨碍治安的行为。</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 承包人必须具有劳动安全管理部门颁发的安全生产证书，参加施工的人员，必须接受安全技术教育，熟知和遵守本工种的各项安全技术操作规程，定期进行安全技术考核，合格后方准上岗操作。对于从事电气、起重、建筑登高架设作业、锅炉、压力容器、焊接、机动车船艇驾驶、爆破、潜水、瓦斯检验等特殊工种的人员、经过专业培训，获得《安全操作合格证》后，方准持证上岗。施工现场如出现特种行业无证操作现象时，承包人应当承担一切不利后果。（6） 对于易燃易爆的材料除应专门妥善保管之外，还应配备足够的消防设施，所有施工人员都应熟悉消防设备的性能和使用方法；承包人不能将任何种类的爆炸物给予、易货以其他方式转让给任何其他人，或允许、容忍上述同样行为。</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 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 所有施工机具设备和高空作业的设备均应定期检查，并有安全员的签名记录，保证其经常处于完好状态，不合格的机具、设备和劳动保护用品严禁使用。</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 施工中采用新技术、新工艺、新设备、新材料，必须制定相应的安全技术措施，施工现场必须具有相关的安全标志牌。</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（10） 承包人必须按照本工程项目特点，组织制定本工程实施中的生产安全事故应急求援预案；如果发生安全事故，即按照《国务院关于特大安全事故行政责任追究的规定》以及其它有关规定，及上报有关部门，并坚持“三不放过”的原则，严格处理相关责任人。</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（11） 按医院要求做到场地布置统一规范和有序管理，材料分类存放整齐，安全生产标识正确醒目，工程围闭措施安全到位，做好临时封闭院内通道的安全告示及路线指引措施，提醒和引导行人绕道。</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（12） 采取有效措施保护医院各类基础设施及施工现场安全，确保医院给排水、电、气、消防、排污等管道的完整、通畅和设施安全。负责因施工或管理不善造成医院相关设施不能正常使用的整改和修复工作，并承担由此发生的全部费用（包括同意承担医院因承包人整改、修复不力而另请第三方进行整改和修复的所有费用）。</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（13） 配合医院做好环境保护、卫生管理和社会治安综合治理工作，严格按国家及医院有关规定，在施工过程中做好控制扬尘、噪音、排污、保持水土、保护环境与绿化等安全防范措施，及时清运余泥垃圾（建筑垃圾存放不超过24小时，其他垃圾随时清理），保持工地卫生整洁、维护良好的院容院貌；确保施工区域及生活区域（如有）相对独立，定期（每月不少于1次）做好文明施工检查并及时记录，归档存查；严禁打架、聚赌、斗殴、酗酒滋事以及嫖娼等违纪、违法、违禁、暴力或妨碍治安行为在所辖区域内发生。</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（14） 涉及医院消防、信息网络、通讯等系统迁移、对接的，承包人将配备懂得相关专业、技术的专门人员负责有关设备、设施的截流、维护与相关作业指导，确保系统安全与施工后的正常使用。</w:t>
      </w:r>
    </w:p>
    <w:p>
      <w:pPr>
        <w:spacing w:line="360" w:lineRule="auto"/>
        <w:ind w:firstLine="480" w:firstLineChars="200"/>
        <w:rPr>
          <w:rFonts w:ascii="仿宋" w:hAnsi="仿宋" w:eastAsia="仿宋" w:cs="仿宋"/>
          <w:color w:val="auto"/>
          <w:highlight w:val="none"/>
          <w:lang w:eastAsia="zh-CN"/>
        </w:rPr>
      </w:pP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 违约责任</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如因承包人违约造成安全事故，发包人将依法追究其所有责任。</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本合同自双方法定代表人或其代理人签署加盖公章后生效，全部工程竣工验收后失效。</w:t>
      </w:r>
    </w:p>
    <w:p>
      <w:pPr>
        <w:spacing w:line="360" w:lineRule="auto"/>
        <w:ind w:firstLine="480" w:firstLineChars="200"/>
        <w:rPr>
          <w:rFonts w:ascii="仿宋" w:hAnsi="仿宋" w:eastAsia="仿宋" w:cs="仿宋"/>
          <w:color w:val="auto"/>
          <w:highlight w:val="none"/>
          <w:lang w:eastAsia="zh-CN"/>
        </w:rPr>
      </w:pPr>
    </w:p>
    <w:p>
      <w:pPr>
        <w:spacing w:line="360" w:lineRule="auto"/>
        <w:ind w:firstLine="480" w:firstLineChars="200"/>
        <w:rPr>
          <w:rFonts w:ascii="仿宋" w:hAnsi="仿宋" w:eastAsia="仿宋" w:cs="仿宋"/>
          <w:color w:val="auto"/>
          <w:highlight w:val="none"/>
          <w:lang w:eastAsia="zh-CN"/>
        </w:rPr>
      </w:pPr>
    </w:p>
    <w:p>
      <w:pPr>
        <w:spacing w:line="360" w:lineRule="auto"/>
        <w:ind w:left="240" w:hanging="240" w:hanging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发包人：中山大学附属第一医院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w:t>
      </w:r>
    </w:p>
    <w:p>
      <w:pPr>
        <w:spacing w:line="360" w:lineRule="auto"/>
        <w:ind w:left="240" w:hanging="240" w:hanging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（联合体主办方单位）：（盖章）</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pPr>
        <w:spacing w:line="360" w:lineRule="auto"/>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p>
    <w:p>
      <w:pPr>
        <w:spacing w:line="360" w:lineRule="auto"/>
        <w:rPr>
          <w:rFonts w:ascii="仿宋" w:hAnsi="仿宋" w:eastAsia="仿宋"/>
          <w:color w:val="auto"/>
          <w:sz w:val="22"/>
          <w:szCs w:val="22"/>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邮政编码：</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                                 承包人：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（联合体成员一）：（盖章）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（联合体成员二）：（盖章）</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址：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                             法定代表人：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委托代理人：</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话：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号：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pPr>
        <w:rPr>
          <w:rFonts w:ascii="仿宋" w:hAnsi="仿宋" w:eastAsia="仿宋" w:cs="仿宋"/>
          <w:strike/>
          <w:color w:val="auto"/>
          <w:highlight w:val="none"/>
          <w:lang w:eastAsia="zh-CN"/>
        </w:rPr>
      </w:pPr>
    </w:p>
    <w:p>
      <w:pPr>
        <w:rPr>
          <w:rFonts w:ascii="仿宋" w:hAnsi="仿宋" w:eastAsia="仿宋" w:cs="仿宋"/>
          <w:color w:val="auto"/>
          <w:highlight w:val="none"/>
          <w:lang w:eastAsia="zh-CN"/>
        </w:rPr>
        <w:sectPr>
          <w:footerReference r:id="rId11" w:type="default"/>
          <w:endnotePr>
            <w:numFmt w:val="decimal"/>
          </w:endnotePr>
          <w:pgSz w:w="11906" w:h="16838"/>
          <w:pgMar w:top="1361" w:right="1361" w:bottom="1361" w:left="1361" w:header="794" w:footer="850" w:gutter="0"/>
          <w:cols w:space="0" w:num="1"/>
        </w:sectPr>
      </w:pPr>
    </w:p>
    <w:p>
      <w:pPr>
        <w:spacing w:line="360" w:lineRule="auto"/>
        <w:outlineLvl w:val="0"/>
        <w:rPr>
          <w:rFonts w:ascii="仿宋" w:hAnsi="仿宋" w:eastAsia="仿宋"/>
          <w:b/>
          <w:bCs/>
          <w:color w:val="auto"/>
          <w:highlight w:val="none"/>
          <w:lang w:eastAsia="zh-CN"/>
        </w:rPr>
      </w:pPr>
      <w:bookmarkStart w:id="957" w:name="_Toc4944"/>
      <w:bookmarkStart w:id="958" w:name="_Toc10510"/>
      <w:bookmarkStart w:id="959" w:name="_Toc47694461"/>
      <w:r>
        <w:rPr>
          <w:rFonts w:hint="eastAsia" w:ascii="仿宋" w:hAnsi="仿宋" w:eastAsia="仿宋" w:cs="仿宋"/>
          <w:b/>
          <w:bCs/>
          <w:color w:val="auto"/>
          <w:highlight w:val="none"/>
          <w:lang w:eastAsia="zh-CN"/>
        </w:rPr>
        <w:t>附件六</w:t>
      </w:r>
      <w:bookmarkEnd w:id="957"/>
    </w:p>
    <w:p>
      <w:pPr>
        <w:spacing w:line="360" w:lineRule="auto"/>
        <w:jc w:val="center"/>
        <w:rPr>
          <w:rFonts w:ascii="仿宋" w:hAnsi="仿宋" w:eastAsia="仿宋" w:cs="仿宋"/>
          <w:b/>
          <w:bCs/>
          <w:color w:val="auto"/>
          <w:sz w:val="36"/>
          <w:szCs w:val="36"/>
          <w:highlight w:val="none"/>
          <w:lang w:eastAsia="zh-CN"/>
        </w:rPr>
      </w:pPr>
    </w:p>
    <w:p>
      <w:pPr>
        <w:spacing w:line="360" w:lineRule="auto"/>
        <w:jc w:val="center"/>
        <w:rPr>
          <w:rFonts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项目基础资料</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1.项目基础资料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1.1 工程可行性研究报告（含投资估算）；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1.2 初步设计文件（含概算）（若有）；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1.3 项目初步勘察资料（若有）； </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1.4 其他。</w:t>
      </w:r>
    </w:p>
    <w:p>
      <w:pPr>
        <w:spacing w:line="360" w:lineRule="auto"/>
        <w:jc w:val="center"/>
        <w:rPr>
          <w:rFonts w:ascii="仿宋" w:hAnsi="仿宋" w:eastAsia="仿宋" w:cs="仿宋"/>
          <w:b/>
          <w:bCs/>
          <w:strike/>
          <w:color w:val="auto"/>
          <w:sz w:val="36"/>
          <w:szCs w:val="36"/>
          <w:highlight w:val="none"/>
          <w:lang w:eastAsia="zh-CN"/>
        </w:rPr>
      </w:pPr>
    </w:p>
    <w:p>
      <w:pPr>
        <w:rPr>
          <w:color w:val="auto"/>
          <w:highlight w:val="none"/>
          <w:lang w:eastAsia="zh-CN"/>
        </w:rPr>
      </w:pPr>
      <w:r>
        <w:rPr>
          <w:rFonts w:hint="eastAsia"/>
          <w:color w:val="auto"/>
          <w:highlight w:val="none"/>
          <w:lang w:eastAsia="zh-CN"/>
        </w:rPr>
        <w:br w:type="page"/>
      </w:r>
    </w:p>
    <w:p>
      <w:pPr>
        <w:spacing w:line="360" w:lineRule="auto"/>
        <w:outlineLvl w:val="0"/>
        <w:rPr>
          <w:rFonts w:ascii="仿宋" w:hAnsi="仿宋" w:eastAsia="仿宋" w:cs="仿宋"/>
          <w:b/>
          <w:bCs/>
          <w:color w:val="auto"/>
          <w:highlight w:val="none"/>
          <w:lang w:eastAsia="zh-CN"/>
        </w:rPr>
      </w:pPr>
      <w:bookmarkStart w:id="960" w:name="_Toc13437"/>
      <w:r>
        <w:rPr>
          <w:rFonts w:hint="eastAsia" w:ascii="仿宋" w:hAnsi="仿宋" w:eastAsia="仿宋" w:cs="仿宋"/>
          <w:b/>
          <w:bCs/>
          <w:color w:val="auto"/>
          <w:highlight w:val="none"/>
          <w:lang w:eastAsia="zh-CN"/>
        </w:rPr>
        <w:t>附件</w:t>
      </w:r>
      <w:bookmarkEnd w:id="958"/>
      <w:bookmarkEnd w:id="959"/>
      <w:r>
        <w:rPr>
          <w:rFonts w:hint="eastAsia" w:ascii="仿宋" w:hAnsi="仿宋" w:eastAsia="仿宋" w:cs="仿宋"/>
          <w:b/>
          <w:bCs/>
          <w:color w:val="auto"/>
          <w:highlight w:val="none"/>
          <w:lang w:eastAsia="zh-CN"/>
        </w:rPr>
        <w:t>七</w:t>
      </w:r>
      <w:bookmarkEnd w:id="960"/>
    </w:p>
    <w:p>
      <w:pPr>
        <w:spacing w:line="360" w:lineRule="auto"/>
        <w:ind w:firstLine="542" w:firstLineChars="150"/>
        <w:jc w:val="center"/>
        <w:rPr>
          <w:rFonts w:ascii="仿宋" w:hAnsi="仿宋" w:eastAsia="仿宋"/>
          <w:b/>
          <w:color w:val="auto"/>
          <w:sz w:val="36"/>
          <w:szCs w:val="36"/>
          <w:highlight w:val="none"/>
          <w:lang w:eastAsia="zh-CN"/>
        </w:rPr>
      </w:pPr>
      <w:r>
        <w:rPr>
          <w:rFonts w:hint="eastAsia" w:ascii="仿宋" w:hAnsi="仿宋" w:eastAsia="仿宋"/>
          <w:b/>
          <w:color w:val="auto"/>
          <w:sz w:val="36"/>
          <w:szCs w:val="36"/>
          <w:highlight w:val="none"/>
          <w:lang w:eastAsia="zh-CN"/>
        </w:rPr>
        <w:t>发包人要求</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《发包人要求》通常包括但不限于以下内容：</w:t>
      </w:r>
    </w:p>
    <w:p>
      <w:pPr>
        <w:spacing w:before="120" w:beforeLines="50" w:after="120" w:afterLines="50" w:line="360" w:lineRule="auto"/>
        <w:ind w:firstLine="482" w:firstLineChars="200"/>
        <w:rPr>
          <w:rFonts w:ascii="仿宋" w:hAnsi="仿宋" w:eastAsia="仿宋"/>
          <w:b/>
          <w:color w:val="auto"/>
          <w:highlight w:val="none"/>
          <w:lang w:eastAsia="zh-CN"/>
        </w:rPr>
      </w:pPr>
      <w:r>
        <w:rPr>
          <w:rFonts w:hint="eastAsia" w:ascii="仿宋" w:hAnsi="仿宋" w:eastAsia="仿宋"/>
          <w:b/>
          <w:color w:val="auto"/>
          <w:highlight w:val="none"/>
          <w:lang w:eastAsia="zh-CN"/>
        </w:rPr>
        <w:t>一、功能要求</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（一）工程的目的。</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（二）工程规模。</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（三）性能保证指标（性能保证表）。</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（四）产能保证指标。</w:t>
      </w:r>
    </w:p>
    <w:p>
      <w:pPr>
        <w:spacing w:before="120" w:beforeLines="50" w:after="120" w:afterLines="50" w:line="360" w:lineRule="auto"/>
        <w:ind w:firstLine="482" w:firstLineChars="200"/>
        <w:rPr>
          <w:rFonts w:ascii="仿宋" w:hAnsi="仿宋" w:eastAsia="仿宋"/>
          <w:b/>
          <w:color w:val="auto"/>
          <w:highlight w:val="none"/>
          <w:lang w:eastAsia="zh-CN"/>
        </w:rPr>
      </w:pPr>
      <w:r>
        <w:rPr>
          <w:rFonts w:hint="eastAsia" w:ascii="仿宋" w:hAnsi="仿宋" w:eastAsia="仿宋"/>
          <w:b/>
          <w:color w:val="auto"/>
          <w:highlight w:val="none"/>
          <w:lang w:eastAsia="zh-CN"/>
        </w:rPr>
        <w:t>二、工程范围</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（一）概述</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（二）包括的工作</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1.永久工程的设计、采购、施工范围。</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2.临时工程的设计与施工范围。</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3.竣工验收工作范围。</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4.技术服务工作范围。</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5.培训工作范围。</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6.保修工作范围。</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（三）工作界区</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（四）发包人提供的现场条件</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1.施工用电。</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2.施工用水。</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3.施工排水。</w:t>
      </w:r>
      <w:r>
        <w:rPr>
          <w:rFonts w:hint="eastAsia" w:ascii="仿宋" w:hAnsi="仿宋" w:eastAsia="仿宋"/>
          <w:color w:val="auto"/>
          <w:highlight w:val="none"/>
          <w:lang w:eastAsia="zh-CN"/>
        </w:rPr>
        <w:tab/>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（五）发包人提供的技术文件</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除另有批准外，承包人的工作需要遵照发包人的下列技术文件:</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1.发包人需求任务书。</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2.发包人已完成的设计文件。</w:t>
      </w:r>
    </w:p>
    <w:p>
      <w:pPr>
        <w:spacing w:before="120" w:beforeLines="50" w:after="120" w:afterLines="50" w:line="360" w:lineRule="auto"/>
        <w:ind w:firstLine="482" w:firstLineChars="200"/>
        <w:rPr>
          <w:rFonts w:ascii="仿宋" w:hAnsi="仿宋" w:eastAsia="仿宋"/>
          <w:b/>
          <w:color w:val="auto"/>
          <w:highlight w:val="none"/>
          <w:lang w:eastAsia="zh-CN"/>
        </w:rPr>
      </w:pPr>
      <w:r>
        <w:rPr>
          <w:rFonts w:hint="eastAsia" w:ascii="仿宋" w:hAnsi="仿宋" w:eastAsia="仿宋"/>
          <w:b/>
          <w:color w:val="auto"/>
          <w:highlight w:val="none"/>
          <w:lang w:eastAsia="zh-CN"/>
        </w:rPr>
        <w:t>三、工艺安排或要求（如有）</w:t>
      </w:r>
    </w:p>
    <w:p>
      <w:pPr>
        <w:spacing w:before="120" w:beforeLines="50" w:after="120" w:afterLines="50" w:line="360" w:lineRule="auto"/>
        <w:ind w:firstLine="482" w:firstLineChars="200"/>
        <w:rPr>
          <w:rFonts w:ascii="仿宋" w:hAnsi="仿宋" w:eastAsia="仿宋"/>
          <w:b/>
          <w:color w:val="auto"/>
          <w:highlight w:val="none"/>
          <w:lang w:eastAsia="zh-CN"/>
        </w:rPr>
      </w:pPr>
      <w:r>
        <w:rPr>
          <w:rFonts w:hint="eastAsia" w:ascii="仿宋" w:hAnsi="仿宋" w:eastAsia="仿宋"/>
          <w:b/>
          <w:color w:val="auto"/>
          <w:highlight w:val="none"/>
          <w:lang w:eastAsia="zh-CN"/>
        </w:rPr>
        <w:t>四、时间要求</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（一）开始工作时间。</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（二）设计完成时间。</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（三）进度计划。</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（四）竣工时间。</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（五）缺陷责任期。</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（六）其他时间要求。</w:t>
      </w:r>
    </w:p>
    <w:p>
      <w:pPr>
        <w:spacing w:before="120" w:beforeLines="50" w:after="120" w:afterLines="50" w:line="360" w:lineRule="auto"/>
        <w:ind w:firstLine="482" w:firstLineChars="200"/>
        <w:rPr>
          <w:rFonts w:ascii="仿宋" w:hAnsi="仿宋" w:eastAsia="仿宋"/>
          <w:b/>
          <w:color w:val="auto"/>
          <w:highlight w:val="none"/>
          <w:lang w:eastAsia="zh-CN"/>
        </w:rPr>
      </w:pPr>
      <w:r>
        <w:rPr>
          <w:rFonts w:hint="eastAsia" w:ascii="仿宋" w:hAnsi="仿宋" w:eastAsia="仿宋"/>
          <w:b/>
          <w:color w:val="auto"/>
          <w:highlight w:val="none"/>
          <w:lang w:eastAsia="zh-CN"/>
        </w:rPr>
        <w:t>五、技术要求</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（一）设计阶段和设计任务。</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（二）设计标准和规范。</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（三）技术标准和要求。</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（四）质量标准。</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（五）设计、施工和设备监造、试验（如有）。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（六）样品。</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（七）发包人提供的其他条件，如发包人或其委托的第三人提供的设计、工艺包、用于试验检验的工器具等，以及据此对承包人提出的予以配套的要求。</w:t>
      </w:r>
    </w:p>
    <w:p>
      <w:pPr>
        <w:spacing w:before="120" w:beforeLines="50" w:after="120" w:afterLines="50" w:line="360" w:lineRule="auto"/>
        <w:ind w:firstLine="482" w:firstLineChars="200"/>
        <w:rPr>
          <w:rFonts w:ascii="仿宋" w:hAnsi="仿宋" w:eastAsia="仿宋"/>
          <w:b/>
          <w:color w:val="auto"/>
          <w:highlight w:val="none"/>
          <w:lang w:eastAsia="zh-CN"/>
        </w:rPr>
      </w:pPr>
      <w:r>
        <w:rPr>
          <w:rFonts w:hint="eastAsia" w:ascii="仿宋" w:hAnsi="仿宋" w:eastAsia="仿宋"/>
          <w:b/>
          <w:color w:val="auto"/>
          <w:highlight w:val="none"/>
          <w:lang w:eastAsia="zh-CN"/>
        </w:rPr>
        <w:t>六、竣工试验</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（一）第一阶段，如对单车试验等的要求，包括试验前准备。</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（二）第二阶段，如对联动试车、投料试车等的要求，包括人员、设备、材料、燃料、电力、消耗品、工具等必要条件。</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（三）第三阶段，如对性能测试及其他竣工试验的要求，包括产能指标、产品质量标准、运营指标、环保指标等。</w:t>
      </w:r>
    </w:p>
    <w:p>
      <w:pPr>
        <w:spacing w:before="120" w:beforeLines="50" w:after="120" w:afterLines="50" w:line="360" w:lineRule="auto"/>
        <w:ind w:firstLine="482" w:firstLineChars="200"/>
        <w:rPr>
          <w:rFonts w:ascii="仿宋" w:hAnsi="仿宋" w:eastAsia="仿宋"/>
          <w:b/>
          <w:color w:val="auto"/>
          <w:highlight w:val="none"/>
          <w:lang w:eastAsia="zh-CN"/>
        </w:rPr>
      </w:pPr>
      <w:r>
        <w:rPr>
          <w:rFonts w:hint="eastAsia" w:ascii="仿宋" w:hAnsi="仿宋" w:eastAsia="仿宋"/>
          <w:b/>
          <w:color w:val="auto"/>
          <w:highlight w:val="none"/>
          <w:lang w:eastAsia="zh-CN"/>
        </w:rPr>
        <w:t>七、竣工验收</w:t>
      </w:r>
    </w:p>
    <w:p>
      <w:pPr>
        <w:spacing w:before="120" w:beforeLines="50" w:after="120" w:afterLines="50" w:line="360" w:lineRule="auto"/>
        <w:ind w:firstLine="482" w:firstLineChars="200"/>
        <w:rPr>
          <w:rFonts w:ascii="仿宋" w:hAnsi="仿宋" w:eastAsia="仿宋"/>
          <w:b/>
          <w:color w:val="auto"/>
          <w:highlight w:val="none"/>
          <w:lang w:eastAsia="zh-CN"/>
        </w:rPr>
      </w:pPr>
      <w:r>
        <w:rPr>
          <w:rFonts w:hint="eastAsia" w:ascii="仿宋" w:hAnsi="仿宋" w:eastAsia="仿宋"/>
          <w:b/>
          <w:color w:val="auto"/>
          <w:highlight w:val="none"/>
          <w:lang w:eastAsia="zh-CN"/>
        </w:rPr>
        <w:t>八、竣工后试验（如有）</w:t>
      </w:r>
    </w:p>
    <w:p>
      <w:pPr>
        <w:spacing w:before="120" w:beforeLines="50" w:after="120" w:afterLines="50" w:line="360" w:lineRule="auto"/>
        <w:ind w:firstLine="482" w:firstLineChars="200"/>
        <w:rPr>
          <w:rFonts w:ascii="仿宋" w:hAnsi="仿宋" w:eastAsia="仿宋"/>
          <w:b/>
          <w:color w:val="auto"/>
          <w:highlight w:val="none"/>
          <w:lang w:eastAsia="zh-CN"/>
        </w:rPr>
      </w:pPr>
      <w:r>
        <w:rPr>
          <w:rFonts w:hint="eastAsia" w:ascii="仿宋" w:hAnsi="仿宋" w:eastAsia="仿宋"/>
          <w:b/>
          <w:color w:val="auto"/>
          <w:highlight w:val="none"/>
          <w:lang w:eastAsia="zh-CN"/>
        </w:rPr>
        <w:t>九、文件要求</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（一）设计文件，及其相关审批、核准、备案要求。</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（二）沟通计划。</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（三）风险管理计划。</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（四）竣工文件和工程的其他记录。</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（五）操作和维修手册。</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（六）其他承包人文件。</w:t>
      </w:r>
    </w:p>
    <w:p>
      <w:pPr>
        <w:spacing w:before="120" w:beforeLines="50" w:after="120" w:afterLines="50" w:line="360" w:lineRule="auto"/>
        <w:ind w:firstLine="482" w:firstLineChars="200"/>
        <w:rPr>
          <w:rFonts w:ascii="仿宋" w:hAnsi="仿宋" w:eastAsia="仿宋"/>
          <w:b/>
          <w:color w:val="auto"/>
          <w:highlight w:val="none"/>
          <w:lang w:eastAsia="zh-CN"/>
        </w:rPr>
      </w:pPr>
      <w:r>
        <w:rPr>
          <w:rFonts w:hint="eastAsia" w:ascii="仿宋" w:hAnsi="仿宋" w:eastAsia="仿宋"/>
          <w:b/>
          <w:color w:val="auto"/>
          <w:highlight w:val="none"/>
          <w:lang w:eastAsia="zh-CN"/>
        </w:rPr>
        <w:t>十、工程项目管理规定</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（一）质量。</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（二）进度，包括里程碑进度计划（如果有）。</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（三）支付。</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（四）HSE（健康、安全与环境管理体系）。</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（五）沟通。</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（六）变更。</w:t>
      </w:r>
    </w:p>
    <w:p>
      <w:pPr>
        <w:spacing w:before="120" w:beforeLines="50" w:after="120" w:afterLines="50" w:line="360" w:lineRule="auto"/>
        <w:ind w:firstLine="482" w:firstLineChars="200"/>
        <w:rPr>
          <w:rFonts w:ascii="仿宋" w:hAnsi="仿宋" w:eastAsia="仿宋"/>
          <w:b/>
          <w:color w:val="auto"/>
          <w:highlight w:val="none"/>
          <w:lang w:eastAsia="zh-CN"/>
        </w:rPr>
      </w:pPr>
      <w:r>
        <w:rPr>
          <w:rFonts w:hint="eastAsia" w:ascii="仿宋" w:hAnsi="仿宋" w:eastAsia="仿宋"/>
          <w:b/>
          <w:color w:val="auto"/>
          <w:highlight w:val="none"/>
          <w:lang w:eastAsia="zh-CN"/>
        </w:rPr>
        <w:t>十一、其他要求</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（一）对承包人的主要人员资格要求。</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（二）相关审批、核准和备案手续的办理。</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（三）对项目业主人员的操作培训。</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（四）分包。</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（五）设备供应商。</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（六）缺陷责任期的服务要求。</w:t>
      </w:r>
    </w:p>
    <w:p>
      <w:pPr>
        <w:spacing w:line="360" w:lineRule="auto"/>
        <w:ind w:firstLine="360" w:firstLineChars="150"/>
        <w:rPr>
          <w:rFonts w:ascii="仿宋" w:hAnsi="仿宋" w:eastAsia="仿宋"/>
          <w:color w:val="auto"/>
          <w:highlight w:val="none"/>
          <w:lang w:eastAsia="zh-CN"/>
        </w:rPr>
      </w:pPr>
    </w:p>
    <w:p>
      <w:pPr>
        <w:rPr>
          <w:rFonts w:ascii="仿宋" w:hAnsi="仿宋" w:eastAsia="仿宋" w:cs="仿宋"/>
          <w:color w:val="auto"/>
          <w:highlight w:val="none"/>
          <w:lang w:eastAsia="zh-CN"/>
        </w:rPr>
      </w:pPr>
    </w:p>
    <w:p>
      <w:pPr>
        <w:spacing w:before="240" w:beforeLines="100" w:after="240" w:afterLines="100" w:line="360" w:lineRule="auto"/>
        <w:rPr>
          <w:rFonts w:ascii="仿宋" w:hAnsi="仿宋" w:eastAsia="仿宋" w:cs="仿宋"/>
          <w:color w:val="auto"/>
          <w:highlight w:val="none"/>
          <w:lang w:eastAsia="zh-CN"/>
        </w:rPr>
        <w:sectPr>
          <w:endnotePr>
            <w:numFmt w:val="decimal"/>
          </w:endnotePr>
          <w:pgSz w:w="11906" w:h="16838"/>
          <w:pgMar w:top="1361" w:right="1361" w:bottom="1361" w:left="1361" w:header="794" w:footer="850" w:gutter="0"/>
          <w:cols w:space="0" w:num="1"/>
        </w:sectPr>
      </w:pPr>
    </w:p>
    <w:p>
      <w:pPr>
        <w:spacing w:before="240" w:beforeLines="100" w:after="240" w:afterLines="100" w:line="360" w:lineRule="auto"/>
        <w:outlineLvl w:val="0"/>
        <w:rPr>
          <w:rFonts w:ascii="仿宋" w:hAnsi="仿宋" w:eastAsia="仿宋" w:cs="仿宋"/>
          <w:b/>
          <w:bCs/>
          <w:color w:val="auto"/>
          <w:highlight w:val="none"/>
          <w:lang w:eastAsia="zh-CN"/>
        </w:rPr>
      </w:pPr>
      <w:bookmarkStart w:id="961" w:name="_Toc8910"/>
      <w:bookmarkStart w:id="962" w:name="_Toc47694462"/>
      <w:bookmarkStart w:id="963" w:name="_Toc28791"/>
      <w:r>
        <w:rPr>
          <w:rFonts w:hint="eastAsia" w:ascii="仿宋" w:hAnsi="仿宋" w:eastAsia="仿宋" w:cs="仿宋"/>
          <w:b/>
          <w:bCs/>
          <w:color w:val="auto"/>
          <w:highlight w:val="none"/>
          <w:lang w:eastAsia="zh-CN"/>
        </w:rPr>
        <w:t>格式1</w:t>
      </w:r>
      <w:bookmarkEnd w:id="961"/>
      <w:bookmarkEnd w:id="962"/>
      <w:bookmarkEnd w:id="963"/>
    </w:p>
    <w:p>
      <w:pPr>
        <w:spacing w:line="360" w:lineRule="auto"/>
        <w:jc w:val="center"/>
        <w:rPr>
          <w:rFonts w:ascii="仿宋" w:hAnsi="仿宋" w:eastAsia="仿宋"/>
          <w:b/>
          <w:bCs/>
          <w:color w:val="auto"/>
          <w:spacing w:val="40"/>
          <w:sz w:val="36"/>
          <w:szCs w:val="36"/>
          <w:highlight w:val="none"/>
          <w:lang w:eastAsia="zh-CN"/>
        </w:rPr>
      </w:pPr>
      <w:r>
        <w:rPr>
          <w:rFonts w:hint="eastAsia" w:ascii="仿宋" w:hAnsi="仿宋" w:eastAsia="仿宋" w:cs="仿宋"/>
          <w:b/>
          <w:bCs/>
          <w:color w:val="auto"/>
          <w:spacing w:val="40"/>
          <w:sz w:val="36"/>
          <w:szCs w:val="36"/>
          <w:highlight w:val="none"/>
          <w:lang w:eastAsia="zh-CN"/>
        </w:rPr>
        <w:t>履约担保</w:t>
      </w:r>
    </w:p>
    <w:p>
      <w:pPr>
        <w:spacing w:before="192" w:line="360" w:lineRule="auto"/>
        <w:ind w:left="5402"/>
        <w:rPr>
          <w:rFonts w:ascii="宋体" w:hAnsi="宋体" w:cs="宋体"/>
          <w:color w:val="auto"/>
          <w:sz w:val="20"/>
          <w:szCs w:val="20"/>
          <w:highlight w:val="none"/>
          <w:lang w:eastAsia="zh-CN"/>
        </w:rPr>
      </w:pPr>
      <w:r>
        <w:rPr>
          <w:rFonts w:ascii="宋体" w:hAnsi="宋体" w:cs="宋体"/>
          <w:color w:val="auto"/>
          <w:spacing w:val="3"/>
          <w:position w:val="21"/>
          <w:sz w:val="20"/>
          <w:szCs w:val="20"/>
          <w:highlight w:val="none"/>
          <w:lang w:eastAsia="zh-CN"/>
        </w:rPr>
        <w:t>编</w:t>
      </w:r>
      <w:r>
        <w:rPr>
          <w:rFonts w:ascii="宋体" w:hAnsi="宋体" w:cs="宋体"/>
          <w:color w:val="auto"/>
          <w:spacing w:val="2"/>
          <w:position w:val="21"/>
          <w:sz w:val="20"/>
          <w:szCs w:val="20"/>
          <w:highlight w:val="none"/>
          <w:lang w:eastAsia="zh-CN"/>
        </w:rPr>
        <w:t>号：</w:t>
      </w:r>
    </w:p>
    <w:p>
      <w:pPr>
        <w:spacing w:line="360" w:lineRule="auto"/>
        <w:rPr>
          <w:rFonts w:ascii="宋体" w:hAnsi="宋体" w:cs="宋体"/>
          <w:color w:val="auto"/>
          <w:sz w:val="20"/>
          <w:szCs w:val="20"/>
          <w:highlight w:val="none"/>
          <w:lang w:eastAsia="zh-CN"/>
        </w:rPr>
      </w:pPr>
      <w:r>
        <w:rPr>
          <w:rFonts w:ascii="宋体" w:hAnsi="宋体" w:cs="宋体"/>
          <w:color w:val="auto"/>
          <w:spacing w:val="2"/>
          <w:sz w:val="20"/>
          <w:szCs w:val="20"/>
          <w:highlight w:val="none"/>
          <w:lang w:eastAsia="zh-CN"/>
        </w:rPr>
        <w:t>致</w:t>
      </w:r>
      <w:r>
        <w:rPr>
          <w:rFonts w:ascii="宋体" w:hAnsi="宋体" w:cs="宋体"/>
          <w:color w:val="auto"/>
          <w:spacing w:val="2"/>
          <w:sz w:val="20"/>
          <w:szCs w:val="20"/>
          <w:highlight w:val="none"/>
          <w:u w:val="single"/>
          <w:lang w:eastAsia="zh-CN"/>
        </w:rPr>
        <w:t xml:space="preserve">                   </w:t>
      </w:r>
      <w:r>
        <w:rPr>
          <w:rFonts w:ascii="宋体" w:hAnsi="宋体" w:cs="宋体"/>
          <w:color w:val="auto"/>
          <w:spacing w:val="1"/>
          <w:sz w:val="20"/>
          <w:szCs w:val="20"/>
          <w:highlight w:val="none"/>
          <w:u w:val="single"/>
          <w:lang w:eastAsia="zh-CN"/>
        </w:rPr>
        <w:t xml:space="preserve">       (下称“你方”或“受益人” ) </w:t>
      </w:r>
      <w:r>
        <w:rPr>
          <w:rFonts w:ascii="宋体" w:hAnsi="宋体" w:cs="宋体"/>
          <w:color w:val="auto"/>
          <w:spacing w:val="1"/>
          <w:sz w:val="20"/>
          <w:szCs w:val="20"/>
          <w:highlight w:val="none"/>
          <w:lang w:eastAsia="zh-CN"/>
        </w:rPr>
        <w:t>：</w:t>
      </w:r>
    </w:p>
    <w:p>
      <w:pPr>
        <w:spacing w:before="233" w:line="360" w:lineRule="auto"/>
        <w:ind w:firstLine="436"/>
        <w:rPr>
          <w:rFonts w:ascii="宋体" w:hAnsi="宋体" w:cs="宋体"/>
          <w:color w:val="auto"/>
          <w:sz w:val="20"/>
          <w:szCs w:val="20"/>
          <w:highlight w:val="none"/>
          <w:lang w:eastAsia="zh-CN"/>
        </w:rPr>
      </w:pPr>
      <w:r>
        <w:rPr>
          <w:rFonts w:ascii="宋体" w:hAnsi="宋体" w:cs="宋体"/>
          <w:color w:val="auto"/>
          <w:spacing w:val="-1"/>
          <w:sz w:val="20"/>
          <w:szCs w:val="20"/>
          <w:highlight w:val="none"/>
          <w:lang w:eastAsia="zh-CN"/>
        </w:rPr>
        <w:t>因</w:t>
      </w:r>
      <w:r>
        <w:rPr>
          <w:rFonts w:ascii="宋体" w:hAnsi="宋体" w:cs="宋体"/>
          <w:color w:val="auto"/>
          <w:spacing w:val="-1"/>
          <w:sz w:val="20"/>
          <w:szCs w:val="20"/>
          <w:highlight w:val="none"/>
          <w:u w:val="single"/>
          <w:lang w:eastAsia="zh-CN"/>
        </w:rPr>
        <w:t xml:space="preserve"> </w:t>
      </w:r>
      <w:r>
        <w:rPr>
          <w:rFonts w:ascii="宋体" w:hAnsi="宋体" w:cs="宋体"/>
          <w:color w:val="auto"/>
          <w:sz w:val="20"/>
          <w:szCs w:val="20"/>
          <w:highlight w:val="none"/>
          <w:u w:val="single"/>
          <w:lang w:eastAsia="zh-CN"/>
        </w:rPr>
        <w:t xml:space="preserve">       </w:t>
      </w:r>
      <w:r>
        <w:rPr>
          <w:rFonts w:ascii="宋体" w:hAnsi="宋体" w:cs="宋体"/>
          <w:color w:val="auto"/>
          <w:sz w:val="20"/>
          <w:szCs w:val="20"/>
          <w:highlight w:val="none"/>
          <w:lang w:eastAsia="zh-CN"/>
        </w:rPr>
        <w:t>(下称“保函申请人”) 与你方签订了编号为</w:t>
      </w:r>
      <w:r>
        <w:rPr>
          <w:rFonts w:ascii="宋体" w:hAnsi="宋体" w:cs="宋体"/>
          <w:color w:val="auto"/>
          <w:sz w:val="20"/>
          <w:szCs w:val="20"/>
          <w:highlight w:val="none"/>
          <w:u w:val="single"/>
          <w:lang w:eastAsia="zh-CN"/>
        </w:rPr>
        <w:t xml:space="preserve">           </w:t>
      </w:r>
      <w:r>
        <w:rPr>
          <w:rFonts w:ascii="宋体" w:hAnsi="宋体" w:cs="宋体"/>
          <w:color w:val="auto"/>
          <w:sz w:val="20"/>
          <w:szCs w:val="20"/>
          <w:highlight w:val="none"/>
          <w:lang w:eastAsia="zh-CN"/>
        </w:rPr>
        <w:t>，发包人合同编号：</w:t>
      </w:r>
      <w:r>
        <w:rPr>
          <w:rFonts w:ascii="宋体" w:hAnsi="宋体" w:cs="宋体"/>
          <w:color w:val="auto"/>
          <w:sz w:val="20"/>
          <w:szCs w:val="20"/>
          <w:highlight w:val="none"/>
          <w:u w:val="single"/>
          <w:lang w:eastAsia="zh-CN"/>
        </w:rPr>
        <w:t xml:space="preserve">       </w:t>
      </w:r>
      <w:r>
        <w:rPr>
          <w:rFonts w:ascii="宋体" w:hAnsi="宋体" w:cs="宋体"/>
          <w:color w:val="auto"/>
          <w:sz w:val="20"/>
          <w:szCs w:val="20"/>
          <w:highlight w:val="none"/>
          <w:lang w:eastAsia="zh-CN"/>
        </w:rPr>
        <w:t xml:space="preserve">、 </w:t>
      </w:r>
      <w:r>
        <w:rPr>
          <w:rFonts w:ascii="宋体" w:hAnsi="宋体" w:cs="宋体"/>
          <w:color w:val="auto"/>
          <w:spacing w:val="3"/>
          <w:sz w:val="20"/>
          <w:szCs w:val="20"/>
          <w:highlight w:val="none"/>
          <w:lang w:eastAsia="zh-CN"/>
        </w:rPr>
        <w:t>承包人合同编号：</w:t>
      </w:r>
      <w:r>
        <w:rPr>
          <w:rFonts w:ascii="宋体" w:hAnsi="宋体" w:cs="宋体"/>
          <w:color w:val="auto"/>
          <w:spacing w:val="3"/>
          <w:sz w:val="20"/>
          <w:szCs w:val="20"/>
          <w:highlight w:val="none"/>
          <w:u w:val="single"/>
          <w:lang w:eastAsia="zh-CN"/>
        </w:rPr>
        <w:t xml:space="preserve">           </w:t>
      </w:r>
      <w:r>
        <w:rPr>
          <w:rFonts w:ascii="宋体" w:hAnsi="宋体" w:cs="宋体"/>
          <w:color w:val="auto"/>
          <w:spacing w:val="3"/>
          <w:sz w:val="20"/>
          <w:szCs w:val="20"/>
          <w:highlight w:val="none"/>
          <w:lang w:eastAsia="zh-CN"/>
        </w:rPr>
        <w:t>的</w:t>
      </w:r>
      <w:r>
        <w:rPr>
          <w:rFonts w:ascii="宋体" w:hAnsi="宋体" w:cs="宋体"/>
          <w:color w:val="auto"/>
          <w:spacing w:val="3"/>
          <w:sz w:val="20"/>
          <w:szCs w:val="20"/>
          <w:highlight w:val="none"/>
          <w:u w:val="single"/>
          <w:lang w:eastAsia="zh-CN"/>
        </w:rPr>
        <w:t xml:space="preserve">         </w:t>
      </w:r>
      <w:r>
        <w:rPr>
          <w:rFonts w:ascii="宋体" w:hAnsi="宋体" w:cs="宋体"/>
          <w:color w:val="auto"/>
          <w:spacing w:val="3"/>
          <w:sz w:val="20"/>
          <w:szCs w:val="20"/>
          <w:highlight w:val="none"/>
          <w:lang w:eastAsia="zh-CN"/>
        </w:rPr>
        <w:t>(合同或协议名称) ，我司愿就保函申请人履行上述合</w:t>
      </w:r>
      <w:r>
        <w:rPr>
          <w:rFonts w:ascii="宋体" w:hAnsi="宋体" w:cs="宋体"/>
          <w:color w:val="auto"/>
          <w:spacing w:val="1"/>
          <w:sz w:val="20"/>
          <w:szCs w:val="20"/>
          <w:highlight w:val="none"/>
          <w:lang w:eastAsia="zh-CN"/>
        </w:rPr>
        <w:t>同</w:t>
      </w:r>
      <w:r>
        <w:rPr>
          <w:rFonts w:ascii="宋体" w:hAnsi="宋体" w:cs="宋体"/>
          <w:color w:val="auto"/>
          <w:sz w:val="20"/>
          <w:szCs w:val="20"/>
          <w:highlight w:val="none"/>
          <w:lang w:eastAsia="zh-CN"/>
        </w:rPr>
        <w:t>或</w:t>
      </w:r>
      <w:r>
        <w:rPr>
          <w:rFonts w:ascii="宋体" w:hAnsi="宋体" w:cs="宋体"/>
          <w:color w:val="auto"/>
          <w:spacing w:val="18"/>
          <w:sz w:val="20"/>
          <w:szCs w:val="20"/>
          <w:highlight w:val="none"/>
          <w:lang w:eastAsia="zh-CN"/>
        </w:rPr>
        <w:t>协</w:t>
      </w:r>
      <w:r>
        <w:rPr>
          <w:rFonts w:ascii="宋体" w:hAnsi="宋体" w:cs="宋体"/>
          <w:color w:val="auto"/>
          <w:spacing w:val="10"/>
          <w:sz w:val="20"/>
          <w:szCs w:val="20"/>
          <w:highlight w:val="none"/>
          <w:lang w:eastAsia="zh-CN"/>
        </w:rPr>
        <w:t>议</w:t>
      </w:r>
      <w:r>
        <w:rPr>
          <w:rFonts w:ascii="宋体" w:hAnsi="宋体" w:cs="宋体"/>
          <w:color w:val="auto"/>
          <w:spacing w:val="9"/>
          <w:sz w:val="20"/>
          <w:szCs w:val="20"/>
          <w:highlight w:val="none"/>
          <w:lang w:eastAsia="zh-CN"/>
        </w:rPr>
        <w:t>约定的义务向你方开立无条件、不可撤销、见索即付的独立保函：</w:t>
      </w:r>
    </w:p>
    <w:p>
      <w:pPr>
        <w:spacing w:line="360" w:lineRule="auto"/>
        <w:ind w:left="21" w:right="70" w:firstLine="402"/>
        <w:rPr>
          <w:rFonts w:ascii="宋体" w:hAnsi="宋体" w:cs="宋体"/>
          <w:color w:val="auto"/>
          <w:sz w:val="20"/>
          <w:szCs w:val="20"/>
          <w:highlight w:val="none"/>
          <w:lang w:eastAsia="zh-CN"/>
        </w:rPr>
      </w:pPr>
      <w:r>
        <w:rPr>
          <w:rFonts w:ascii="宋体" w:hAnsi="宋体" w:cs="宋体"/>
          <w:color w:val="auto"/>
          <w:spacing w:val="12"/>
          <w:sz w:val="20"/>
          <w:szCs w:val="20"/>
          <w:highlight w:val="none"/>
          <w:lang w:eastAsia="zh-CN"/>
        </w:rPr>
        <w:t>一、本</w:t>
      </w:r>
      <w:r>
        <w:rPr>
          <w:rFonts w:ascii="宋体" w:hAnsi="宋体" w:cs="宋体"/>
          <w:color w:val="auto"/>
          <w:spacing w:val="10"/>
          <w:sz w:val="20"/>
          <w:szCs w:val="20"/>
          <w:highlight w:val="none"/>
          <w:lang w:eastAsia="zh-CN"/>
        </w:rPr>
        <w:t>保</w:t>
      </w:r>
      <w:r>
        <w:rPr>
          <w:rFonts w:ascii="宋体" w:hAnsi="宋体" w:cs="宋体"/>
          <w:color w:val="auto"/>
          <w:spacing w:val="6"/>
          <w:sz w:val="20"/>
          <w:szCs w:val="20"/>
          <w:highlight w:val="none"/>
          <w:lang w:eastAsia="zh-CN"/>
        </w:rPr>
        <w:t>函项下我司承担的保函最高限额为(币种、金额、大写)  ¥</w:t>
      </w:r>
      <w:r>
        <w:rPr>
          <w:rFonts w:ascii="宋体" w:hAnsi="宋体" w:cs="宋体"/>
          <w:color w:val="auto"/>
          <w:spacing w:val="6"/>
          <w:sz w:val="20"/>
          <w:szCs w:val="20"/>
          <w:highlight w:val="none"/>
          <w:u w:val="single"/>
          <w:lang w:eastAsia="zh-CN"/>
        </w:rPr>
        <w:t xml:space="preserve">                 </w:t>
      </w:r>
      <w:r>
        <w:rPr>
          <w:rFonts w:ascii="宋体" w:hAnsi="宋体" w:cs="宋体"/>
          <w:color w:val="auto"/>
          <w:spacing w:val="6"/>
          <w:sz w:val="20"/>
          <w:szCs w:val="20"/>
          <w:highlight w:val="none"/>
          <w:lang w:eastAsia="zh-CN"/>
        </w:rPr>
        <w:t>元，人</w:t>
      </w:r>
      <w:r>
        <w:rPr>
          <w:rFonts w:ascii="宋体" w:hAnsi="宋体" w:cs="宋体"/>
          <w:color w:val="auto"/>
          <w:spacing w:val="-2"/>
          <w:sz w:val="20"/>
          <w:szCs w:val="20"/>
          <w:highlight w:val="none"/>
          <w:lang w:eastAsia="zh-CN"/>
        </w:rPr>
        <w:t>民币：</w:t>
      </w:r>
      <w:r>
        <w:rPr>
          <w:rFonts w:ascii="宋体" w:hAnsi="宋体" w:cs="宋体"/>
          <w:color w:val="auto"/>
          <w:spacing w:val="-2"/>
          <w:sz w:val="20"/>
          <w:szCs w:val="20"/>
          <w:highlight w:val="none"/>
          <w:u w:val="single"/>
          <w:lang w:eastAsia="zh-CN"/>
        </w:rPr>
        <w:t xml:space="preserve">          </w:t>
      </w:r>
      <w:r>
        <w:rPr>
          <w:rFonts w:ascii="宋体" w:hAnsi="宋体" w:cs="宋体"/>
          <w:color w:val="auto"/>
          <w:spacing w:val="-1"/>
          <w:sz w:val="20"/>
          <w:szCs w:val="20"/>
          <w:highlight w:val="none"/>
          <w:u w:val="single"/>
          <w:lang w:eastAsia="zh-CN"/>
        </w:rPr>
        <w:t xml:space="preserve">    </w:t>
      </w:r>
      <w:r>
        <w:rPr>
          <w:rFonts w:ascii="宋体" w:hAnsi="宋体" w:cs="宋体"/>
          <w:color w:val="auto"/>
          <w:spacing w:val="-1"/>
          <w:sz w:val="20"/>
          <w:szCs w:val="20"/>
          <w:highlight w:val="none"/>
          <w:lang w:eastAsia="zh-CN"/>
        </w:rPr>
        <w:t>(下称“保函金额”) 。</w:t>
      </w:r>
    </w:p>
    <w:p>
      <w:pPr>
        <w:spacing w:line="360" w:lineRule="auto"/>
        <w:ind w:left="424"/>
        <w:rPr>
          <w:rFonts w:ascii="宋体" w:hAnsi="宋体" w:cs="宋体"/>
          <w:color w:val="auto"/>
          <w:sz w:val="20"/>
          <w:szCs w:val="20"/>
          <w:highlight w:val="none"/>
          <w:lang w:eastAsia="zh-CN"/>
        </w:rPr>
      </w:pPr>
      <w:r>
        <w:rPr>
          <w:rFonts w:ascii="宋体" w:hAnsi="宋体" w:cs="宋体"/>
          <w:color w:val="auto"/>
          <w:spacing w:val="18"/>
          <w:position w:val="1"/>
          <w:sz w:val="20"/>
          <w:szCs w:val="20"/>
          <w:highlight w:val="none"/>
          <w:lang w:eastAsia="zh-CN"/>
        </w:rPr>
        <w:t>二</w:t>
      </w:r>
      <w:r>
        <w:rPr>
          <w:rFonts w:ascii="宋体" w:hAnsi="宋体" w:cs="宋体"/>
          <w:color w:val="auto"/>
          <w:spacing w:val="9"/>
          <w:position w:val="1"/>
          <w:sz w:val="20"/>
          <w:szCs w:val="20"/>
          <w:highlight w:val="none"/>
          <w:lang w:eastAsia="zh-CN"/>
        </w:rPr>
        <w:t>、我司在本保函项下开具的为无条件、不可撤销、见索即付的独立保函。</w:t>
      </w:r>
    </w:p>
    <w:p>
      <w:pPr>
        <w:spacing w:before="207" w:line="360" w:lineRule="auto"/>
        <w:ind w:left="420"/>
        <w:rPr>
          <w:rFonts w:ascii="宋体" w:hAnsi="宋体" w:cs="宋体"/>
          <w:color w:val="auto"/>
          <w:sz w:val="20"/>
          <w:szCs w:val="20"/>
          <w:highlight w:val="none"/>
          <w:lang w:eastAsia="zh-CN"/>
        </w:rPr>
      </w:pPr>
      <w:r>
        <w:rPr>
          <w:rFonts w:ascii="宋体" w:hAnsi="宋体" w:cs="宋体"/>
          <w:color w:val="auto"/>
          <w:spacing w:val="14"/>
          <w:sz w:val="20"/>
          <w:szCs w:val="20"/>
          <w:highlight w:val="none"/>
          <w:lang w:eastAsia="zh-CN"/>
        </w:rPr>
        <w:t>三</w:t>
      </w:r>
      <w:r>
        <w:rPr>
          <w:rFonts w:ascii="宋体" w:hAnsi="宋体" w:cs="宋体"/>
          <w:color w:val="auto"/>
          <w:spacing w:val="13"/>
          <w:sz w:val="20"/>
          <w:szCs w:val="20"/>
          <w:highlight w:val="none"/>
          <w:lang w:eastAsia="zh-CN"/>
        </w:rPr>
        <w:t>、</w:t>
      </w:r>
      <w:r>
        <w:rPr>
          <w:rFonts w:ascii="宋体" w:hAnsi="宋体" w:cs="宋体"/>
          <w:color w:val="auto"/>
          <w:spacing w:val="7"/>
          <w:sz w:val="20"/>
          <w:szCs w:val="20"/>
          <w:highlight w:val="none"/>
          <w:lang w:eastAsia="zh-CN"/>
        </w:rPr>
        <w:t>本保函的有效期为以下第</w:t>
      </w:r>
      <w:r>
        <w:rPr>
          <w:rFonts w:ascii="宋体" w:hAnsi="宋体" w:cs="宋体"/>
          <w:color w:val="auto"/>
          <w:spacing w:val="7"/>
          <w:sz w:val="20"/>
          <w:szCs w:val="20"/>
          <w:highlight w:val="none"/>
          <w:u w:val="single"/>
          <w:lang w:eastAsia="zh-CN"/>
        </w:rPr>
        <w:t xml:space="preserve">      </w:t>
      </w:r>
      <w:r>
        <w:rPr>
          <w:rFonts w:ascii="宋体" w:hAnsi="宋体" w:cs="宋体"/>
          <w:color w:val="auto"/>
          <w:spacing w:val="7"/>
          <w:sz w:val="20"/>
          <w:szCs w:val="20"/>
          <w:highlight w:val="none"/>
          <w:lang w:eastAsia="zh-CN"/>
        </w:rPr>
        <w:t>种：</w:t>
      </w:r>
    </w:p>
    <w:p>
      <w:pPr>
        <w:spacing w:before="232" w:line="360" w:lineRule="auto"/>
        <w:ind w:left="436"/>
        <w:rPr>
          <w:rFonts w:ascii="宋体" w:hAnsi="宋体" w:cs="宋体"/>
          <w:color w:val="auto"/>
          <w:sz w:val="20"/>
          <w:szCs w:val="20"/>
          <w:highlight w:val="none"/>
        </w:rPr>
      </w:pPr>
      <w:r>
        <w:rPr>
          <w:rFonts w:ascii="宋体" w:hAnsi="宋体" w:cs="宋体"/>
          <w:color w:val="auto"/>
          <w:spacing w:val="4"/>
          <w:sz w:val="20"/>
          <w:szCs w:val="20"/>
          <w:highlight w:val="none"/>
        </w:rPr>
        <w:t>1.本保函有效期至</w:t>
      </w:r>
      <w:r>
        <w:rPr>
          <w:rFonts w:ascii="宋体" w:hAnsi="宋体" w:cs="宋体"/>
          <w:color w:val="auto"/>
          <w:spacing w:val="4"/>
          <w:sz w:val="20"/>
          <w:szCs w:val="20"/>
          <w:highlight w:val="none"/>
          <w:u w:val="single"/>
        </w:rPr>
        <w:t xml:space="preserve">  </w:t>
      </w:r>
      <w:r>
        <w:rPr>
          <w:rFonts w:ascii="宋体" w:hAnsi="宋体" w:cs="宋体"/>
          <w:color w:val="auto"/>
          <w:spacing w:val="2"/>
          <w:sz w:val="20"/>
          <w:szCs w:val="20"/>
          <w:highlight w:val="none"/>
          <w:u w:val="single"/>
        </w:rPr>
        <w:t xml:space="preserve">      </w:t>
      </w:r>
      <w:r>
        <w:rPr>
          <w:rFonts w:ascii="宋体" w:hAnsi="宋体" w:cs="宋体"/>
          <w:color w:val="auto"/>
          <w:spacing w:val="2"/>
          <w:sz w:val="20"/>
          <w:szCs w:val="20"/>
          <w:highlight w:val="none"/>
        </w:rPr>
        <w:t xml:space="preserve"> 年</w:t>
      </w:r>
      <w:r>
        <w:rPr>
          <w:rFonts w:ascii="宋体" w:hAnsi="宋体" w:cs="宋体"/>
          <w:color w:val="auto"/>
          <w:spacing w:val="2"/>
          <w:sz w:val="20"/>
          <w:szCs w:val="20"/>
          <w:highlight w:val="none"/>
          <w:u w:val="single"/>
        </w:rPr>
        <w:t xml:space="preserve">      </w:t>
      </w:r>
      <w:r>
        <w:rPr>
          <w:rFonts w:ascii="宋体" w:hAnsi="宋体" w:cs="宋体"/>
          <w:color w:val="auto"/>
          <w:spacing w:val="2"/>
          <w:sz w:val="20"/>
          <w:szCs w:val="20"/>
          <w:highlight w:val="none"/>
        </w:rPr>
        <w:t>月</w:t>
      </w:r>
      <w:r>
        <w:rPr>
          <w:rFonts w:ascii="宋体" w:hAnsi="宋体" w:cs="宋体"/>
          <w:color w:val="auto"/>
          <w:spacing w:val="2"/>
          <w:sz w:val="20"/>
          <w:szCs w:val="20"/>
          <w:highlight w:val="none"/>
          <w:u w:val="single"/>
        </w:rPr>
        <w:t xml:space="preserve">     </w:t>
      </w:r>
      <w:r>
        <w:rPr>
          <w:rFonts w:ascii="宋体" w:hAnsi="宋体" w:cs="宋体"/>
          <w:color w:val="auto"/>
          <w:spacing w:val="2"/>
          <w:sz w:val="20"/>
          <w:szCs w:val="20"/>
          <w:highlight w:val="none"/>
        </w:rPr>
        <w:t>日止。</w:t>
      </w:r>
    </w:p>
    <w:p>
      <w:pPr>
        <w:spacing w:before="234" w:line="360" w:lineRule="auto"/>
        <w:ind w:left="423"/>
        <w:rPr>
          <w:rFonts w:ascii="宋体" w:hAnsi="宋体" w:cs="宋体"/>
          <w:color w:val="auto"/>
          <w:sz w:val="20"/>
          <w:szCs w:val="20"/>
          <w:highlight w:val="none"/>
          <w:lang w:eastAsia="zh-CN"/>
        </w:rPr>
      </w:pPr>
      <w:r>
        <w:rPr>
          <w:rFonts w:ascii="宋体" w:hAnsi="宋体" w:cs="宋体"/>
          <w:color w:val="auto"/>
          <w:spacing w:val="12"/>
          <w:sz w:val="20"/>
          <w:szCs w:val="20"/>
          <w:highlight w:val="none"/>
          <w:lang w:eastAsia="zh-CN"/>
        </w:rPr>
        <w:t>2.</w:t>
      </w:r>
      <w:r>
        <w:rPr>
          <w:rFonts w:ascii="宋体" w:hAnsi="宋体" w:cs="宋体"/>
          <w:color w:val="auto"/>
          <w:spacing w:val="12"/>
          <w:sz w:val="20"/>
          <w:szCs w:val="20"/>
          <w:highlight w:val="none"/>
          <w:u w:val="single"/>
          <w:lang w:eastAsia="zh-CN"/>
        </w:rPr>
        <w:t>自本</w:t>
      </w:r>
      <w:r>
        <w:rPr>
          <w:rFonts w:ascii="宋体" w:hAnsi="宋体" w:cs="宋体"/>
          <w:color w:val="auto"/>
          <w:spacing w:val="9"/>
          <w:sz w:val="20"/>
          <w:szCs w:val="20"/>
          <w:highlight w:val="none"/>
          <w:u w:val="single"/>
          <w:lang w:eastAsia="zh-CN"/>
        </w:rPr>
        <w:t>保</w:t>
      </w:r>
      <w:r>
        <w:rPr>
          <w:rFonts w:ascii="宋体" w:hAnsi="宋体" w:cs="宋体"/>
          <w:color w:val="auto"/>
          <w:spacing w:val="6"/>
          <w:sz w:val="20"/>
          <w:szCs w:val="20"/>
          <w:highlight w:val="none"/>
          <w:u w:val="single"/>
          <w:lang w:eastAsia="zh-CN"/>
        </w:rPr>
        <w:t>函开立之日起至合同项下的工程竣工验收且验收备案合格</w:t>
      </w:r>
      <w:r>
        <w:rPr>
          <w:rFonts w:hint="eastAsia" w:ascii="宋体" w:hAnsi="宋体" w:cs="宋体"/>
          <w:color w:val="auto"/>
          <w:spacing w:val="6"/>
          <w:sz w:val="20"/>
          <w:szCs w:val="20"/>
          <w:highlight w:val="none"/>
          <w:u w:val="single"/>
          <w:lang w:eastAsia="zh-CN"/>
        </w:rPr>
        <w:t>，并完成工程档案移交</w:t>
      </w:r>
      <w:r>
        <w:rPr>
          <w:rFonts w:ascii="宋体" w:hAnsi="宋体" w:cs="宋体"/>
          <w:color w:val="auto"/>
          <w:spacing w:val="6"/>
          <w:sz w:val="20"/>
          <w:szCs w:val="20"/>
          <w:highlight w:val="none"/>
          <w:u w:val="single"/>
          <w:lang w:eastAsia="zh-CN"/>
        </w:rPr>
        <w:t>后二十八 (28) 天内。</w:t>
      </w:r>
    </w:p>
    <w:p>
      <w:pPr>
        <w:spacing w:before="234" w:line="360" w:lineRule="auto"/>
        <w:ind w:left="5" w:right="114" w:firstLine="435"/>
        <w:rPr>
          <w:rFonts w:ascii="宋体" w:hAnsi="宋体" w:cs="宋体"/>
          <w:color w:val="auto"/>
          <w:sz w:val="20"/>
          <w:szCs w:val="20"/>
          <w:highlight w:val="none"/>
          <w:lang w:eastAsia="zh-CN"/>
        </w:rPr>
      </w:pPr>
      <w:r>
        <w:rPr>
          <w:rFonts w:ascii="宋体" w:hAnsi="宋体" w:cs="宋体"/>
          <w:color w:val="auto"/>
          <w:spacing w:val="18"/>
          <w:sz w:val="20"/>
          <w:szCs w:val="20"/>
          <w:highlight w:val="none"/>
          <w:lang w:eastAsia="zh-CN"/>
        </w:rPr>
        <w:t>四</w:t>
      </w:r>
      <w:r>
        <w:rPr>
          <w:rFonts w:ascii="宋体" w:hAnsi="宋体" w:cs="宋体"/>
          <w:color w:val="auto"/>
          <w:spacing w:val="11"/>
          <w:sz w:val="20"/>
          <w:szCs w:val="20"/>
          <w:highlight w:val="none"/>
          <w:lang w:eastAsia="zh-CN"/>
        </w:rPr>
        <w:t>、</w:t>
      </w:r>
      <w:r>
        <w:rPr>
          <w:rFonts w:ascii="宋体" w:hAnsi="宋体" w:cs="宋体"/>
          <w:color w:val="auto"/>
          <w:spacing w:val="9"/>
          <w:sz w:val="20"/>
          <w:szCs w:val="20"/>
          <w:highlight w:val="none"/>
          <w:lang w:eastAsia="zh-CN"/>
        </w:rPr>
        <w:t>在本保函的有效期内，我司将在收到你方提交的本保函原件及符合下列全部条件的索赔通</w:t>
      </w:r>
      <w:r>
        <w:rPr>
          <w:rFonts w:ascii="宋体" w:hAnsi="宋体" w:cs="宋体"/>
          <w:color w:val="auto"/>
          <w:spacing w:val="2"/>
          <w:sz w:val="20"/>
          <w:szCs w:val="20"/>
          <w:highlight w:val="none"/>
          <w:lang w:eastAsia="zh-CN"/>
        </w:rPr>
        <w:t>知后</w:t>
      </w:r>
      <w:r>
        <w:rPr>
          <w:rFonts w:ascii="宋体" w:hAnsi="宋体" w:cs="宋体"/>
          <w:color w:val="auto"/>
          <w:spacing w:val="2"/>
          <w:sz w:val="20"/>
          <w:szCs w:val="20"/>
          <w:highlight w:val="none"/>
          <w:u w:val="single"/>
          <w:lang w:eastAsia="zh-CN"/>
        </w:rPr>
        <w:t>5</w:t>
      </w:r>
      <w:r>
        <w:rPr>
          <w:rFonts w:ascii="宋体" w:hAnsi="宋体" w:cs="宋体"/>
          <w:color w:val="auto"/>
          <w:spacing w:val="2"/>
          <w:sz w:val="20"/>
          <w:szCs w:val="20"/>
          <w:highlight w:val="none"/>
          <w:lang w:eastAsia="zh-CN"/>
        </w:rPr>
        <w:t>个工作日内，以上述保函金额为限支付你方索赔金</w:t>
      </w:r>
      <w:r>
        <w:rPr>
          <w:rFonts w:ascii="宋体" w:hAnsi="宋体" w:cs="宋体"/>
          <w:color w:val="auto"/>
          <w:sz w:val="20"/>
          <w:szCs w:val="20"/>
          <w:highlight w:val="none"/>
          <w:lang w:eastAsia="zh-CN"/>
        </w:rPr>
        <w:t>额：</w:t>
      </w:r>
    </w:p>
    <w:p>
      <w:pPr>
        <w:spacing w:line="360" w:lineRule="auto"/>
        <w:ind w:right="73" w:firstLine="430"/>
        <w:rPr>
          <w:rFonts w:ascii="宋体" w:hAnsi="宋体" w:cs="宋体"/>
          <w:color w:val="auto"/>
          <w:sz w:val="20"/>
          <w:szCs w:val="20"/>
          <w:highlight w:val="none"/>
          <w:lang w:eastAsia="zh-CN"/>
        </w:rPr>
      </w:pPr>
      <w:r>
        <w:rPr>
          <w:rFonts w:ascii="宋体" w:hAnsi="宋体" w:cs="宋体"/>
          <w:color w:val="auto"/>
          <w:spacing w:val="18"/>
          <w:sz w:val="20"/>
          <w:szCs w:val="20"/>
          <w:highlight w:val="none"/>
          <w:lang w:eastAsia="zh-CN"/>
        </w:rPr>
        <w:t>(</w:t>
      </w:r>
      <w:r>
        <w:rPr>
          <w:rFonts w:ascii="宋体" w:hAnsi="宋体" w:cs="宋体"/>
          <w:color w:val="auto"/>
          <w:spacing w:val="17"/>
          <w:sz w:val="20"/>
          <w:szCs w:val="20"/>
          <w:highlight w:val="none"/>
          <w:lang w:eastAsia="zh-CN"/>
        </w:rPr>
        <w:t>一</w:t>
      </w:r>
      <w:r>
        <w:rPr>
          <w:rFonts w:ascii="宋体" w:hAnsi="宋体" w:cs="宋体"/>
          <w:color w:val="auto"/>
          <w:spacing w:val="9"/>
          <w:sz w:val="20"/>
          <w:szCs w:val="20"/>
          <w:highlight w:val="none"/>
          <w:lang w:eastAsia="zh-CN"/>
        </w:rPr>
        <w:t>)索赔通知必须以书面形式提出，列明索赔金额，并由你方法定代表人(负责人)或授权</w:t>
      </w:r>
      <w:r>
        <w:rPr>
          <w:rFonts w:ascii="宋体" w:hAnsi="宋体" w:cs="宋体"/>
          <w:color w:val="auto"/>
          <w:spacing w:val="10"/>
          <w:sz w:val="20"/>
          <w:szCs w:val="20"/>
          <w:highlight w:val="none"/>
          <w:lang w:eastAsia="zh-CN"/>
        </w:rPr>
        <w:t>代</w:t>
      </w:r>
      <w:r>
        <w:rPr>
          <w:rFonts w:ascii="宋体" w:hAnsi="宋体" w:cs="宋体"/>
          <w:color w:val="auto"/>
          <w:spacing w:val="8"/>
          <w:sz w:val="20"/>
          <w:szCs w:val="20"/>
          <w:highlight w:val="none"/>
          <w:lang w:eastAsia="zh-CN"/>
        </w:rPr>
        <w:t>理人签字并加盖公章；</w:t>
      </w:r>
    </w:p>
    <w:p>
      <w:pPr>
        <w:spacing w:before="1" w:line="360" w:lineRule="auto"/>
        <w:ind w:left="430"/>
        <w:rPr>
          <w:rFonts w:ascii="宋体" w:hAnsi="宋体" w:cs="宋体"/>
          <w:color w:val="auto"/>
          <w:sz w:val="20"/>
          <w:szCs w:val="20"/>
          <w:highlight w:val="none"/>
          <w:lang w:eastAsia="zh-CN"/>
        </w:rPr>
      </w:pPr>
      <w:r>
        <w:rPr>
          <w:rFonts w:ascii="宋体" w:hAnsi="宋体" w:cs="宋体"/>
          <w:color w:val="auto"/>
          <w:spacing w:val="14"/>
          <w:sz w:val="20"/>
          <w:szCs w:val="20"/>
          <w:highlight w:val="none"/>
          <w:lang w:eastAsia="zh-CN"/>
        </w:rPr>
        <w:t>(二)索赔通知必须同时附有：</w:t>
      </w:r>
    </w:p>
    <w:p>
      <w:pPr>
        <w:spacing w:before="234" w:line="360" w:lineRule="auto"/>
        <w:ind w:left="424"/>
        <w:rPr>
          <w:rFonts w:ascii="宋体" w:hAnsi="宋体" w:cs="宋体"/>
          <w:color w:val="auto"/>
          <w:sz w:val="20"/>
          <w:szCs w:val="20"/>
          <w:highlight w:val="none"/>
          <w:lang w:eastAsia="zh-CN"/>
        </w:rPr>
      </w:pPr>
      <w:r>
        <w:rPr>
          <w:rFonts w:ascii="宋体" w:hAnsi="宋体" w:cs="宋体"/>
          <w:color w:val="auto"/>
          <w:spacing w:val="18"/>
          <w:position w:val="2"/>
          <w:sz w:val="20"/>
          <w:szCs w:val="20"/>
          <w:highlight w:val="none"/>
          <w:lang w:eastAsia="zh-CN"/>
        </w:rPr>
        <w:t>一</w:t>
      </w:r>
      <w:r>
        <w:rPr>
          <w:rFonts w:ascii="宋体" w:hAnsi="宋体" w:cs="宋体"/>
          <w:color w:val="auto"/>
          <w:spacing w:val="15"/>
          <w:position w:val="2"/>
          <w:sz w:val="20"/>
          <w:szCs w:val="20"/>
          <w:highlight w:val="none"/>
          <w:lang w:eastAsia="zh-CN"/>
        </w:rPr>
        <w:t>项</w:t>
      </w:r>
      <w:r>
        <w:rPr>
          <w:rFonts w:ascii="宋体" w:hAnsi="宋体" w:cs="宋体"/>
          <w:color w:val="auto"/>
          <w:spacing w:val="9"/>
          <w:position w:val="2"/>
          <w:sz w:val="20"/>
          <w:szCs w:val="20"/>
          <w:highlight w:val="none"/>
          <w:lang w:eastAsia="zh-CN"/>
        </w:rPr>
        <w:t>书面声明，声明索赔款项并未由保函申请人或其代理人直接或间接地支付给你方。</w:t>
      </w:r>
    </w:p>
    <w:p>
      <w:pPr>
        <w:spacing w:before="137" w:line="360" w:lineRule="auto"/>
        <w:ind w:left="430"/>
        <w:rPr>
          <w:rFonts w:ascii="宋体" w:hAnsi="宋体" w:cs="宋体"/>
          <w:color w:val="auto"/>
          <w:spacing w:val="12"/>
          <w:sz w:val="20"/>
          <w:szCs w:val="20"/>
          <w:highlight w:val="none"/>
          <w:lang w:eastAsia="zh-CN"/>
        </w:rPr>
      </w:pPr>
      <w:r>
        <w:rPr>
          <w:rFonts w:ascii="宋体" w:hAnsi="宋体" w:cs="宋体"/>
          <w:color w:val="auto"/>
          <w:spacing w:val="22"/>
          <w:sz w:val="20"/>
          <w:szCs w:val="20"/>
          <w:highlight w:val="none"/>
          <w:lang w:eastAsia="zh-CN"/>
        </w:rPr>
        <w:t>(</w:t>
      </w:r>
      <w:r>
        <w:rPr>
          <w:rFonts w:ascii="宋体" w:hAnsi="宋体" w:cs="宋体"/>
          <w:color w:val="auto"/>
          <w:spacing w:val="12"/>
          <w:sz w:val="20"/>
          <w:szCs w:val="20"/>
          <w:highlight w:val="none"/>
          <w:lang w:eastAsia="zh-CN"/>
        </w:rPr>
        <w:t>三)索赔通知必须在本保函有效期内到达以下地址：</w:t>
      </w:r>
    </w:p>
    <w:p>
      <w:pPr>
        <w:pStyle w:val="22"/>
        <w:spacing w:line="360" w:lineRule="auto"/>
        <w:rPr>
          <w:color w:val="auto"/>
          <w:highlight w:val="none"/>
        </w:rPr>
      </w:pPr>
    </w:p>
    <w:p>
      <w:pPr>
        <w:tabs>
          <w:tab w:val="left" w:pos="5977"/>
        </w:tabs>
        <w:spacing w:before="24" w:line="360" w:lineRule="auto"/>
        <w:ind w:left="412"/>
        <w:rPr>
          <w:rFonts w:ascii="宋体" w:hAnsi="宋体" w:cs="宋体"/>
          <w:color w:val="auto"/>
          <w:sz w:val="7"/>
          <w:szCs w:val="7"/>
          <w:highlight w:val="none"/>
          <w:lang w:eastAsia="zh-CN"/>
        </w:rPr>
      </w:pPr>
      <w:r>
        <w:rPr>
          <w:rFonts w:ascii="宋体" w:hAnsi="宋体" w:cs="宋体"/>
          <w:color w:val="auto"/>
          <w:sz w:val="7"/>
          <w:szCs w:val="7"/>
          <w:highlight w:val="none"/>
          <w:u w:val="single"/>
          <w:lang w:eastAsia="zh-CN"/>
        </w:rPr>
        <w:tab/>
      </w:r>
      <w:r>
        <w:rPr>
          <w:rFonts w:ascii="宋体" w:hAnsi="宋体" w:cs="宋体"/>
          <w:color w:val="auto"/>
          <w:spacing w:val="3"/>
          <w:sz w:val="7"/>
          <w:szCs w:val="7"/>
          <w:highlight w:val="none"/>
          <w:lang w:eastAsia="zh-CN"/>
        </w:rPr>
        <w:t xml:space="preserve"> </w:t>
      </w:r>
      <w:r>
        <w:rPr>
          <w:rFonts w:ascii="宋体" w:hAnsi="宋体" w:cs="宋体"/>
          <w:color w:val="auto"/>
          <w:spacing w:val="2"/>
          <w:sz w:val="7"/>
          <w:szCs w:val="7"/>
          <w:highlight w:val="none"/>
          <w:lang w:eastAsia="zh-CN"/>
        </w:rPr>
        <w:t>。</w:t>
      </w:r>
    </w:p>
    <w:p>
      <w:pPr>
        <w:spacing w:before="280" w:line="360" w:lineRule="auto"/>
        <w:ind w:right="73" w:firstLine="419"/>
        <w:rPr>
          <w:rFonts w:ascii="宋体" w:hAnsi="宋体" w:cs="宋体"/>
          <w:color w:val="auto"/>
          <w:sz w:val="20"/>
          <w:szCs w:val="20"/>
          <w:highlight w:val="none"/>
          <w:lang w:eastAsia="zh-CN"/>
        </w:rPr>
      </w:pPr>
      <w:r>
        <w:rPr>
          <w:rFonts w:ascii="宋体" w:hAnsi="宋体" w:cs="宋体"/>
          <w:color w:val="auto"/>
          <w:spacing w:val="20"/>
          <w:sz w:val="20"/>
          <w:szCs w:val="20"/>
          <w:highlight w:val="none"/>
          <w:lang w:eastAsia="zh-CN"/>
        </w:rPr>
        <w:t>在你方</w:t>
      </w:r>
      <w:r>
        <w:rPr>
          <w:rFonts w:ascii="宋体" w:hAnsi="宋体" w:cs="宋体"/>
          <w:color w:val="auto"/>
          <w:spacing w:val="12"/>
          <w:sz w:val="20"/>
          <w:szCs w:val="20"/>
          <w:highlight w:val="none"/>
          <w:lang w:eastAsia="zh-CN"/>
        </w:rPr>
        <w:t>向</w:t>
      </w:r>
      <w:r>
        <w:rPr>
          <w:rFonts w:ascii="宋体" w:hAnsi="宋体" w:cs="宋体"/>
          <w:color w:val="auto"/>
          <w:spacing w:val="10"/>
          <w:sz w:val="20"/>
          <w:szCs w:val="20"/>
          <w:highlight w:val="none"/>
          <w:lang w:eastAsia="zh-CN"/>
        </w:rPr>
        <w:t>我司提出索赔通知时，我司将不坚持要求你方先向保函申请人提出索赔或要求你方提</w:t>
      </w:r>
      <w:r>
        <w:rPr>
          <w:rFonts w:ascii="宋体" w:hAnsi="宋体" w:cs="宋体"/>
          <w:color w:val="auto"/>
          <w:spacing w:val="11"/>
          <w:sz w:val="20"/>
          <w:szCs w:val="20"/>
          <w:highlight w:val="none"/>
          <w:lang w:eastAsia="zh-CN"/>
        </w:rPr>
        <w:t>供</w:t>
      </w:r>
      <w:r>
        <w:rPr>
          <w:rFonts w:ascii="宋体" w:hAnsi="宋体" w:cs="宋体"/>
          <w:color w:val="auto"/>
          <w:spacing w:val="9"/>
          <w:sz w:val="20"/>
          <w:szCs w:val="20"/>
          <w:highlight w:val="none"/>
          <w:lang w:eastAsia="zh-CN"/>
        </w:rPr>
        <w:t>除本保函原件和索赔通知外的其他任何证明材料。</w:t>
      </w:r>
    </w:p>
    <w:p>
      <w:pPr>
        <w:spacing w:before="1" w:line="360" w:lineRule="auto"/>
        <w:ind w:left="424"/>
        <w:rPr>
          <w:rFonts w:ascii="宋体" w:hAnsi="宋体" w:cs="宋体"/>
          <w:color w:val="auto"/>
          <w:sz w:val="20"/>
          <w:szCs w:val="20"/>
          <w:highlight w:val="none"/>
          <w:lang w:eastAsia="zh-CN"/>
        </w:rPr>
      </w:pPr>
      <w:r>
        <w:rPr>
          <w:rFonts w:ascii="宋体" w:hAnsi="宋体" w:cs="宋体"/>
          <w:color w:val="auto"/>
          <w:spacing w:val="16"/>
          <w:sz w:val="20"/>
          <w:szCs w:val="20"/>
          <w:highlight w:val="none"/>
          <w:lang w:eastAsia="zh-CN"/>
        </w:rPr>
        <w:t>五</w:t>
      </w:r>
      <w:r>
        <w:rPr>
          <w:rFonts w:ascii="宋体" w:hAnsi="宋体" w:cs="宋体"/>
          <w:color w:val="auto"/>
          <w:spacing w:val="9"/>
          <w:sz w:val="20"/>
          <w:szCs w:val="20"/>
          <w:highlight w:val="none"/>
          <w:lang w:eastAsia="zh-CN"/>
        </w:rPr>
        <w:t>、本保函金额将随我司按你方索赔通知要求分次支付而相应递减。</w:t>
      </w:r>
    </w:p>
    <w:p>
      <w:pPr>
        <w:spacing w:before="222" w:line="360" w:lineRule="auto"/>
        <w:ind w:left="7" w:right="73" w:firstLine="415"/>
        <w:rPr>
          <w:rFonts w:ascii="宋体" w:hAnsi="宋体" w:cs="宋体"/>
          <w:color w:val="auto"/>
          <w:sz w:val="20"/>
          <w:szCs w:val="20"/>
          <w:highlight w:val="none"/>
          <w:lang w:eastAsia="zh-CN"/>
        </w:rPr>
      </w:pPr>
      <w:r>
        <w:rPr>
          <w:rFonts w:ascii="宋体" w:hAnsi="宋体" w:cs="宋体"/>
          <w:color w:val="auto"/>
          <w:spacing w:val="20"/>
          <w:sz w:val="20"/>
          <w:szCs w:val="20"/>
          <w:highlight w:val="none"/>
          <w:lang w:eastAsia="zh-CN"/>
        </w:rPr>
        <w:t>六、</w:t>
      </w:r>
      <w:r>
        <w:rPr>
          <w:rFonts w:ascii="宋体" w:hAnsi="宋体" w:cs="宋体"/>
          <w:color w:val="auto"/>
          <w:spacing w:val="19"/>
          <w:sz w:val="20"/>
          <w:szCs w:val="20"/>
          <w:highlight w:val="none"/>
          <w:lang w:eastAsia="zh-CN"/>
        </w:rPr>
        <w:t>本</w:t>
      </w:r>
      <w:r>
        <w:rPr>
          <w:rFonts w:ascii="宋体" w:hAnsi="宋体" w:cs="宋体"/>
          <w:color w:val="auto"/>
          <w:spacing w:val="10"/>
          <w:sz w:val="20"/>
          <w:szCs w:val="20"/>
          <w:highlight w:val="none"/>
          <w:lang w:eastAsia="zh-CN"/>
        </w:rPr>
        <w:t>保函项下的权利不得转让，不得设定担保。受益人未经我司书面同意转让本保函或其项</w:t>
      </w:r>
      <w:r>
        <w:rPr>
          <w:rFonts w:ascii="宋体" w:hAnsi="宋体" w:cs="宋体"/>
          <w:color w:val="auto"/>
          <w:spacing w:val="9"/>
          <w:sz w:val="20"/>
          <w:szCs w:val="20"/>
          <w:highlight w:val="none"/>
          <w:lang w:eastAsia="zh-CN"/>
        </w:rPr>
        <w:t>下任何权利，我司在本保函项下的义务与责任全部消灭</w:t>
      </w:r>
      <w:r>
        <w:rPr>
          <w:rFonts w:ascii="宋体" w:hAnsi="宋体" w:cs="宋体"/>
          <w:color w:val="auto"/>
          <w:spacing w:val="7"/>
          <w:sz w:val="20"/>
          <w:szCs w:val="20"/>
          <w:highlight w:val="none"/>
          <w:lang w:eastAsia="zh-CN"/>
        </w:rPr>
        <w:t>。</w:t>
      </w:r>
    </w:p>
    <w:p>
      <w:pPr>
        <w:spacing w:before="1" w:line="360" w:lineRule="auto"/>
        <w:ind w:left="420"/>
        <w:rPr>
          <w:rFonts w:ascii="宋体" w:hAnsi="宋体" w:cs="宋体"/>
          <w:color w:val="auto"/>
          <w:sz w:val="20"/>
          <w:szCs w:val="20"/>
          <w:highlight w:val="none"/>
          <w:lang w:eastAsia="zh-CN"/>
        </w:rPr>
      </w:pPr>
      <w:r>
        <w:rPr>
          <w:rFonts w:ascii="宋体" w:hAnsi="宋体" w:cs="宋体"/>
          <w:color w:val="auto"/>
          <w:spacing w:val="4"/>
          <w:sz w:val="20"/>
          <w:szCs w:val="20"/>
          <w:highlight w:val="none"/>
          <w:lang w:eastAsia="zh-CN"/>
        </w:rPr>
        <w:t>七、因本保函发生争议协商解决</w:t>
      </w:r>
      <w:r>
        <w:rPr>
          <w:rFonts w:ascii="宋体" w:hAnsi="宋体" w:cs="宋体"/>
          <w:color w:val="auto"/>
          <w:spacing w:val="3"/>
          <w:sz w:val="20"/>
          <w:szCs w:val="20"/>
          <w:highlight w:val="none"/>
          <w:lang w:eastAsia="zh-CN"/>
        </w:rPr>
        <w:t>不</w:t>
      </w:r>
      <w:r>
        <w:rPr>
          <w:rFonts w:ascii="宋体" w:hAnsi="宋体" w:cs="宋体"/>
          <w:color w:val="auto"/>
          <w:spacing w:val="2"/>
          <w:sz w:val="20"/>
          <w:szCs w:val="20"/>
          <w:highlight w:val="none"/>
          <w:lang w:eastAsia="zh-CN"/>
        </w:rPr>
        <w:t>成，按以下第</w:t>
      </w:r>
      <w:r>
        <w:rPr>
          <w:rFonts w:ascii="宋体" w:hAnsi="宋体" w:cs="宋体"/>
          <w:color w:val="auto"/>
          <w:spacing w:val="2"/>
          <w:sz w:val="20"/>
          <w:szCs w:val="20"/>
          <w:highlight w:val="none"/>
          <w:u w:val="single"/>
          <w:lang w:eastAsia="zh-CN"/>
        </w:rPr>
        <w:t>(一)</w:t>
      </w:r>
      <w:r>
        <w:rPr>
          <w:rFonts w:ascii="宋体" w:hAnsi="宋体" w:cs="宋体"/>
          <w:color w:val="auto"/>
          <w:spacing w:val="2"/>
          <w:sz w:val="20"/>
          <w:szCs w:val="20"/>
          <w:highlight w:val="none"/>
          <w:lang w:eastAsia="zh-CN"/>
        </w:rPr>
        <w:t>种方式解决：</w:t>
      </w:r>
    </w:p>
    <w:p>
      <w:pPr>
        <w:spacing w:before="77" w:line="360" w:lineRule="auto"/>
        <w:ind w:left="107" w:right="2" w:firstLine="430"/>
        <w:rPr>
          <w:rFonts w:ascii="宋体" w:hAnsi="宋体" w:cs="宋体"/>
          <w:color w:val="auto"/>
          <w:spacing w:val="7"/>
          <w:sz w:val="20"/>
          <w:szCs w:val="20"/>
          <w:highlight w:val="none"/>
          <w:lang w:eastAsia="zh-CN"/>
        </w:rPr>
      </w:pPr>
      <w:r>
        <w:rPr>
          <w:rFonts w:ascii="宋体" w:hAnsi="宋体" w:cs="宋体"/>
          <w:color w:val="auto"/>
          <w:spacing w:val="14"/>
          <w:sz w:val="20"/>
          <w:szCs w:val="20"/>
          <w:highlight w:val="none"/>
          <w:lang w:eastAsia="zh-CN"/>
        </w:rPr>
        <w:t>(</w:t>
      </w:r>
      <w:r>
        <w:rPr>
          <w:rFonts w:ascii="宋体" w:hAnsi="宋体" w:cs="宋体"/>
          <w:color w:val="auto"/>
          <w:spacing w:val="11"/>
          <w:sz w:val="20"/>
          <w:szCs w:val="20"/>
          <w:highlight w:val="none"/>
          <w:lang w:eastAsia="zh-CN"/>
        </w:rPr>
        <w:t>一</w:t>
      </w:r>
      <w:r>
        <w:rPr>
          <w:rFonts w:ascii="宋体" w:hAnsi="宋体" w:cs="宋体"/>
          <w:color w:val="auto"/>
          <w:spacing w:val="7"/>
          <w:sz w:val="20"/>
          <w:szCs w:val="20"/>
          <w:highlight w:val="none"/>
          <w:lang w:eastAsia="zh-CN"/>
        </w:rPr>
        <w:t>)向工程所在地有管辖权的人民法院起诉。</w:t>
      </w:r>
    </w:p>
    <w:p>
      <w:pPr>
        <w:spacing w:before="77" w:line="360" w:lineRule="auto"/>
        <w:ind w:left="107" w:right="2" w:firstLine="430"/>
        <w:rPr>
          <w:rFonts w:ascii="宋体" w:hAnsi="宋体" w:cs="宋体"/>
          <w:color w:val="auto"/>
          <w:sz w:val="20"/>
          <w:szCs w:val="20"/>
          <w:highlight w:val="none"/>
          <w:lang w:eastAsia="zh-CN"/>
        </w:rPr>
      </w:pPr>
      <w:r>
        <w:rPr>
          <w:rFonts w:ascii="宋体" w:hAnsi="宋体" w:cs="宋体"/>
          <w:color w:val="auto"/>
          <w:spacing w:val="8"/>
          <w:sz w:val="20"/>
          <w:szCs w:val="20"/>
          <w:highlight w:val="none"/>
          <w:lang w:eastAsia="zh-CN"/>
        </w:rPr>
        <w:t>(二)提交</w:t>
      </w:r>
      <w:r>
        <w:rPr>
          <w:rFonts w:ascii="宋体" w:hAnsi="宋体" w:cs="宋体"/>
          <w:color w:val="auto"/>
          <w:spacing w:val="8"/>
          <w:sz w:val="20"/>
          <w:szCs w:val="20"/>
          <w:highlight w:val="none"/>
          <w:u w:val="single"/>
          <w:lang w:eastAsia="zh-CN"/>
        </w:rPr>
        <w:t xml:space="preserve">             </w:t>
      </w:r>
      <w:r>
        <w:rPr>
          <w:rFonts w:ascii="宋体" w:hAnsi="宋体" w:cs="宋体"/>
          <w:color w:val="auto"/>
          <w:spacing w:val="8"/>
          <w:sz w:val="20"/>
          <w:szCs w:val="20"/>
          <w:highlight w:val="none"/>
          <w:lang w:eastAsia="zh-CN"/>
        </w:rPr>
        <w:t>仲裁委员会 (仲裁地点为</w:t>
      </w:r>
      <w:r>
        <w:rPr>
          <w:rFonts w:ascii="宋体" w:hAnsi="宋体" w:cs="宋体"/>
          <w:color w:val="auto"/>
          <w:spacing w:val="8"/>
          <w:sz w:val="20"/>
          <w:szCs w:val="20"/>
          <w:highlight w:val="none"/>
          <w:u w:val="single"/>
          <w:lang w:eastAsia="zh-CN"/>
        </w:rPr>
        <w:t xml:space="preserve">     </w:t>
      </w:r>
      <w:r>
        <w:rPr>
          <w:rFonts w:ascii="宋体" w:hAnsi="宋体" w:cs="宋体"/>
          <w:color w:val="auto"/>
          <w:spacing w:val="8"/>
          <w:sz w:val="20"/>
          <w:szCs w:val="20"/>
          <w:highlight w:val="none"/>
          <w:lang w:eastAsia="zh-CN"/>
        </w:rPr>
        <w:t xml:space="preserve"> ) ，按照申请仲裁时该会现行有效</w:t>
      </w:r>
      <w:r>
        <w:rPr>
          <w:rFonts w:ascii="宋体" w:hAnsi="宋体" w:cs="宋体"/>
          <w:color w:val="auto"/>
          <w:spacing w:val="7"/>
          <w:sz w:val="20"/>
          <w:szCs w:val="20"/>
          <w:highlight w:val="none"/>
          <w:lang w:eastAsia="zh-CN"/>
        </w:rPr>
        <w:t>的</w:t>
      </w:r>
      <w:r>
        <w:rPr>
          <w:rFonts w:ascii="宋体" w:hAnsi="宋体" w:cs="宋体"/>
          <w:color w:val="auto"/>
          <w:spacing w:val="16"/>
          <w:sz w:val="20"/>
          <w:szCs w:val="20"/>
          <w:highlight w:val="none"/>
          <w:lang w:eastAsia="zh-CN"/>
        </w:rPr>
        <w:t>仲</w:t>
      </w:r>
      <w:r>
        <w:rPr>
          <w:rFonts w:ascii="宋体" w:hAnsi="宋体" w:cs="宋体"/>
          <w:color w:val="auto"/>
          <w:spacing w:val="9"/>
          <w:sz w:val="20"/>
          <w:szCs w:val="20"/>
          <w:highlight w:val="none"/>
          <w:lang w:eastAsia="zh-CN"/>
        </w:rPr>
        <w:t>裁规则进行仲裁。仲裁裁决是终局的，对双方均有约束力。</w:t>
      </w:r>
    </w:p>
    <w:p>
      <w:pPr>
        <w:spacing w:line="360" w:lineRule="auto"/>
        <w:ind w:left="113" w:firstLine="418"/>
        <w:rPr>
          <w:rFonts w:ascii="宋体" w:hAnsi="宋体" w:cs="宋体"/>
          <w:color w:val="auto"/>
          <w:sz w:val="20"/>
          <w:szCs w:val="20"/>
          <w:highlight w:val="none"/>
          <w:lang w:eastAsia="zh-CN"/>
        </w:rPr>
      </w:pPr>
      <w:r>
        <w:rPr>
          <w:rFonts w:ascii="宋体" w:hAnsi="宋体" w:cs="宋体"/>
          <w:color w:val="auto"/>
          <w:spacing w:val="20"/>
          <w:sz w:val="20"/>
          <w:szCs w:val="20"/>
          <w:highlight w:val="none"/>
          <w:lang w:eastAsia="zh-CN"/>
        </w:rPr>
        <w:t>八、本</w:t>
      </w:r>
      <w:r>
        <w:rPr>
          <w:rFonts w:ascii="宋体" w:hAnsi="宋体" w:cs="宋体"/>
          <w:color w:val="auto"/>
          <w:spacing w:val="10"/>
          <w:sz w:val="20"/>
          <w:szCs w:val="20"/>
          <w:highlight w:val="none"/>
          <w:lang w:eastAsia="zh-CN"/>
        </w:rPr>
        <w:t>保函有效期届满，本保函失效，我司在本保函项下的责任消灭，受益人应立即将本保函</w:t>
      </w:r>
      <w:r>
        <w:rPr>
          <w:rFonts w:ascii="宋体" w:hAnsi="宋体" w:cs="宋体"/>
          <w:color w:val="auto"/>
          <w:sz w:val="20"/>
          <w:szCs w:val="20"/>
          <w:highlight w:val="none"/>
          <w:lang w:eastAsia="zh-CN"/>
        </w:rPr>
        <w:t xml:space="preserve"> </w:t>
      </w:r>
      <w:r>
        <w:rPr>
          <w:rFonts w:ascii="宋体" w:hAnsi="宋体" w:cs="宋体"/>
          <w:color w:val="auto"/>
          <w:spacing w:val="16"/>
          <w:sz w:val="20"/>
          <w:szCs w:val="20"/>
          <w:highlight w:val="none"/>
          <w:lang w:eastAsia="zh-CN"/>
        </w:rPr>
        <w:t>原</w:t>
      </w:r>
      <w:r>
        <w:rPr>
          <w:rFonts w:ascii="宋体" w:hAnsi="宋体" w:cs="宋体"/>
          <w:color w:val="auto"/>
          <w:spacing w:val="9"/>
          <w:sz w:val="20"/>
          <w:szCs w:val="20"/>
          <w:highlight w:val="none"/>
          <w:lang w:eastAsia="zh-CN"/>
        </w:rPr>
        <w:t>件退还我司；受益人未履行上述义务，本保函仍在有效期届至之日失效。</w:t>
      </w:r>
    </w:p>
    <w:p>
      <w:pPr>
        <w:spacing w:line="360" w:lineRule="auto"/>
        <w:ind w:left="533"/>
        <w:rPr>
          <w:rFonts w:ascii="宋体" w:hAnsi="宋体" w:cs="宋体"/>
          <w:color w:val="auto"/>
          <w:sz w:val="20"/>
          <w:szCs w:val="20"/>
          <w:highlight w:val="none"/>
          <w:lang w:eastAsia="zh-CN"/>
        </w:rPr>
      </w:pPr>
      <w:r>
        <w:rPr>
          <w:rFonts w:ascii="宋体" w:hAnsi="宋体" w:cs="宋体"/>
          <w:color w:val="auto"/>
          <w:spacing w:val="16"/>
          <w:sz w:val="20"/>
          <w:szCs w:val="20"/>
          <w:highlight w:val="none"/>
          <w:lang w:eastAsia="zh-CN"/>
        </w:rPr>
        <w:t>九</w:t>
      </w:r>
      <w:r>
        <w:rPr>
          <w:rFonts w:ascii="宋体" w:hAnsi="宋体" w:cs="宋体"/>
          <w:color w:val="auto"/>
          <w:spacing w:val="8"/>
          <w:sz w:val="20"/>
          <w:szCs w:val="20"/>
          <w:highlight w:val="none"/>
          <w:lang w:eastAsia="zh-CN"/>
        </w:rPr>
        <w:t>、本保函适用中华人民共和国法律。</w:t>
      </w:r>
    </w:p>
    <w:p>
      <w:pPr>
        <w:spacing w:before="230" w:line="360" w:lineRule="auto"/>
        <w:ind w:left="529"/>
        <w:rPr>
          <w:rFonts w:ascii="宋体" w:hAnsi="宋体" w:cs="宋体"/>
          <w:color w:val="auto"/>
          <w:sz w:val="20"/>
          <w:szCs w:val="20"/>
          <w:highlight w:val="none"/>
          <w:lang w:eastAsia="zh-CN"/>
        </w:rPr>
      </w:pPr>
      <w:r>
        <w:rPr>
          <w:rFonts w:ascii="宋体" w:hAnsi="宋体" w:cs="宋体"/>
          <w:color w:val="auto"/>
          <w:spacing w:val="7"/>
          <w:sz w:val="20"/>
          <w:szCs w:val="20"/>
          <w:highlight w:val="none"/>
          <w:lang w:eastAsia="zh-CN"/>
        </w:rPr>
        <w:t>十、其他条款</w:t>
      </w:r>
      <w:r>
        <w:rPr>
          <w:rFonts w:ascii="宋体" w:hAnsi="宋体" w:cs="宋体"/>
          <w:color w:val="auto"/>
          <w:spacing w:val="6"/>
          <w:sz w:val="20"/>
          <w:szCs w:val="20"/>
          <w:highlight w:val="none"/>
          <w:lang w:eastAsia="zh-CN"/>
        </w:rPr>
        <w:t>：</w:t>
      </w:r>
    </w:p>
    <w:p>
      <w:pPr>
        <w:spacing w:before="232" w:line="360" w:lineRule="auto"/>
        <w:ind w:left="109" w:firstLine="434"/>
        <w:rPr>
          <w:rFonts w:ascii="宋体" w:hAnsi="宋体" w:cs="宋体"/>
          <w:color w:val="auto"/>
          <w:sz w:val="20"/>
          <w:szCs w:val="20"/>
          <w:highlight w:val="none"/>
          <w:lang w:eastAsia="zh-CN"/>
        </w:rPr>
      </w:pPr>
      <w:r>
        <w:rPr>
          <w:rFonts w:ascii="宋体" w:hAnsi="宋体" w:cs="宋体"/>
          <w:color w:val="auto"/>
          <w:spacing w:val="18"/>
          <w:sz w:val="20"/>
          <w:szCs w:val="20"/>
          <w:highlight w:val="none"/>
          <w:lang w:eastAsia="zh-CN"/>
        </w:rPr>
        <w:t>1</w:t>
      </w:r>
      <w:r>
        <w:rPr>
          <w:rFonts w:ascii="宋体" w:hAnsi="宋体" w:cs="宋体"/>
          <w:color w:val="auto"/>
          <w:spacing w:val="10"/>
          <w:sz w:val="20"/>
          <w:szCs w:val="20"/>
          <w:highlight w:val="none"/>
          <w:lang w:eastAsia="zh-CN"/>
        </w:rPr>
        <w:t>.本保函有效期届满，本保函自动失效，我司在本保函项下的义务与责任自动全部消灭，此后</w:t>
      </w:r>
      <w:r>
        <w:rPr>
          <w:rFonts w:ascii="宋体" w:hAnsi="宋体" w:cs="宋体"/>
          <w:color w:val="auto"/>
          <w:spacing w:val="14"/>
          <w:sz w:val="20"/>
          <w:szCs w:val="20"/>
          <w:highlight w:val="none"/>
          <w:lang w:eastAsia="zh-CN"/>
        </w:rPr>
        <w:t>提</w:t>
      </w:r>
      <w:r>
        <w:rPr>
          <w:rFonts w:ascii="宋体" w:hAnsi="宋体" w:cs="宋体"/>
          <w:color w:val="auto"/>
          <w:spacing w:val="9"/>
          <w:sz w:val="20"/>
          <w:szCs w:val="20"/>
          <w:highlight w:val="none"/>
          <w:lang w:eastAsia="zh-CN"/>
        </w:rPr>
        <w:t>出的任何索赔均为无效索赔，我行无义务作出任何赔付。</w:t>
      </w:r>
    </w:p>
    <w:p>
      <w:pPr>
        <w:spacing w:line="360" w:lineRule="auto"/>
        <w:ind w:left="112" w:firstLine="418"/>
        <w:rPr>
          <w:rFonts w:ascii="宋体" w:hAnsi="宋体" w:cs="宋体"/>
          <w:color w:val="auto"/>
          <w:sz w:val="20"/>
          <w:szCs w:val="20"/>
          <w:highlight w:val="none"/>
          <w:lang w:eastAsia="zh-CN"/>
        </w:rPr>
      </w:pPr>
      <w:r>
        <w:rPr>
          <w:rFonts w:ascii="宋体" w:hAnsi="宋体" w:cs="宋体"/>
          <w:color w:val="auto"/>
          <w:spacing w:val="14"/>
          <w:sz w:val="20"/>
          <w:szCs w:val="20"/>
          <w:highlight w:val="none"/>
          <w:lang w:eastAsia="zh-CN"/>
        </w:rPr>
        <w:t>2.所有</w:t>
      </w:r>
      <w:r>
        <w:rPr>
          <w:rFonts w:ascii="宋体" w:hAnsi="宋体" w:cs="宋体"/>
          <w:color w:val="auto"/>
          <w:spacing w:val="12"/>
          <w:sz w:val="20"/>
          <w:szCs w:val="20"/>
          <w:highlight w:val="none"/>
          <w:lang w:eastAsia="zh-CN"/>
        </w:rPr>
        <w:t>索</w:t>
      </w:r>
      <w:r>
        <w:rPr>
          <w:rFonts w:ascii="宋体" w:hAnsi="宋体" w:cs="宋体"/>
          <w:color w:val="auto"/>
          <w:spacing w:val="7"/>
          <w:sz w:val="20"/>
          <w:szCs w:val="20"/>
          <w:highlight w:val="none"/>
          <w:lang w:eastAsia="zh-CN"/>
        </w:rPr>
        <w:t>赔通知必须在我司营业时间内到达本保函规定的地址，即每个营业日【   】点前，否</w:t>
      </w:r>
      <w:r>
        <w:rPr>
          <w:rFonts w:ascii="宋体" w:hAnsi="宋体" w:cs="宋体"/>
          <w:color w:val="auto"/>
          <w:spacing w:val="9"/>
          <w:sz w:val="20"/>
          <w:szCs w:val="20"/>
          <w:highlight w:val="none"/>
          <w:lang w:eastAsia="zh-CN"/>
        </w:rPr>
        <w:t>则</w:t>
      </w:r>
      <w:r>
        <w:rPr>
          <w:rFonts w:ascii="宋体" w:hAnsi="宋体" w:cs="宋体"/>
          <w:color w:val="auto"/>
          <w:spacing w:val="8"/>
          <w:sz w:val="20"/>
          <w:szCs w:val="20"/>
          <w:highlight w:val="none"/>
          <w:lang w:eastAsia="zh-CN"/>
        </w:rPr>
        <w:t>视为在下一个营业日到达。</w:t>
      </w:r>
    </w:p>
    <w:p>
      <w:pPr>
        <w:tabs>
          <w:tab w:val="left" w:pos="5905"/>
        </w:tabs>
        <w:spacing w:before="123" w:line="360" w:lineRule="auto"/>
        <w:ind w:left="520"/>
        <w:rPr>
          <w:rFonts w:ascii="宋体" w:hAnsi="宋体" w:cs="宋体"/>
          <w:color w:val="auto"/>
          <w:sz w:val="7"/>
          <w:szCs w:val="7"/>
          <w:highlight w:val="none"/>
          <w:lang w:eastAsia="zh-CN"/>
        </w:rPr>
      </w:pPr>
      <w:r>
        <w:rPr>
          <w:rFonts w:ascii="宋体" w:hAnsi="宋体" w:cs="宋体"/>
          <w:color w:val="auto"/>
          <w:sz w:val="7"/>
          <w:szCs w:val="7"/>
          <w:highlight w:val="none"/>
          <w:u w:val="single"/>
          <w:lang w:eastAsia="zh-CN"/>
        </w:rPr>
        <w:tab/>
      </w:r>
      <w:r>
        <w:rPr>
          <w:rFonts w:ascii="宋体" w:hAnsi="宋体" w:cs="宋体"/>
          <w:color w:val="auto"/>
          <w:spacing w:val="11"/>
          <w:sz w:val="7"/>
          <w:szCs w:val="7"/>
          <w:highlight w:val="none"/>
          <w:lang w:eastAsia="zh-CN"/>
        </w:rPr>
        <w:t>。</w:t>
      </w:r>
    </w:p>
    <w:p>
      <w:pPr>
        <w:spacing w:before="280" w:line="360" w:lineRule="auto"/>
        <w:ind w:left="529"/>
        <w:rPr>
          <w:rFonts w:ascii="宋体" w:hAnsi="宋体" w:cs="宋体"/>
          <w:color w:val="auto"/>
          <w:sz w:val="20"/>
          <w:szCs w:val="20"/>
          <w:highlight w:val="none"/>
          <w:lang w:eastAsia="zh-CN"/>
        </w:rPr>
      </w:pPr>
      <w:r>
        <w:rPr>
          <w:rFonts w:ascii="宋体" w:hAnsi="宋体" w:cs="宋体"/>
          <w:color w:val="auto"/>
          <w:spacing w:val="18"/>
          <w:sz w:val="20"/>
          <w:szCs w:val="20"/>
          <w:highlight w:val="none"/>
          <w:lang w:eastAsia="zh-CN"/>
        </w:rPr>
        <w:t>十</w:t>
      </w:r>
      <w:r>
        <w:rPr>
          <w:rFonts w:ascii="宋体" w:hAnsi="宋体" w:cs="宋体"/>
          <w:color w:val="auto"/>
          <w:spacing w:val="9"/>
          <w:sz w:val="20"/>
          <w:szCs w:val="20"/>
          <w:highlight w:val="none"/>
          <w:lang w:eastAsia="zh-CN"/>
        </w:rPr>
        <w:t>一、本保函自我司负责人或授权代理人签字并加盖公章之日起生效。</w:t>
      </w:r>
    </w:p>
    <w:p>
      <w:pPr>
        <w:spacing w:line="360" w:lineRule="auto"/>
        <w:rPr>
          <w:rFonts w:ascii="Arial"/>
          <w:color w:val="auto"/>
          <w:sz w:val="21"/>
          <w:highlight w:val="none"/>
          <w:lang w:eastAsia="zh-CN"/>
        </w:rPr>
      </w:pPr>
    </w:p>
    <w:p>
      <w:pPr>
        <w:spacing w:before="66" w:line="360" w:lineRule="auto"/>
        <w:ind w:left="3260"/>
        <w:rPr>
          <w:rFonts w:ascii="宋体" w:hAnsi="宋体" w:cs="宋体"/>
          <w:color w:val="auto"/>
          <w:sz w:val="20"/>
          <w:szCs w:val="20"/>
          <w:highlight w:val="none"/>
          <w:lang w:eastAsia="zh-CN"/>
        </w:rPr>
      </w:pPr>
      <w:r>
        <w:rPr>
          <w:rFonts w:ascii="宋体" w:hAnsi="宋体" w:cs="宋体"/>
          <w:color w:val="auto"/>
          <w:spacing w:val="6"/>
          <w:sz w:val="20"/>
          <w:szCs w:val="20"/>
          <w:highlight w:val="none"/>
          <w:lang w:eastAsia="zh-CN"/>
        </w:rPr>
        <w:t>开立人 (公章) ：</w:t>
      </w:r>
    </w:p>
    <w:p>
      <w:pPr>
        <w:spacing w:before="234" w:line="360" w:lineRule="auto"/>
        <w:ind w:left="3267"/>
        <w:rPr>
          <w:rFonts w:ascii="宋体" w:hAnsi="宋体" w:cs="宋体"/>
          <w:color w:val="auto"/>
          <w:sz w:val="20"/>
          <w:szCs w:val="20"/>
          <w:highlight w:val="none"/>
          <w:lang w:eastAsia="zh-CN"/>
        </w:rPr>
      </w:pPr>
      <w:r>
        <w:rPr>
          <w:rFonts w:ascii="宋体" w:hAnsi="宋体" w:cs="宋体"/>
          <w:color w:val="auto"/>
          <w:spacing w:val="8"/>
          <w:sz w:val="20"/>
          <w:szCs w:val="20"/>
          <w:highlight w:val="none"/>
          <w:lang w:eastAsia="zh-CN"/>
        </w:rPr>
        <w:t>负</w:t>
      </w:r>
      <w:r>
        <w:rPr>
          <w:rFonts w:ascii="宋体" w:hAnsi="宋体" w:cs="宋体"/>
          <w:color w:val="auto"/>
          <w:spacing w:val="7"/>
          <w:sz w:val="20"/>
          <w:szCs w:val="20"/>
          <w:highlight w:val="none"/>
          <w:lang w:eastAsia="zh-CN"/>
        </w:rPr>
        <w:t>责人或授权代理人 (签字) ：</w:t>
      </w:r>
    </w:p>
    <w:p>
      <w:pPr>
        <w:spacing w:before="233" w:line="360" w:lineRule="auto"/>
        <w:ind w:left="3259"/>
        <w:rPr>
          <w:rFonts w:ascii="宋体" w:hAnsi="宋体" w:cs="宋体"/>
          <w:color w:val="auto"/>
          <w:sz w:val="20"/>
          <w:szCs w:val="20"/>
          <w:highlight w:val="none"/>
          <w:lang w:eastAsia="zh-CN"/>
        </w:rPr>
      </w:pPr>
      <w:r>
        <w:rPr>
          <w:rFonts w:ascii="宋体" w:hAnsi="宋体" w:cs="宋体"/>
          <w:color w:val="auto"/>
          <w:spacing w:val="4"/>
          <w:sz w:val="20"/>
          <w:szCs w:val="20"/>
          <w:highlight w:val="none"/>
          <w:lang w:eastAsia="zh-CN"/>
        </w:rPr>
        <w:t>签</w:t>
      </w:r>
      <w:r>
        <w:rPr>
          <w:rFonts w:ascii="宋体" w:hAnsi="宋体" w:cs="宋体"/>
          <w:color w:val="auto"/>
          <w:spacing w:val="3"/>
          <w:sz w:val="20"/>
          <w:szCs w:val="20"/>
          <w:highlight w:val="none"/>
          <w:lang w:eastAsia="zh-CN"/>
        </w:rPr>
        <w:t>发日期</w:t>
      </w:r>
      <w:r>
        <w:rPr>
          <w:rFonts w:ascii="宋体" w:hAnsi="宋体" w:cs="宋体"/>
          <w:color w:val="auto"/>
          <w:spacing w:val="3"/>
          <w:sz w:val="20"/>
          <w:szCs w:val="20"/>
          <w:highlight w:val="none"/>
          <w:u w:val="single"/>
          <w:lang w:eastAsia="zh-CN"/>
        </w:rPr>
        <w:t xml:space="preserve">       </w:t>
      </w:r>
      <w:r>
        <w:rPr>
          <w:rFonts w:ascii="宋体" w:hAnsi="宋体" w:cs="宋体"/>
          <w:color w:val="auto"/>
          <w:spacing w:val="3"/>
          <w:sz w:val="20"/>
          <w:szCs w:val="20"/>
          <w:highlight w:val="none"/>
          <w:lang w:eastAsia="zh-CN"/>
        </w:rPr>
        <w:t>年</w:t>
      </w:r>
      <w:r>
        <w:rPr>
          <w:rFonts w:ascii="宋体" w:hAnsi="宋体" w:cs="宋体"/>
          <w:color w:val="auto"/>
          <w:spacing w:val="3"/>
          <w:sz w:val="20"/>
          <w:szCs w:val="20"/>
          <w:highlight w:val="none"/>
          <w:u w:val="single"/>
          <w:lang w:eastAsia="zh-CN"/>
        </w:rPr>
        <w:t xml:space="preserve">    </w:t>
      </w:r>
      <w:r>
        <w:rPr>
          <w:rFonts w:ascii="宋体" w:hAnsi="宋体" w:cs="宋体"/>
          <w:color w:val="auto"/>
          <w:spacing w:val="3"/>
          <w:sz w:val="20"/>
          <w:szCs w:val="20"/>
          <w:highlight w:val="none"/>
          <w:lang w:eastAsia="zh-CN"/>
        </w:rPr>
        <w:t>月</w:t>
      </w:r>
      <w:r>
        <w:rPr>
          <w:rFonts w:ascii="宋体" w:hAnsi="宋体" w:cs="宋体"/>
          <w:color w:val="auto"/>
          <w:spacing w:val="3"/>
          <w:sz w:val="20"/>
          <w:szCs w:val="20"/>
          <w:highlight w:val="none"/>
          <w:u w:val="single"/>
          <w:lang w:eastAsia="zh-CN"/>
        </w:rPr>
        <w:t xml:space="preserve">    </w:t>
      </w:r>
      <w:r>
        <w:rPr>
          <w:rFonts w:ascii="宋体" w:hAnsi="宋体" w:cs="宋体"/>
          <w:color w:val="auto"/>
          <w:spacing w:val="3"/>
          <w:sz w:val="20"/>
          <w:szCs w:val="20"/>
          <w:highlight w:val="none"/>
          <w:lang w:eastAsia="zh-CN"/>
        </w:rPr>
        <w:t xml:space="preserve"> 日</w:t>
      </w:r>
    </w:p>
    <w:p>
      <w:pPr>
        <w:spacing w:line="360" w:lineRule="auto"/>
        <w:rPr>
          <w:rFonts w:ascii="Arial"/>
          <w:color w:val="auto"/>
          <w:sz w:val="21"/>
          <w:highlight w:val="none"/>
          <w:lang w:eastAsia="zh-CN"/>
        </w:rPr>
      </w:pPr>
    </w:p>
    <w:p>
      <w:pPr>
        <w:spacing w:line="265" w:lineRule="auto"/>
        <w:rPr>
          <w:rFonts w:ascii="Arial"/>
          <w:color w:val="auto"/>
          <w:sz w:val="21"/>
          <w:highlight w:val="none"/>
          <w:lang w:eastAsia="zh-CN"/>
        </w:rPr>
      </w:pPr>
    </w:p>
    <w:p>
      <w:pPr>
        <w:spacing w:line="265" w:lineRule="auto"/>
        <w:rPr>
          <w:rFonts w:ascii="Arial"/>
          <w:color w:val="auto"/>
          <w:sz w:val="21"/>
          <w:highlight w:val="none"/>
          <w:lang w:eastAsia="zh-CN"/>
        </w:rPr>
      </w:pPr>
    </w:p>
    <w:p>
      <w:pPr>
        <w:rPr>
          <w:rFonts w:ascii="仿宋" w:hAnsi="仿宋" w:eastAsia="仿宋"/>
          <w:color w:val="auto"/>
          <w:highlight w:val="none"/>
          <w:lang w:eastAsia="zh-CN"/>
        </w:rPr>
      </w:pPr>
      <w:bookmarkStart w:id="964" w:name="_Toc13859"/>
      <w:r>
        <w:rPr>
          <w:rFonts w:ascii="宋体" w:hAnsi="宋体" w:cs="宋体"/>
          <w:color w:val="auto"/>
          <w:spacing w:val="8"/>
          <w:sz w:val="22"/>
          <w:szCs w:val="22"/>
          <w:highlight w:val="none"/>
          <w:lang w:eastAsia="zh-CN"/>
          <w14:textOutline w14:w="4013" w14:cap="sq" w14:cmpd="sng" w14:algn="ctr">
            <w14:solidFill>
              <w14:srgbClr w14:val="000000"/>
            </w14:solidFill>
            <w14:prstDash w14:val="solid"/>
            <w14:bevel/>
          </w14:textOutline>
        </w:rPr>
        <w:t>(备注：最终版本以发包人确认为准。</w:t>
      </w:r>
      <w:r>
        <w:rPr>
          <w:rFonts w:ascii="宋体" w:hAnsi="宋体" w:cs="宋体"/>
          <w:color w:val="auto"/>
          <w:spacing w:val="4"/>
          <w:sz w:val="22"/>
          <w:szCs w:val="22"/>
          <w:highlight w:val="none"/>
          <w14:textOutline w14:w="4013" w14:cap="sq" w14:cmpd="sng" w14:algn="ctr">
            <w14:solidFill>
              <w14:srgbClr w14:val="000000"/>
            </w14:solidFill>
            <w14:prstDash w14:val="solid"/>
            <w14:bevel/>
          </w14:textOutline>
        </w:rPr>
        <w:t>)</w:t>
      </w:r>
      <w:bookmarkEnd w:id="964"/>
      <w:r>
        <w:rPr>
          <w:rFonts w:ascii="仿宋" w:hAnsi="仿宋" w:eastAsia="仿宋"/>
          <w:color w:val="auto"/>
          <w:highlight w:val="none"/>
          <w:lang w:eastAsia="zh-CN"/>
        </w:rPr>
        <w:br w:type="page"/>
      </w:r>
    </w:p>
    <w:p>
      <w:pPr>
        <w:pStyle w:val="3"/>
        <w:rPr>
          <w:rFonts w:ascii="仿宋" w:hAnsi="仿宋" w:eastAsia="仿宋"/>
          <w:b w:val="0"/>
          <w:i/>
          <w:iCs/>
          <w:color w:val="auto"/>
          <w:sz w:val="24"/>
          <w:szCs w:val="24"/>
          <w:highlight w:val="none"/>
          <w:lang w:val="en-US"/>
        </w:rPr>
      </w:pPr>
      <w:bookmarkStart w:id="965" w:name="_Toc22234"/>
      <w:bookmarkStart w:id="966" w:name="_Toc47694465"/>
      <w:bookmarkStart w:id="967" w:name="_Toc8053"/>
      <w:r>
        <w:rPr>
          <w:rFonts w:hint="eastAsia" w:ascii="仿宋" w:hAnsi="仿宋" w:eastAsia="仿宋"/>
          <w:b w:val="0"/>
          <w:color w:val="auto"/>
          <w:sz w:val="24"/>
          <w:szCs w:val="24"/>
          <w:highlight w:val="none"/>
        </w:rPr>
        <w:t>格式</w:t>
      </w:r>
      <w:bookmarkEnd w:id="965"/>
      <w:bookmarkEnd w:id="966"/>
      <w:r>
        <w:rPr>
          <w:rFonts w:hint="eastAsia" w:ascii="仿宋" w:hAnsi="仿宋" w:eastAsia="仿宋"/>
          <w:b w:val="0"/>
          <w:color w:val="auto"/>
          <w:sz w:val="24"/>
          <w:szCs w:val="24"/>
          <w:highlight w:val="none"/>
          <w:lang w:val="en-US"/>
        </w:rPr>
        <w:t>2</w:t>
      </w:r>
      <w:bookmarkEnd w:id="967"/>
    </w:p>
    <w:p>
      <w:pPr>
        <w:spacing w:line="360" w:lineRule="auto"/>
        <w:jc w:val="center"/>
        <w:rPr>
          <w:rFonts w:ascii="仿宋" w:hAnsi="仿宋" w:eastAsia="仿宋"/>
          <w:b/>
          <w:bCs/>
          <w:color w:val="auto"/>
          <w:spacing w:val="30"/>
          <w:sz w:val="44"/>
          <w:szCs w:val="44"/>
          <w:highlight w:val="none"/>
        </w:rPr>
      </w:pPr>
      <w:r>
        <w:rPr>
          <w:rFonts w:hint="eastAsia" w:ascii="仿宋" w:hAnsi="仿宋" w:eastAsia="仿宋" w:cs="仿宋"/>
          <w:b/>
          <w:bCs/>
          <w:color w:val="auto"/>
          <w:spacing w:val="30"/>
          <w:sz w:val="44"/>
          <w:szCs w:val="44"/>
          <w:highlight w:val="none"/>
        </w:rPr>
        <w:t>工程项目一览表</w:t>
      </w:r>
    </w:p>
    <w:tbl>
      <w:tblPr>
        <w:tblStyle w:val="42"/>
        <w:tblW w:w="9794" w:type="dxa"/>
        <w:jc w:val="center"/>
        <w:tblLayout w:type="fixed"/>
        <w:tblCellMar>
          <w:top w:w="0" w:type="dxa"/>
          <w:left w:w="108" w:type="dxa"/>
          <w:bottom w:w="0" w:type="dxa"/>
          <w:right w:w="108" w:type="dxa"/>
        </w:tblCellMar>
      </w:tblPr>
      <w:tblGrid>
        <w:gridCol w:w="1599"/>
        <w:gridCol w:w="2165"/>
        <w:gridCol w:w="6030"/>
      </w:tblGrid>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color w:val="auto"/>
                <w:kern w:val="2"/>
                <w:highlight w:val="none"/>
              </w:rPr>
            </w:pPr>
            <w:r>
              <w:rPr>
                <w:rFonts w:hint="eastAsia" w:ascii="仿宋" w:hAnsi="仿宋" w:eastAsia="仿宋" w:cs="仿宋"/>
                <w:b/>
                <w:bCs/>
                <w:color w:val="auto"/>
                <w:sz w:val="32"/>
                <w:szCs w:val="32"/>
                <w:highlight w:val="none"/>
              </w:rPr>
              <w:t>项号</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项 目</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内      容</w:t>
            </w:r>
          </w:p>
        </w:tc>
      </w:tr>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1</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工程名称</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kern w:val="2"/>
                <w:sz w:val="28"/>
                <w:szCs w:val="28"/>
                <w:highlight w:val="none"/>
                <w:lang w:eastAsia="zh-CN"/>
              </w:rPr>
            </w:pPr>
            <w:r>
              <w:rPr>
                <w:rFonts w:hint="eastAsia" w:ascii="仿宋" w:hAnsi="仿宋" w:eastAsia="仿宋" w:cs="仿宋"/>
                <w:color w:val="auto"/>
                <w:highlight w:val="none"/>
                <w:lang w:eastAsia="zh-CN"/>
              </w:rPr>
              <w:t>中山大学附属第一医院东院区改扩建工程</w:t>
            </w:r>
          </w:p>
        </w:tc>
      </w:tr>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2</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w w:val="90"/>
                <w:sz w:val="28"/>
                <w:szCs w:val="28"/>
                <w:highlight w:val="none"/>
              </w:rPr>
            </w:pPr>
            <w:r>
              <w:rPr>
                <w:rFonts w:hint="eastAsia" w:ascii="仿宋" w:hAnsi="仿宋" w:eastAsia="仿宋"/>
                <w:color w:val="auto"/>
                <w:sz w:val="28"/>
                <w:szCs w:val="28"/>
                <w:highlight w:val="none"/>
              </w:rPr>
              <w:t>工程地点</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sz w:val="28"/>
                <w:szCs w:val="28"/>
                <w:highlight w:val="none"/>
                <w:lang w:eastAsia="zh-CN"/>
              </w:rPr>
            </w:pPr>
            <w:r>
              <w:rPr>
                <w:rFonts w:hint="eastAsia" w:ascii="仿宋" w:hAnsi="仿宋" w:eastAsia="仿宋" w:cs="仿宋"/>
                <w:color w:val="auto"/>
                <w:highlight w:val="none"/>
                <w:lang w:eastAsia="zh-CN"/>
              </w:rPr>
              <w:t>黄埔区黄埔东路183号</w:t>
            </w:r>
          </w:p>
        </w:tc>
      </w:tr>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3</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发包人</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sz w:val="28"/>
                <w:szCs w:val="28"/>
                <w:highlight w:val="none"/>
                <w:lang w:eastAsia="zh-CN"/>
              </w:rPr>
            </w:pPr>
            <w:r>
              <w:rPr>
                <w:rFonts w:hint="eastAsia" w:ascii="仿宋" w:hAnsi="仿宋" w:eastAsia="仿宋"/>
                <w:color w:val="auto"/>
                <w:sz w:val="28"/>
                <w:szCs w:val="28"/>
                <w:highlight w:val="none"/>
                <w:lang w:eastAsia="zh-CN"/>
              </w:rPr>
              <w:t>中山大学附属第一医院</w:t>
            </w:r>
          </w:p>
        </w:tc>
      </w:tr>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4</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设计顾问人</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kern w:val="2"/>
                <w:sz w:val="28"/>
                <w:szCs w:val="28"/>
                <w:highlight w:val="none"/>
              </w:rPr>
            </w:pPr>
          </w:p>
        </w:tc>
      </w:tr>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5</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监理人</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kern w:val="2"/>
                <w:sz w:val="28"/>
                <w:szCs w:val="28"/>
                <w:highlight w:val="none"/>
              </w:rPr>
            </w:pPr>
          </w:p>
        </w:tc>
      </w:tr>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6</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造价咨询人</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kern w:val="2"/>
                <w:sz w:val="28"/>
                <w:szCs w:val="28"/>
                <w:highlight w:val="none"/>
              </w:rPr>
            </w:pPr>
          </w:p>
        </w:tc>
      </w:tr>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7</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承包人</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(联合体主办方单位全称)：</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(联合体成员一全称)：</w:t>
            </w:r>
          </w:p>
          <w:p>
            <w:pPr>
              <w:pStyle w:val="40"/>
              <w:ind w:firstLine="0"/>
              <w:rPr>
                <w:rFonts w:ascii="仿宋" w:hAnsi="仿宋" w:eastAsia="仿宋"/>
                <w:color w:val="auto"/>
                <w:kern w:val="2"/>
                <w:sz w:val="28"/>
                <w:szCs w:val="28"/>
                <w:highlight w:val="none"/>
              </w:rPr>
            </w:pPr>
            <w:r>
              <w:rPr>
                <w:rFonts w:hint="eastAsia" w:ascii="仿宋" w:hAnsi="仿宋" w:eastAsia="仿宋" w:cs="仿宋"/>
                <w:color w:val="auto"/>
                <w:highlight w:val="none"/>
                <w:lang w:val="en-US" w:bidi="en-US"/>
              </w:rPr>
              <w:t>(联合体成员二全称)：</w:t>
            </w:r>
          </w:p>
        </w:tc>
      </w:tr>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8</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w w:val="90"/>
                <w:sz w:val="28"/>
                <w:szCs w:val="28"/>
                <w:highlight w:val="none"/>
              </w:rPr>
            </w:pPr>
            <w:r>
              <w:rPr>
                <w:rFonts w:hint="eastAsia" w:ascii="仿宋" w:hAnsi="仿宋" w:eastAsia="仿宋"/>
                <w:color w:val="auto"/>
                <w:sz w:val="28"/>
                <w:szCs w:val="28"/>
                <w:highlight w:val="none"/>
              </w:rPr>
              <w:t>工程总投资</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kern w:val="2"/>
                <w:sz w:val="28"/>
                <w:szCs w:val="28"/>
                <w:highlight w:val="none"/>
                <w:lang w:eastAsia="zh-CN"/>
              </w:rPr>
            </w:pPr>
            <w:r>
              <w:rPr>
                <w:rFonts w:hint="eastAsia" w:ascii="仿宋" w:hAnsi="仿宋" w:eastAsia="仿宋"/>
                <w:color w:val="auto"/>
                <w:kern w:val="2"/>
                <w:sz w:val="28"/>
                <w:szCs w:val="28"/>
                <w:highlight w:val="none"/>
                <w:lang w:eastAsia="zh-CN"/>
              </w:rPr>
              <w:t>合同投标价：</w:t>
            </w:r>
            <w:r>
              <w:rPr>
                <w:rFonts w:hint="eastAsia" w:ascii="宋体" w:hAnsi="宋体" w:cs="宋体"/>
                <w:b/>
                <w:color w:val="auto"/>
                <w:szCs w:val="21"/>
                <w:highlight w:val="none"/>
                <w:u w:val="single"/>
                <w:lang w:eastAsia="zh-CN"/>
              </w:rPr>
              <w:t xml:space="preserve">             </w:t>
            </w:r>
            <w:r>
              <w:rPr>
                <w:rFonts w:hint="eastAsia" w:ascii="仿宋" w:hAnsi="仿宋" w:eastAsia="仿宋" w:cs="仿宋"/>
                <w:color w:val="auto"/>
                <w:highlight w:val="none"/>
                <w:u w:val="single"/>
                <w:lang w:eastAsia="zh-CN"/>
              </w:rPr>
              <w:t>元</w:t>
            </w:r>
          </w:p>
        </w:tc>
      </w:tr>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9</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计划开工日期</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kern w:val="2"/>
                <w:sz w:val="28"/>
                <w:szCs w:val="28"/>
                <w:highlight w:val="none"/>
                <w:lang w:eastAsia="zh-CN"/>
              </w:rPr>
            </w:pPr>
          </w:p>
        </w:tc>
      </w:tr>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10</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计划竣工日期</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kern w:val="2"/>
                <w:sz w:val="28"/>
                <w:szCs w:val="28"/>
                <w:highlight w:val="none"/>
                <w:lang w:eastAsia="zh-CN"/>
              </w:rPr>
            </w:pPr>
          </w:p>
        </w:tc>
      </w:tr>
      <w:tr>
        <w:tblPrEx>
          <w:tblCellMar>
            <w:top w:w="0" w:type="dxa"/>
            <w:left w:w="108" w:type="dxa"/>
            <w:bottom w:w="0" w:type="dxa"/>
            <w:right w:w="108" w:type="dxa"/>
          </w:tblCellMar>
        </w:tblPrEx>
        <w:trPr>
          <w:trHeight w:val="81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11</w:t>
            </w:r>
          </w:p>
        </w:tc>
        <w:tc>
          <w:tcPr>
            <w:tcW w:w="2165"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工程质量</w:t>
            </w:r>
          </w:p>
        </w:tc>
        <w:tc>
          <w:tcPr>
            <w:tcW w:w="6030" w:type="dxa"/>
            <w:tcBorders>
              <w:top w:val="single" w:color="auto" w:sz="4" w:space="0"/>
              <w:left w:val="single" w:color="auto" w:sz="4" w:space="0"/>
              <w:bottom w:val="single" w:color="auto" w:sz="4" w:space="0"/>
              <w:right w:val="single" w:color="auto" w:sz="4" w:space="0"/>
            </w:tcBorders>
            <w:shd w:val="pct80" w:color="FFFFFF" w:fill="auto"/>
            <w:vAlign w:val="center"/>
          </w:tcPr>
          <w:p>
            <w:pPr>
              <w:rPr>
                <w:rFonts w:ascii="仿宋" w:hAnsi="仿宋" w:eastAsia="仿宋"/>
                <w:color w:val="auto"/>
                <w:kern w:val="2"/>
                <w:sz w:val="28"/>
                <w:szCs w:val="28"/>
                <w:highlight w:val="none"/>
                <w:lang w:eastAsia="zh-CN"/>
              </w:rPr>
            </w:pPr>
            <w:r>
              <w:rPr>
                <w:rFonts w:hint="eastAsia" w:ascii="宋体" w:hAnsi="宋体" w:cs="宋体"/>
                <w:color w:val="auto"/>
                <w:szCs w:val="21"/>
                <w:highlight w:val="none"/>
                <w:u w:val="single"/>
                <w:lang w:eastAsia="zh-CN"/>
              </w:rPr>
              <w:t>合格，符合设计图纸要求和国家、省、市相关法律法规规定要求及行业颁发的工程质量验收标准</w:t>
            </w:r>
          </w:p>
        </w:tc>
      </w:tr>
    </w:tbl>
    <w:p>
      <w:pPr>
        <w:spacing w:line="360" w:lineRule="auto"/>
        <w:rPr>
          <w:rFonts w:ascii="仿宋" w:hAnsi="仿宋" w:eastAsia="仿宋"/>
          <w:color w:val="auto"/>
          <w:highlight w:val="none"/>
          <w:lang w:eastAsia="zh-CN"/>
        </w:rPr>
        <w:sectPr>
          <w:endnotePr>
            <w:numFmt w:val="decimal"/>
          </w:endnotePr>
          <w:pgSz w:w="11906" w:h="16838"/>
          <w:pgMar w:top="1304" w:right="1304" w:bottom="1304" w:left="1304" w:header="794" w:footer="850" w:gutter="0"/>
          <w:cols w:space="0" w:num="1"/>
        </w:sectPr>
      </w:pPr>
    </w:p>
    <w:p>
      <w:pPr>
        <w:spacing w:before="240" w:beforeLines="100" w:after="240" w:afterLines="100" w:line="360" w:lineRule="auto"/>
        <w:outlineLvl w:val="0"/>
        <w:rPr>
          <w:rFonts w:ascii="仿宋" w:hAnsi="仿宋" w:eastAsia="仿宋" w:cs="仿宋"/>
          <w:b/>
          <w:bCs/>
          <w:color w:val="auto"/>
          <w:highlight w:val="none"/>
          <w:lang w:eastAsia="zh-CN"/>
        </w:rPr>
      </w:pPr>
      <w:bookmarkStart w:id="968" w:name="_Toc47694466"/>
      <w:bookmarkStart w:id="969" w:name="_Toc24755"/>
      <w:bookmarkStart w:id="970" w:name="_Toc25960"/>
      <w:r>
        <w:rPr>
          <w:rFonts w:hint="eastAsia" w:ascii="仿宋" w:hAnsi="仿宋" w:eastAsia="仿宋" w:cs="仿宋"/>
          <w:b/>
          <w:bCs/>
          <w:color w:val="auto"/>
          <w:highlight w:val="none"/>
          <w:lang w:eastAsia="zh-CN"/>
        </w:rPr>
        <w:t>格式</w:t>
      </w:r>
      <w:bookmarkEnd w:id="968"/>
      <w:bookmarkEnd w:id="969"/>
      <w:r>
        <w:rPr>
          <w:rFonts w:hint="eastAsia" w:ascii="仿宋" w:hAnsi="仿宋" w:eastAsia="仿宋" w:cs="仿宋"/>
          <w:b/>
          <w:bCs/>
          <w:color w:val="auto"/>
          <w:highlight w:val="none"/>
          <w:lang w:eastAsia="zh-CN"/>
        </w:rPr>
        <w:t>3</w:t>
      </w:r>
      <w:bookmarkEnd w:id="970"/>
    </w:p>
    <w:p>
      <w:pPr>
        <w:spacing w:line="360" w:lineRule="auto"/>
        <w:jc w:val="center"/>
        <w:rPr>
          <w:rFonts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承包人派驻现场主要管理人员及技术骨干名单</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                                                                                  编号：</w:t>
      </w:r>
    </w:p>
    <w:tbl>
      <w:tblPr>
        <w:tblStyle w:val="42"/>
        <w:tblW w:w="15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51"/>
        <w:gridCol w:w="851"/>
        <w:gridCol w:w="851"/>
        <w:gridCol w:w="851"/>
        <w:gridCol w:w="851"/>
        <w:gridCol w:w="1410"/>
        <w:gridCol w:w="1273"/>
        <w:gridCol w:w="802"/>
        <w:gridCol w:w="810"/>
        <w:gridCol w:w="1305"/>
        <w:gridCol w:w="2175"/>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50"/>
              </w:tabs>
              <w:jc w:val="center"/>
              <w:rPr>
                <w:rFonts w:ascii="仿宋" w:hAnsi="仿宋" w:eastAsia="仿宋"/>
                <w:color w:val="auto"/>
                <w:highlight w:val="none"/>
              </w:rPr>
            </w:pPr>
            <w:r>
              <w:rPr>
                <w:rFonts w:hint="eastAsia" w:ascii="仿宋" w:hAnsi="仿宋" w:eastAsia="仿宋" w:cs="仿宋"/>
                <w:color w:val="auto"/>
                <w:highlight w:val="none"/>
              </w:rPr>
              <w:t>姓名</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性别</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年龄</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学历</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专业</w:t>
            </w:r>
          </w:p>
        </w:tc>
        <w:tc>
          <w:tcPr>
            <w:tcW w:w="1410" w:type="dxa"/>
            <w:tcBorders>
              <w:top w:val="single" w:color="auto" w:sz="4" w:space="0"/>
              <w:left w:val="single" w:color="auto" w:sz="4" w:space="0"/>
              <w:bottom w:val="single" w:color="auto" w:sz="4" w:space="0"/>
              <w:right w:val="single" w:color="auto" w:sz="4" w:space="0"/>
            </w:tcBorders>
            <w:vAlign w:val="center"/>
          </w:tcPr>
          <w:p>
            <w:pPr>
              <w:spacing w:line="240" w:lineRule="exact"/>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现任职务、</w:t>
            </w:r>
          </w:p>
          <w:p>
            <w:pPr>
              <w:spacing w:line="240" w:lineRule="exact"/>
              <w:jc w:val="center"/>
              <w:rPr>
                <w:rFonts w:ascii="仿宋" w:hAnsi="仿宋" w:eastAsia="仿宋"/>
                <w:color w:val="auto"/>
                <w:highlight w:val="none"/>
              </w:rPr>
            </w:pPr>
            <w:r>
              <w:rPr>
                <w:rFonts w:hint="eastAsia" w:ascii="仿宋" w:hAnsi="仿宋" w:eastAsia="仿宋" w:cs="仿宋"/>
                <w:color w:val="auto"/>
                <w:highlight w:val="none"/>
              </w:rPr>
              <w:t>技术职务</w:t>
            </w: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联系电话</w:t>
            </w: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专业</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工龄</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专业</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特长</w:t>
            </w: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从事专业</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工作年限</w:t>
            </w:r>
          </w:p>
        </w:tc>
        <w:tc>
          <w:tcPr>
            <w:tcW w:w="2175" w:type="dxa"/>
            <w:tcBorders>
              <w:top w:val="single" w:color="auto" w:sz="4" w:space="0"/>
              <w:left w:val="single" w:color="auto" w:sz="4" w:space="0"/>
              <w:bottom w:val="single" w:color="auto" w:sz="4" w:space="0"/>
              <w:right w:val="single" w:color="auto" w:sz="4" w:space="0"/>
            </w:tcBorders>
            <w:vAlign w:val="center"/>
          </w:tcPr>
          <w:p>
            <w:pPr>
              <w:spacing w:line="240" w:lineRule="exact"/>
              <w:ind w:leftChars="-25" w:right="-72" w:rightChars="-30" w:hanging="60" w:hangingChars="25"/>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主要专业工作经历（曾参与过的羡慕和获奖情况）</w:t>
            </w:r>
          </w:p>
        </w:tc>
        <w:tc>
          <w:tcPr>
            <w:tcW w:w="22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在本工程担任职务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28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28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28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28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28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28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28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28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28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2280"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r>
    </w:tbl>
    <w:p>
      <w:pPr>
        <w:ind w:left="1027" w:leftChars="428"/>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说明：1.表中人员一经确认不得随意修改变换。如需变换，应按照通用条款第24条规定执行。 </w:t>
      </w:r>
    </w:p>
    <w:p>
      <w:pPr>
        <w:ind w:left="1848" w:leftChars="770"/>
        <w:rPr>
          <w:rFonts w:ascii="仿宋" w:hAnsi="仿宋" w:eastAsia="仿宋"/>
          <w:color w:val="auto"/>
          <w:highlight w:val="none"/>
          <w:lang w:eastAsia="zh-CN"/>
        </w:rPr>
      </w:pPr>
      <w:r>
        <w:rPr>
          <w:rFonts w:hint="eastAsia" w:ascii="仿宋" w:hAnsi="仿宋" w:eastAsia="仿宋" w:cs="仿宋"/>
          <w:color w:val="auto"/>
          <w:highlight w:val="none"/>
          <w:lang w:eastAsia="zh-CN"/>
        </w:rPr>
        <w:t>2.表中人员必须提供为其购买的社会养老保险费用凭证。</w:t>
      </w:r>
    </w:p>
    <w:p>
      <w:pPr>
        <w:ind w:left="1848" w:leftChars="770"/>
        <w:rPr>
          <w:rFonts w:ascii="仿宋" w:hAnsi="仿宋" w:eastAsia="仿宋"/>
          <w:color w:val="auto"/>
          <w:highlight w:val="none"/>
          <w:lang w:eastAsia="zh-CN"/>
        </w:rPr>
      </w:pPr>
      <w:r>
        <w:rPr>
          <w:rFonts w:hint="eastAsia" w:ascii="仿宋" w:hAnsi="仿宋" w:eastAsia="仿宋" w:cs="仿宋"/>
          <w:color w:val="auto"/>
          <w:highlight w:val="none"/>
          <w:lang w:eastAsia="zh-CN"/>
        </w:rPr>
        <w:t>3.承包人应提供表中人员的聘用合同、专业技术职称书等复印件。</w:t>
      </w:r>
    </w:p>
    <w:p>
      <w:pPr>
        <w:rPr>
          <w:rFonts w:ascii="仿宋" w:hAnsi="仿宋" w:eastAsia="仿宋"/>
          <w:color w:val="auto"/>
          <w:highlight w:val="none"/>
          <w:lang w:eastAsia="zh-CN"/>
        </w:rPr>
        <w:sectPr>
          <w:endnotePr>
            <w:numFmt w:val="decimal"/>
          </w:endnotePr>
          <w:pgSz w:w="16838" w:h="11906" w:orient="landscape"/>
          <w:pgMar w:top="1304" w:right="1304" w:bottom="1304" w:left="1304" w:header="794" w:footer="850" w:gutter="0"/>
          <w:cols w:space="0" w:num="1"/>
        </w:sectPr>
      </w:pPr>
    </w:p>
    <w:p>
      <w:pPr>
        <w:pStyle w:val="3"/>
        <w:rPr>
          <w:rFonts w:ascii="仿宋" w:hAnsi="仿宋" w:eastAsia="仿宋"/>
          <w:b w:val="0"/>
          <w:i/>
          <w:iCs/>
          <w:color w:val="auto"/>
          <w:sz w:val="24"/>
          <w:szCs w:val="24"/>
          <w:highlight w:val="none"/>
        </w:rPr>
      </w:pPr>
      <w:bookmarkStart w:id="971" w:name="_Toc47694467"/>
      <w:bookmarkStart w:id="972" w:name="_Toc6326"/>
      <w:bookmarkStart w:id="973" w:name="_Toc26548"/>
      <w:r>
        <w:rPr>
          <w:rFonts w:hint="eastAsia" w:ascii="仿宋" w:hAnsi="仿宋" w:eastAsia="仿宋"/>
          <w:b w:val="0"/>
          <w:color w:val="auto"/>
          <w:sz w:val="24"/>
          <w:szCs w:val="24"/>
          <w:highlight w:val="none"/>
        </w:rPr>
        <w:t>格式</w:t>
      </w:r>
      <w:bookmarkEnd w:id="971"/>
      <w:bookmarkEnd w:id="972"/>
      <w:r>
        <w:rPr>
          <w:rFonts w:hint="eastAsia" w:ascii="仿宋" w:hAnsi="仿宋" w:eastAsia="仿宋"/>
          <w:b w:val="0"/>
          <w:color w:val="auto"/>
          <w:sz w:val="24"/>
          <w:szCs w:val="24"/>
          <w:highlight w:val="none"/>
          <w:lang w:val="en-US"/>
        </w:rPr>
        <w:t>4</w:t>
      </w:r>
      <w:bookmarkEnd w:id="973"/>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分包单位资格报审表</w:t>
      </w:r>
    </w:p>
    <w:p>
      <w:pPr>
        <w:spacing w:line="360" w:lineRule="auto"/>
        <w:ind w:firstLine="120" w:firstLineChars="50"/>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42"/>
        <w:tblW w:w="9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2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jc w:val="center"/>
        </w:trPr>
        <w:tc>
          <w:tcPr>
            <w:tcW w:w="9860" w:type="dxa"/>
            <w:gridSpan w:val="4"/>
            <w:tcBorders>
              <w:top w:val="single" w:color="auto" w:sz="6" w:space="0"/>
              <w:left w:val="single" w:color="auto" w:sz="6" w:space="0"/>
              <w:bottom w:val="single" w:color="auto" w:sz="6"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（监理人全称或发包人全称）</w:t>
            </w:r>
          </w:p>
          <w:p>
            <w:pPr>
              <w:spacing w:line="360" w:lineRule="auto"/>
              <w:ind w:left="-28" w:firstLine="540"/>
              <w:rPr>
                <w:rFonts w:ascii="仿宋" w:hAnsi="仿宋" w:eastAsia="仿宋"/>
                <w:color w:val="auto"/>
                <w:highlight w:val="none"/>
                <w:lang w:eastAsia="zh-CN"/>
              </w:rPr>
            </w:pPr>
            <w:r>
              <w:rPr>
                <w:rFonts w:hint="eastAsia" w:ascii="仿宋" w:hAnsi="仿宋" w:eastAsia="仿宋" w:cs="仿宋"/>
                <w:color w:val="auto"/>
                <w:highlight w:val="none"/>
                <w:lang w:eastAsia="zh-CN"/>
              </w:rPr>
              <w:t>经考察，我方拟选择的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（分包人）具备承担下列工程施工资质和施工能力、专业服务资质和服务能力、，可以保证本工程按合同约定进行施工、专业服务。我方承诺：分包后，我方承担总包人的全部责任。请予以审批。</w:t>
            </w:r>
          </w:p>
          <w:p>
            <w:pPr>
              <w:spacing w:line="360" w:lineRule="auto"/>
              <w:ind w:left="-28" w:firstLine="540"/>
              <w:rPr>
                <w:rFonts w:ascii="仿宋" w:hAnsi="仿宋" w:eastAsia="仿宋"/>
                <w:color w:val="auto"/>
                <w:highlight w:val="none"/>
                <w:lang w:eastAsia="zh-CN"/>
              </w:rPr>
            </w:pPr>
            <w:r>
              <w:rPr>
                <w:rFonts w:hint="eastAsia" w:ascii="仿宋" w:hAnsi="仿宋" w:eastAsia="仿宋" w:cs="仿宋"/>
                <w:color w:val="auto"/>
                <w:highlight w:val="none"/>
                <w:lang w:eastAsia="zh-CN"/>
              </w:rPr>
              <w:t>附:1．分包人资质材料；</w:t>
            </w:r>
          </w:p>
          <w:p>
            <w:pPr>
              <w:spacing w:line="360" w:lineRule="auto"/>
              <w:ind w:left="-28" w:firstLine="907"/>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2．分包人业绩材料。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jc w:val="center"/>
              <w:rPr>
                <w:rFonts w:ascii="仿宋" w:hAnsi="仿宋" w:eastAsia="仿宋"/>
                <w:color w:val="auto"/>
                <w:position w:val="6"/>
                <w:highlight w:val="none"/>
                <w:lang w:eastAsia="zh-CN"/>
              </w:rPr>
            </w:pPr>
            <w:r>
              <w:rPr>
                <w:rFonts w:hint="eastAsia" w:ascii="仿宋" w:hAnsi="仿宋" w:eastAsia="仿宋" w:cs="仿宋"/>
                <w:color w:val="auto"/>
                <w:position w:val="6"/>
                <w:highlight w:val="none"/>
                <w:lang w:eastAsia="zh-CN"/>
              </w:rPr>
              <w:t>分包工程名称（部位）或分包工作</w:t>
            </w:r>
          </w:p>
        </w:tc>
        <w:tc>
          <w:tcPr>
            <w:tcW w:w="1532" w:type="dxa"/>
            <w:tcBorders>
              <w:top w:val="single" w:color="auto" w:sz="6" w:space="0"/>
              <w:left w:val="single" w:color="auto" w:sz="6" w:space="0"/>
              <w:bottom w:val="single" w:color="auto" w:sz="6" w:space="0"/>
              <w:right w:val="single" w:color="auto" w:sz="6" w:space="0"/>
            </w:tcBorders>
          </w:tcPr>
          <w:p>
            <w:pPr>
              <w:spacing w:line="360" w:lineRule="auto"/>
              <w:jc w:val="center"/>
              <w:rPr>
                <w:rFonts w:ascii="仿宋" w:hAnsi="仿宋" w:eastAsia="仿宋"/>
                <w:color w:val="auto"/>
                <w:position w:val="6"/>
                <w:highlight w:val="none"/>
              </w:rPr>
            </w:pPr>
            <w:r>
              <w:rPr>
                <w:rFonts w:hint="eastAsia" w:ascii="仿宋" w:hAnsi="仿宋" w:eastAsia="仿宋" w:cs="仿宋"/>
                <w:color w:val="auto"/>
                <w:position w:val="6"/>
                <w:highlight w:val="none"/>
              </w:rPr>
              <w:t>工程数量或工作量</w:t>
            </w:r>
          </w:p>
        </w:tc>
        <w:tc>
          <w:tcPr>
            <w:tcW w:w="2506" w:type="dxa"/>
            <w:tcBorders>
              <w:top w:val="single" w:color="auto" w:sz="6" w:space="0"/>
              <w:left w:val="single" w:color="auto" w:sz="6" w:space="0"/>
              <w:bottom w:val="single" w:color="auto" w:sz="6" w:space="0"/>
              <w:right w:val="single" w:color="auto" w:sz="6" w:space="0"/>
            </w:tcBorders>
          </w:tcPr>
          <w:p>
            <w:pPr>
              <w:spacing w:line="360" w:lineRule="auto"/>
              <w:jc w:val="center"/>
              <w:rPr>
                <w:rFonts w:ascii="仿宋" w:hAnsi="仿宋" w:eastAsia="仿宋"/>
                <w:color w:val="auto"/>
                <w:position w:val="6"/>
                <w:highlight w:val="none"/>
                <w:lang w:eastAsia="zh-CN"/>
              </w:rPr>
            </w:pPr>
            <w:r>
              <w:rPr>
                <w:rFonts w:hint="eastAsia" w:ascii="仿宋" w:hAnsi="仿宋" w:eastAsia="仿宋" w:cs="仿宋"/>
                <w:color w:val="auto"/>
                <w:position w:val="6"/>
                <w:highlight w:val="none"/>
                <w:lang w:eastAsia="zh-CN"/>
              </w:rPr>
              <w:t>拟分包工程合同额或分包工作合同额</w:t>
            </w:r>
          </w:p>
        </w:tc>
        <w:tc>
          <w:tcPr>
            <w:tcW w:w="2647" w:type="dxa"/>
            <w:tcBorders>
              <w:top w:val="single" w:color="auto" w:sz="6" w:space="0"/>
              <w:left w:val="single" w:color="auto" w:sz="6" w:space="0"/>
              <w:bottom w:val="single" w:color="auto" w:sz="6" w:space="0"/>
              <w:right w:val="single" w:color="auto" w:sz="6" w:space="0"/>
            </w:tcBorders>
          </w:tcPr>
          <w:p>
            <w:pPr>
              <w:spacing w:line="360" w:lineRule="auto"/>
              <w:jc w:val="center"/>
              <w:rPr>
                <w:rFonts w:ascii="仿宋" w:hAnsi="仿宋" w:eastAsia="仿宋"/>
                <w:color w:val="auto"/>
                <w:position w:val="6"/>
                <w:highlight w:val="none"/>
              </w:rPr>
            </w:pPr>
            <w:r>
              <w:rPr>
                <w:rFonts w:hint="eastAsia" w:ascii="仿宋" w:hAnsi="仿宋" w:eastAsia="仿宋" w:cs="仿宋"/>
                <w:color w:val="auto"/>
                <w:position w:val="6"/>
                <w:highlight w:val="none"/>
              </w:rPr>
              <w:t>分包工程或分包工作占全部工程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仿宋" w:hAnsi="仿宋" w:eastAsia="仿宋"/>
                <w:color w:val="auto"/>
                <w:highlight w:val="none"/>
              </w:rPr>
            </w:pPr>
          </w:p>
        </w:tc>
        <w:tc>
          <w:tcPr>
            <w:tcW w:w="2647"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仿宋" w:hAnsi="仿宋" w:eastAsia="仿宋"/>
                <w:color w:val="auto"/>
                <w:highlight w:val="none"/>
              </w:rPr>
            </w:pPr>
          </w:p>
        </w:tc>
        <w:tc>
          <w:tcPr>
            <w:tcW w:w="2647"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pPr>
              <w:spacing w:line="360" w:lineRule="auto"/>
              <w:jc w:val="center"/>
              <w:rPr>
                <w:rFonts w:ascii="仿宋" w:hAnsi="仿宋" w:eastAsia="仿宋"/>
                <w:color w:val="auto"/>
                <w:position w:val="6"/>
                <w:highlight w:val="none"/>
              </w:rPr>
            </w:pPr>
            <w:r>
              <w:rPr>
                <w:rFonts w:hint="eastAsia" w:ascii="仿宋" w:hAnsi="仿宋" w:eastAsia="仿宋" w:cs="仿宋"/>
                <w:color w:val="auto"/>
                <w:position w:val="6"/>
                <w:highlight w:val="none"/>
              </w:rPr>
              <w:t>合       计</w:t>
            </w:r>
          </w:p>
        </w:tc>
        <w:tc>
          <w:tcPr>
            <w:tcW w:w="2506"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仿宋" w:hAnsi="仿宋" w:eastAsia="仿宋"/>
                <w:color w:val="auto"/>
                <w:highlight w:val="none"/>
              </w:rPr>
            </w:pPr>
          </w:p>
        </w:tc>
        <w:tc>
          <w:tcPr>
            <w:tcW w:w="2647"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860" w:type="dxa"/>
            <w:gridSpan w:val="4"/>
            <w:tcBorders>
              <w:top w:val="single" w:color="auto" w:sz="6" w:space="0"/>
              <w:left w:val="single" w:color="auto" w:sz="6" w:space="0"/>
              <w:bottom w:val="single" w:color="auto" w:sz="6" w:space="0"/>
              <w:right w:val="single" w:color="auto" w:sz="6" w:space="0"/>
            </w:tcBorders>
          </w:tcPr>
          <w:p>
            <w:pPr>
              <w:spacing w:line="360" w:lineRule="auto"/>
              <w:rPr>
                <w:rFonts w:ascii="仿宋" w:hAnsi="仿宋" w:eastAsia="仿宋"/>
                <w:color w:val="auto"/>
                <w:highlight w:val="none"/>
              </w:rPr>
            </w:pPr>
            <w:r>
              <w:rPr>
                <w:rFonts w:hint="eastAsia" w:ascii="仿宋" w:hAnsi="仿宋" w:eastAsia="仿宋" w:cs="仿宋"/>
                <w:color w:val="auto"/>
                <w:highlight w:val="none"/>
              </w:rPr>
              <w:t xml:space="preserve"> </w:t>
            </w:r>
          </w:p>
          <w:p>
            <w:pPr>
              <w:spacing w:line="360" w:lineRule="auto"/>
              <w:rPr>
                <w:rFonts w:ascii="仿宋" w:hAnsi="仿宋" w:eastAsia="仿宋"/>
                <w:color w:val="auto"/>
                <w:highlight w:val="none"/>
                <w:u w:val="single"/>
              </w:rPr>
            </w:pPr>
            <w:r>
              <w:rPr>
                <w:rFonts w:hint="eastAsia" w:ascii="仿宋" w:hAnsi="仿宋" w:eastAsia="仿宋" w:cs="仿宋"/>
                <w:color w:val="auto"/>
                <w:highlight w:val="none"/>
              </w:rPr>
              <w:t xml:space="preserve">                                                   承包人（章）                 </w:t>
            </w:r>
          </w:p>
          <w:p>
            <w:pPr>
              <w:tabs>
                <w:tab w:val="left" w:pos="8982"/>
                <w:tab w:val="left" w:pos="9147"/>
              </w:tabs>
              <w:spacing w:line="360" w:lineRule="auto"/>
              <w:ind w:firstLine="6120" w:firstLineChars="2550"/>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pacing w:line="360" w:lineRule="auto"/>
              <w:ind w:firstLine="6120" w:firstLineChars="255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9860" w:type="dxa"/>
            <w:gridSpan w:val="4"/>
            <w:tcBorders>
              <w:top w:val="single" w:color="auto" w:sz="6" w:space="0"/>
              <w:left w:val="single" w:color="auto" w:sz="6" w:space="0"/>
              <w:bottom w:val="single" w:color="auto" w:sz="4" w:space="0"/>
              <w:right w:val="single" w:color="auto" w:sz="6" w:space="0"/>
            </w:tcBorders>
          </w:tcPr>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审查意见：</w:t>
            </w:r>
          </w:p>
          <w:p>
            <w:pPr>
              <w:tabs>
                <w:tab w:val="left" w:pos="6222"/>
              </w:tabs>
              <w:snapToGrid w:val="0"/>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监理人（章）            </w:t>
            </w:r>
          </w:p>
          <w:p>
            <w:pPr>
              <w:tabs>
                <w:tab w:val="left" w:pos="6282"/>
              </w:tabs>
              <w:snapToGrid w:val="0"/>
              <w:spacing w:line="360" w:lineRule="auto"/>
              <w:ind w:firstLine="6120" w:firstLineChars="2550"/>
              <w:rPr>
                <w:rFonts w:ascii="仿宋" w:hAnsi="仿宋" w:eastAsia="仿宋" w:cs="仿宋"/>
                <w:color w:val="auto"/>
                <w:highlight w:val="none"/>
                <w:u w:val="single"/>
              </w:rPr>
            </w:pPr>
            <w:r>
              <w:rPr>
                <w:rFonts w:hint="eastAsia" w:ascii="仿宋" w:hAnsi="仿宋" w:eastAsia="仿宋" w:cs="仿宋"/>
                <w:color w:val="auto"/>
                <w:highlight w:val="none"/>
              </w:rPr>
              <w:t>监理人代表</w:t>
            </w:r>
            <w:r>
              <w:rPr>
                <w:rFonts w:hint="eastAsia" w:ascii="仿宋" w:hAnsi="仿宋" w:eastAsia="仿宋" w:cs="仿宋"/>
                <w:color w:val="auto"/>
                <w:highlight w:val="none"/>
                <w:u w:val="single"/>
              </w:rPr>
              <w:t xml:space="preserve">               </w:t>
            </w:r>
          </w:p>
          <w:p>
            <w:pPr>
              <w:tabs>
                <w:tab w:val="left" w:pos="9132"/>
              </w:tabs>
              <w:snapToGrid w:val="0"/>
              <w:spacing w:line="360" w:lineRule="auto"/>
              <w:ind w:firstLine="6120" w:firstLineChars="255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9860" w:type="dxa"/>
            <w:gridSpan w:val="4"/>
            <w:tcBorders>
              <w:top w:val="single" w:color="auto" w:sz="4" w:space="0"/>
              <w:left w:val="single" w:color="auto" w:sz="6" w:space="0"/>
              <w:bottom w:val="single" w:color="auto" w:sz="6" w:space="0"/>
              <w:right w:val="single" w:color="auto" w:sz="6" w:space="0"/>
            </w:tcBorders>
          </w:tcPr>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审批意见:</w:t>
            </w:r>
          </w:p>
          <w:p>
            <w:pPr>
              <w:snapToGrid w:val="0"/>
              <w:spacing w:line="360" w:lineRule="auto"/>
              <w:ind w:firstLine="6120" w:firstLineChars="2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发包人（章）           </w:t>
            </w:r>
          </w:p>
          <w:p>
            <w:pPr>
              <w:tabs>
                <w:tab w:val="left" w:pos="2135"/>
                <w:tab w:val="left" w:pos="8862"/>
              </w:tabs>
              <w:snapToGrid w:val="0"/>
              <w:spacing w:line="360" w:lineRule="auto"/>
              <w:ind w:firstLine="6120" w:firstLineChars="2550"/>
              <w:rPr>
                <w:rFonts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eastAsia" w:ascii="仿宋" w:hAnsi="仿宋" w:eastAsia="仿宋" w:cs="仿宋"/>
                <w:color w:val="auto"/>
                <w:highlight w:val="none"/>
                <w:u w:val="single"/>
              </w:rPr>
              <w:t xml:space="preserve">               </w:t>
            </w:r>
          </w:p>
          <w:p>
            <w:pPr>
              <w:tabs>
                <w:tab w:val="left" w:pos="2135"/>
              </w:tabs>
              <w:snapToGrid w:val="0"/>
              <w:spacing w:line="360" w:lineRule="auto"/>
              <w:ind w:firstLine="6120" w:firstLineChars="255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spacing w:before="120" w:beforeLines="50"/>
        <w:rPr>
          <w:rFonts w:ascii="仿宋" w:hAnsi="仿宋" w:eastAsia="仿宋"/>
          <w:color w:val="auto"/>
          <w:highlight w:val="none"/>
          <w:lang w:eastAsia="zh-CN"/>
        </w:rPr>
      </w:pPr>
      <w:r>
        <w:rPr>
          <w:rFonts w:hint="eastAsia" w:ascii="仿宋" w:hAnsi="仿宋" w:eastAsia="仿宋" w:cs="仿宋"/>
          <w:color w:val="auto"/>
          <w:highlight w:val="none"/>
          <w:lang w:eastAsia="zh-CN"/>
        </w:rPr>
        <w:t>说明：本表一式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份，由承包人、监理单位、发包人按合同规定程序填制，并连同分包人各存一份。</w:t>
      </w:r>
    </w:p>
    <w:p>
      <w:pPr>
        <w:spacing w:before="240" w:beforeLines="100" w:after="240" w:afterLines="100" w:line="360" w:lineRule="auto"/>
        <w:rPr>
          <w:rFonts w:ascii="仿宋" w:hAnsi="仿宋" w:eastAsia="仿宋" w:cs="仿宋"/>
          <w:b/>
          <w:bCs/>
          <w:color w:val="auto"/>
          <w:highlight w:val="none"/>
          <w:lang w:eastAsia="zh-CN"/>
        </w:rPr>
        <w:sectPr>
          <w:endnotePr>
            <w:numFmt w:val="decimal"/>
          </w:endnotePr>
          <w:pgSz w:w="11906" w:h="16838"/>
          <w:pgMar w:top="1304" w:right="1304" w:bottom="1304" w:left="1304" w:header="794" w:footer="850" w:gutter="0"/>
          <w:cols w:space="0" w:num="1"/>
        </w:sectPr>
      </w:pPr>
    </w:p>
    <w:p>
      <w:pPr>
        <w:pStyle w:val="3"/>
        <w:rPr>
          <w:rFonts w:ascii="仿宋" w:hAnsi="仿宋" w:eastAsia="仿宋"/>
          <w:b w:val="0"/>
          <w:i/>
          <w:iCs/>
          <w:color w:val="auto"/>
          <w:sz w:val="24"/>
          <w:szCs w:val="24"/>
          <w:highlight w:val="none"/>
        </w:rPr>
      </w:pPr>
      <w:bookmarkStart w:id="974" w:name="_Toc27636"/>
      <w:bookmarkStart w:id="975" w:name="_Toc47694468"/>
      <w:bookmarkStart w:id="976" w:name="_Toc15762"/>
      <w:r>
        <w:rPr>
          <w:rFonts w:hint="eastAsia" w:ascii="仿宋" w:hAnsi="仿宋" w:eastAsia="仿宋"/>
          <w:b w:val="0"/>
          <w:color w:val="auto"/>
          <w:sz w:val="24"/>
          <w:szCs w:val="24"/>
          <w:highlight w:val="none"/>
        </w:rPr>
        <w:t>格式</w:t>
      </w:r>
      <w:bookmarkEnd w:id="974"/>
      <w:bookmarkEnd w:id="975"/>
      <w:r>
        <w:rPr>
          <w:rFonts w:hint="eastAsia" w:ascii="仿宋" w:hAnsi="仿宋" w:eastAsia="仿宋"/>
          <w:b w:val="0"/>
          <w:color w:val="auto"/>
          <w:sz w:val="24"/>
          <w:szCs w:val="24"/>
          <w:highlight w:val="none"/>
          <w:lang w:val="en-US"/>
        </w:rPr>
        <w:t>5</w:t>
      </w:r>
      <w:bookmarkEnd w:id="976"/>
    </w:p>
    <w:p>
      <w:pPr>
        <w:spacing w:line="360" w:lineRule="auto"/>
        <w:jc w:val="center"/>
        <w:rPr>
          <w:rFonts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施工组织设计（方案）报审表</w:t>
      </w:r>
    </w:p>
    <w:p>
      <w:pPr>
        <w:spacing w:line="360" w:lineRule="auto"/>
        <w:jc w:val="center"/>
        <w:rPr>
          <w:rFonts w:ascii="仿宋" w:hAnsi="仿宋" w:eastAsia="仿宋" w:cs="仿宋"/>
          <w:b/>
          <w:bCs/>
          <w:color w:val="auto"/>
          <w:spacing w:val="30"/>
          <w:sz w:val="28"/>
          <w:szCs w:val="28"/>
          <w:highlight w:val="none"/>
          <w:lang w:eastAsia="zh-CN"/>
        </w:rPr>
      </w:pPr>
      <w:r>
        <w:rPr>
          <w:rFonts w:hint="eastAsia" w:ascii="仿宋" w:hAnsi="仿宋" w:eastAsia="仿宋" w:cs="仿宋"/>
          <w:b/>
          <w:bCs/>
          <w:color w:val="auto"/>
          <w:spacing w:val="30"/>
          <w:sz w:val="28"/>
          <w:szCs w:val="28"/>
          <w:highlight w:val="none"/>
          <w:lang w:eastAsia="zh-CN"/>
        </w:rPr>
        <w:t>（勘察、设计等实施方案报审表可参照本格式修改）</w:t>
      </w:r>
    </w:p>
    <w:p>
      <w:pPr>
        <w:spacing w:line="360" w:lineRule="auto"/>
        <w:ind w:firstLine="120" w:firstLineChars="50"/>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42"/>
        <w:tblW w:w="964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9644" w:type="dxa"/>
            <w:tcBorders>
              <w:top w:val="single" w:color="auto" w:sz="6" w:space="0"/>
              <w:left w:val="single" w:color="auto" w:sz="6" w:space="0"/>
              <w:bottom w:val="single" w:color="auto" w:sz="4"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pPr>
              <w:spacing w:line="360" w:lineRule="auto"/>
              <w:ind w:left="-28" w:firstLine="540"/>
              <w:rPr>
                <w:rFonts w:ascii="仿宋" w:hAnsi="仿宋" w:eastAsia="仿宋"/>
                <w:color w:val="auto"/>
                <w:highlight w:val="none"/>
                <w:lang w:eastAsia="zh-CN"/>
              </w:rPr>
            </w:pPr>
            <w:r>
              <w:rPr>
                <w:rFonts w:hint="eastAsia" w:ascii="仿宋" w:hAnsi="仿宋" w:eastAsia="仿宋" w:cs="仿宋"/>
                <w:color w:val="auto"/>
                <w:highlight w:val="none"/>
                <w:lang w:eastAsia="zh-CN"/>
              </w:rPr>
              <w:t>我方已根据工程总承包合同的有关规定完成了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工程施工组织设计（方案）的编制,请予以审批。</w:t>
            </w:r>
          </w:p>
          <w:p>
            <w:pPr>
              <w:spacing w:line="360" w:lineRule="auto"/>
              <w:ind w:left="-28" w:firstLine="540"/>
              <w:rPr>
                <w:rFonts w:ascii="仿宋" w:hAnsi="仿宋" w:eastAsia="仿宋"/>
                <w:color w:val="auto"/>
                <w:highlight w:val="none"/>
                <w:lang w:eastAsia="zh-CN"/>
              </w:rPr>
            </w:pPr>
            <w:r>
              <w:rPr>
                <w:rFonts w:hint="eastAsia" w:ascii="仿宋" w:hAnsi="仿宋" w:eastAsia="仿宋" w:cs="仿宋"/>
                <w:color w:val="auto"/>
                <w:highlight w:val="none"/>
                <w:lang w:eastAsia="zh-CN"/>
              </w:rPr>
              <w:t>附: 施工组织设计（方案）</w:t>
            </w:r>
          </w:p>
          <w:p>
            <w:pPr>
              <w:spacing w:line="360" w:lineRule="auto"/>
              <w:ind w:right="120"/>
              <w:jc w:val="center"/>
              <w:rPr>
                <w:rFonts w:ascii="仿宋" w:hAnsi="仿宋" w:eastAsia="仿宋"/>
                <w:color w:val="auto"/>
                <w:highlight w:val="none"/>
                <w:u w:val="singl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承包人（章）</w:t>
            </w:r>
          </w:p>
          <w:p>
            <w:pPr>
              <w:spacing w:line="360" w:lineRule="auto"/>
              <w:ind w:firstLine="6087"/>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napToGrid w:val="0"/>
              <w:spacing w:line="360" w:lineRule="auto"/>
              <w:ind w:firstLine="6087"/>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9644" w:type="dxa"/>
            <w:tcBorders>
              <w:top w:val="single" w:color="auto" w:sz="4" w:space="0"/>
              <w:left w:val="single" w:color="auto" w:sz="6" w:space="0"/>
              <w:bottom w:val="single" w:color="auto" w:sz="6" w:space="0"/>
              <w:right w:val="single" w:color="auto" w:sz="6" w:space="0"/>
            </w:tcBorders>
          </w:tcPr>
          <w:p>
            <w:pPr>
              <w:spacing w:line="360" w:lineRule="auto"/>
              <w:ind w:right="71"/>
              <w:rPr>
                <w:rFonts w:ascii="仿宋" w:hAnsi="仿宋" w:eastAsia="仿宋"/>
                <w:color w:val="auto"/>
                <w:sz w:val="32"/>
                <w:szCs w:val="32"/>
                <w:highlight w:val="none"/>
                <w:lang w:eastAsia="zh-CN"/>
              </w:rPr>
            </w:pPr>
            <w:r>
              <w:rPr>
                <w:rFonts w:hint="eastAsia" w:ascii="仿宋" w:hAnsi="仿宋" w:eastAsia="仿宋" w:cs="仿宋"/>
                <w:color w:val="auto"/>
                <w:highlight w:val="none"/>
                <w:lang w:eastAsia="zh-CN"/>
              </w:rPr>
              <w:t>确认或修改意见：</w:t>
            </w:r>
          </w:p>
          <w:p>
            <w:pPr>
              <w:spacing w:line="360" w:lineRule="auto"/>
              <w:ind w:left="72" w:right="71" w:firstLine="24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组织机构健全,人员落实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施工技术措施可行</w:t>
            </w:r>
          </w:p>
          <w:p>
            <w:pPr>
              <w:spacing w:line="360" w:lineRule="auto"/>
              <w:ind w:left="72" w:right="71" w:firstLine="24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安全责任落实，安全措施可行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安全工器具满足施工要求</w:t>
            </w:r>
          </w:p>
          <w:p>
            <w:pPr>
              <w:spacing w:line="360" w:lineRule="auto"/>
              <w:ind w:left="72" w:right="71" w:firstLine="24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施工进度计划满足工期要求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特殊工种人员持证上岗</w:t>
            </w:r>
          </w:p>
          <w:p>
            <w:pPr>
              <w:spacing w:line="360" w:lineRule="auto"/>
              <w:ind w:left="72" w:right="71" w:firstLine="24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施工工器具安全可靠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施工计量、检测器具有效</w:t>
            </w:r>
          </w:p>
          <w:p>
            <w:pPr>
              <w:spacing w:line="360" w:lineRule="auto"/>
              <w:ind w:firstLine="6086" w:firstLineChars="2536"/>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监理人(章)</w:t>
            </w:r>
          </w:p>
          <w:p>
            <w:pPr>
              <w:snapToGrid w:val="0"/>
              <w:spacing w:line="360" w:lineRule="auto"/>
              <w:ind w:firstLine="6087"/>
              <w:rPr>
                <w:rFonts w:ascii="仿宋" w:hAnsi="仿宋" w:eastAsia="仿宋"/>
                <w:color w:val="auto"/>
                <w:highlight w:val="non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p>
          <w:p>
            <w:pPr>
              <w:snapToGrid w:val="0"/>
              <w:spacing w:line="360" w:lineRule="auto"/>
              <w:ind w:firstLine="6087"/>
              <w:rPr>
                <w:rFonts w:ascii="仿宋" w:hAnsi="仿宋" w:eastAsia="仿宋"/>
                <w:color w:val="auto"/>
                <w:highlight w:val="none"/>
                <w:lang w:eastAsia="zh-CN"/>
              </w:rPr>
            </w:pPr>
            <w:r>
              <w:rPr>
                <w:rFonts w:hint="eastAsia" w:ascii="仿宋" w:hAnsi="仿宋" w:eastAsia="仿宋" w:cs="仿宋"/>
                <w:color w:val="auto"/>
                <w:highlight w:val="none"/>
                <w:lang w:eastAsia="zh-CN"/>
              </w:rPr>
              <w:t>日      期</w:t>
            </w:r>
            <w:r>
              <w:rPr>
                <w:rFonts w:hint="eastAsia" w:ascii="仿宋" w:hAnsi="仿宋" w:eastAsia="仿宋" w:cs="仿宋"/>
                <w:color w:val="auto"/>
                <w:highlight w:val="none"/>
                <w:u w:val="single"/>
                <w:lang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9644" w:type="dxa"/>
            <w:tcBorders>
              <w:top w:val="single" w:color="auto" w:sz="6" w:space="0"/>
              <w:left w:val="single" w:color="auto" w:sz="6" w:space="0"/>
              <w:bottom w:val="single" w:color="auto" w:sz="6" w:space="0"/>
              <w:right w:val="single" w:color="auto" w:sz="6" w:space="0"/>
            </w:tcBorders>
          </w:tcPr>
          <w:p>
            <w:pPr>
              <w:spacing w:line="360" w:lineRule="auto"/>
              <w:ind w:left="-28"/>
              <w:rPr>
                <w:rFonts w:ascii="仿宋" w:hAnsi="仿宋" w:eastAsia="仿宋"/>
                <w:color w:val="auto"/>
                <w:highlight w:val="none"/>
                <w:lang w:eastAsia="zh-CN"/>
              </w:rPr>
            </w:pPr>
            <w:r>
              <w:rPr>
                <w:rFonts w:hint="eastAsia" w:ascii="仿宋" w:hAnsi="仿宋" w:eastAsia="仿宋" w:cs="仿宋"/>
                <w:color w:val="auto"/>
                <w:highlight w:val="none"/>
                <w:lang w:eastAsia="zh-CN"/>
              </w:rPr>
              <w:t>审批意见：</w:t>
            </w:r>
          </w:p>
          <w:p>
            <w:pPr>
              <w:snapToGrid w:val="0"/>
              <w:spacing w:line="360" w:lineRule="auto"/>
              <w:ind w:left="-28"/>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pPr>
              <w:spacing w:line="360" w:lineRule="auto"/>
              <w:ind w:firstLine="6086" w:firstLineChars="2536"/>
              <w:rPr>
                <w:rFonts w:ascii="仿宋" w:hAnsi="仿宋" w:eastAsia="仿宋"/>
                <w:color w:val="auto"/>
                <w:highlight w:val="none"/>
                <w:lang w:eastAsia="zh-CN"/>
              </w:rPr>
            </w:pPr>
            <w:r>
              <w:rPr>
                <w:rFonts w:hint="eastAsia" w:ascii="仿宋" w:hAnsi="仿宋" w:eastAsia="仿宋" w:cs="仿宋"/>
                <w:color w:val="auto"/>
                <w:highlight w:val="none"/>
                <w:lang w:eastAsia="zh-CN"/>
              </w:rPr>
              <w:t>发包人（章）</w:t>
            </w:r>
          </w:p>
          <w:p>
            <w:pPr>
              <w:snapToGrid w:val="0"/>
              <w:spacing w:line="360" w:lineRule="auto"/>
              <w:ind w:left="-28" w:firstLine="6112" w:firstLineChars="2547"/>
              <w:rPr>
                <w:rFonts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eastAsia" w:ascii="仿宋" w:hAnsi="仿宋" w:eastAsia="仿宋" w:cs="仿宋"/>
                <w:color w:val="auto"/>
                <w:highlight w:val="none"/>
                <w:u w:val="single"/>
              </w:rPr>
              <w:t xml:space="preserve">               </w:t>
            </w:r>
          </w:p>
          <w:p>
            <w:pPr>
              <w:snapToGrid w:val="0"/>
              <w:spacing w:line="360" w:lineRule="auto"/>
              <w:ind w:left="-28" w:firstLine="6112" w:firstLineChars="2547"/>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pPr>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2．本表一式三份，由承包人、监理单位、发包人按合同规定程序填制，并各存一份。</w:t>
      </w:r>
    </w:p>
    <w:p>
      <w:pPr>
        <w:spacing w:before="240" w:beforeLines="100" w:after="240" w:afterLines="100" w:line="360" w:lineRule="auto"/>
        <w:rPr>
          <w:rFonts w:ascii="仿宋" w:hAnsi="仿宋" w:eastAsia="仿宋" w:cs="仿宋"/>
          <w:b/>
          <w:bCs/>
          <w:color w:val="auto"/>
          <w:highlight w:val="none"/>
          <w:lang w:eastAsia="zh-CN"/>
        </w:rPr>
        <w:sectPr>
          <w:endnotePr>
            <w:numFmt w:val="decimal"/>
          </w:endnotePr>
          <w:pgSz w:w="11906" w:h="16838"/>
          <w:pgMar w:top="1304" w:right="1304" w:bottom="1304" w:left="1304" w:header="794" w:footer="850" w:gutter="0"/>
          <w:cols w:space="0" w:num="1"/>
        </w:sectPr>
      </w:pPr>
    </w:p>
    <w:p>
      <w:pPr>
        <w:pStyle w:val="3"/>
        <w:rPr>
          <w:rFonts w:ascii="仿宋" w:hAnsi="仿宋" w:eastAsia="仿宋"/>
          <w:b w:val="0"/>
          <w:i/>
          <w:iCs/>
          <w:color w:val="auto"/>
          <w:sz w:val="24"/>
          <w:szCs w:val="24"/>
          <w:highlight w:val="none"/>
        </w:rPr>
      </w:pPr>
      <w:bookmarkStart w:id="977" w:name="_Toc47694469"/>
      <w:bookmarkStart w:id="978" w:name="_Toc19611"/>
      <w:bookmarkStart w:id="979" w:name="_Toc23074"/>
      <w:r>
        <w:rPr>
          <w:rFonts w:hint="eastAsia" w:ascii="仿宋" w:hAnsi="仿宋" w:eastAsia="仿宋"/>
          <w:b w:val="0"/>
          <w:color w:val="auto"/>
          <w:sz w:val="24"/>
          <w:szCs w:val="24"/>
          <w:highlight w:val="none"/>
        </w:rPr>
        <w:t>格式</w:t>
      </w:r>
      <w:bookmarkEnd w:id="977"/>
      <w:bookmarkEnd w:id="978"/>
      <w:r>
        <w:rPr>
          <w:rFonts w:hint="eastAsia" w:ascii="仿宋" w:hAnsi="仿宋" w:eastAsia="仿宋"/>
          <w:b w:val="0"/>
          <w:color w:val="auto"/>
          <w:sz w:val="24"/>
          <w:szCs w:val="24"/>
          <w:highlight w:val="none"/>
          <w:lang w:val="en-US"/>
        </w:rPr>
        <w:t>6</w:t>
      </w:r>
      <w:bookmarkEnd w:id="979"/>
    </w:p>
    <w:p>
      <w:pPr>
        <w:spacing w:line="360" w:lineRule="auto"/>
        <w:jc w:val="center"/>
        <w:rPr>
          <w:rFonts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工程开工/复工报审表</w:t>
      </w:r>
    </w:p>
    <w:p>
      <w:pPr>
        <w:spacing w:line="360" w:lineRule="auto"/>
        <w:jc w:val="center"/>
        <w:rPr>
          <w:rFonts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28"/>
          <w:szCs w:val="28"/>
          <w:highlight w:val="none"/>
          <w:lang w:eastAsia="zh-CN"/>
        </w:rPr>
        <w:t>（勘察、设计等报审表可参照本格式修改）</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42"/>
        <w:tblW w:w="99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77"/>
        <w:gridCol w:w="51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jc w:val="center"/>
        </w:trPr>
        <w:tc>
          <w:tcPr>
            <w:tcW w:w="9957" w:type="dxa"/>
            <w:gridSpan w:val="2"/>
            <w:tcBorders>
              <w:top w:val="single" w:color="auto" w:sz="6" w:space="0"/>
              <w:left w:val="single" w:color="auto" w:sz="6" w:space="0"/>
              <w:bottom w:val="single" w:color="auto" w:sz="6"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pPr>
              <w:spacing w:line="360" w:lineRule="auto"/>
              <w:ind w:left="-28" w:firstLine="540"/>
              <w:rPr>
                <w:rFonts w:ascii="仿宋" w:hAnsi="仿宋" w:eastAsia="仿宋"/>
                <w:color w:val="auto"/>
                <w:highlight w:val="none"/>
                <w:lang w:eastAsia="zh-CN"/>
              </w:rPr>
            </w:pPr>
            <w:r>
              <w:rPr>
                <w:rFonts w:hint="eastAsia" w:ascii="仿宋" w:hAnsi="仿宋" w:eastAsia="仿宋" w:cs="仿宋"/>
                <w:color w:val="auto"/>
                <w:highlight w:val="none"/>
                <w:lang w:eastAsia="zh-CN"/>
              </w:rPr>
              <w:t>我方承担的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工程,已完成了以下各项工作,具备了（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开工/</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复工）条件,现申请施工,请审查并签发（</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开工/</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复工）指令。</w:t>
            </w:r>
          </w:p>
          <w:p>
            <w:pPr>
              <w:spacing w:line="360" w:lineRule="auto"/>
              <w:ind w:left="-28"/>
              <w:rPr>
                <w:rFonts w:ascii="仿宋" w:hAnsi="仿宋" w:eastAsia="仿宋"/>
                <w:color w:val="auto"/>
                <w:highlight w:val="none"/>
                <w:lang w:eastAsia="zh-CN"/>
              </w:rPr>
            </w:pPr>
            <w:r>
              <w:rPr>
                <w:rFonts w:hint="eastAsia" w:ascii="仿宋" w:hAnsi="仿宋" w:eastAsia="仿宋" w:cs="仿宋"/>
                <w:color w:val="auto"/>
                <w:highlight w:val="none"/>
                <w:lang w:eastAsia="zh-CN"/>
              </w:rPr>
              <w:t>附：开工报告</w:t>
            </w: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承包方式： </w:t>
            </w:r>
          </w:p>
          <w:p>
            <w:pPr>
              <w:spacing w:line="360" w:lineRule="auto"/>
              <w:ind w:left="-27" w:firstLine="32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无分包；</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有分包，并已审核。</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开工准备情况：</w:t>
            </w:r>
          </w:p>
          <w:p>
            <w:pPr>
              <w:spacing w:line="360" w:lineRule="auto"/>
              <w:ind w:firstLine="32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施工组织设计（方案）已审批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资金已落实</w:t>
            </w:r>
          </w:p>
          <w:p>
            <w:pPr>
              <w:tabs>
                <w:tab w:val="left" w:pos="4212"/>
              </w:tabs>
              <w:spacing w:line="360" w:lineRule="auto"/>
              <w:ind w:firstLine="32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施工图纸已会审并交底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劳动力安排就绪并已进场</w:t>
            </w:r>
          </w:p>
          <w:p>
            <w:pPr>
              <w:spacing w:line="360" w:lineRule="auto"/>
              <w:ind w:firstLine="32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开工所需的材料、机具已进场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其他开工条件已具备</w:t>
            </w: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u w:val="singl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承包人（章）                 </w:t>
            </w:r>
          </w:p>
          <w:p>
            <w:pPr>
              <w:spacing w:line="360" w:lineRule="auto"/>
              <w:ind w:firstLine="6000" w:firstLineChars="2500"/>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napToGrid w:val="0"/>
              <w:spacing w:line="360" w:lineRule="auto"/>
              <w:ind w:firstLine="6000" w:firstLineChars="25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7" w:hRule="atLeast"/>
          <w:jc w:val="center"/>
        </w:trPr>
        <w:tc>
          <w:tcPr>
            <w:tcW w:w="4777" w:type="dxa"/>
            <w:tcBorders>
              <w:top w:val="single" w:color="auto" w:sz="6" w:space="0"/>
              <w:left w:val="single" w:color="auto" w:sz="6" w:space="0"/>
              <w:bottom w:val="single" w:color="auto" w:sz="6" w:space="0"/>
              <w:right w:val="single" w:color="auto" w:sz="6" w:space="0"/>
            </w:tcBorders>
          </w:tcPr>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复核意见： </w:t>
            </w:r>
          </w:p>
          <w:p>
            <w:pPr>
              <w:snapToGrid w:val="0"/>
              <w:spacing w:line="360" w:lineRule="auto"/>
              <w:rPr>
                <w:rFonts w:ascii="仿宋" w:hAnsi="仿宋" w:eastAsia="仿宋"/>
                <w:color w:val="auto"/>
                <w:highlight w:val="none"/>
                <w:lang w:eastAsia="zh-CN"/>
              </w:rPr>
            </w:pPr>
          </w:p>
          <w:p>
            <w:pPr>
              <w:snapToGrid w:val="0"/>
              <w:spacing w:line="360" w:lineRule="auto"/>
              <w:rPr>
                <w:rFonts w:ascii="仿宋" w:hAnsi="仿宋" w:eastAsia="仿宋"/>
                <w:color w:val="auto"/>
                <w:highlight w:val="none"/>
                <w:lang w:eastAsia="zh-CN"/>
              </w:rPr>
            </w:pPr>
          </w:p>
          <w:p>
            <w:pPr>
              <w:snapToGrid w:val="0"/>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监理人（章）              </w:t>
            </w:r>
          </w:p>
          <w:p>
            <w:pPr>
              <w:snapToGrid w:val="0"/>
              <w:spacing w:line="360" w:lineRule="auto"/>
              <w:rPr>
                <w:rFonts w:ascii="仿宋" w:hAnsi="仿宋" w:eastAsia="仿宋" w:cs="仿宋"/>
                <w:color w:val="auto"/>
                <w:highlight w:val="none"/>
                <w:u w:val="singl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监理人代表 </w:t>
            </w:r>
            <w:r>
              <w:rPr>
                <w:rFonts w:hint="eastAsia" w:ascii="仿宋" w:hAnsi="仿宋" w:eastAsia="仿宋" w:cs="仿宋"/>
                <w:color w:val="auto"/>
                <w:highlight w:val="none"/>
                <w:u w:val="single"/>
              </w:rPr>
              <w:t xml:space="preserve">           </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 xml:space="preserve">               日      期 </w:t>
            </w:r>
            <w:r>
              <w:rPr>
                <w:rFonts w:hint="eastAsia" w:ascii="仿宋" w:hAnsi="仿宋" w:eastAsia="仿宋" w:cs="仿宋"/>
                <w:color w:val="auto"/>
                <w:highlight w:val="none"/>
                <w:u w:val="single"/>
              </w:rPr>
              <w:t xml:space="preserve">           </w:t>
            </w:r>
          </w:p>
        </w:tc>
        <w:tc>
          <w:tcPr>
            <w:tcW w:w="5180" w:type="dxa"/>
            <w:tcBorders>
              <w:top w:val="single" w:color="auto" w:sz="6" w:space="0"/>
              <w:left w:val="single" w:color="auto" w:sz="6" w:space="0"/>
              <w:bottom w:val="single" w:color="auto" w:sz="6" w:space="0"/>
              <w:right w:val="single" w:color="auto" w:sz="6" w:space="0"/>
            </w:tcBorders>
          </w:tcPr>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审批意见：   </w:t>
            </w:r>
          </w:p>
          <w:p>
            <w:pPr>
              <w:snapToGrid w:val="0"/>
              <w:spacing w:line="360" w:lineRule="auto"/>
              <w:rPr>
                <w:rFonts w:ascii="仿宋" w:hAnsi="仿宋" w:eastAsia="仿宋"/>
                <w:color w:val="auto"/>
                <w:highlight w:val="none"/>
                <w:lang w:eastAsia="zh-CN"/>
              </w:rPr>
            </w:pPr>
          </w:p>
          <w:p>
            <w:pPr>
              <w:snapToGrid w:val="0"/>
              <w:spacing w:line="360" w:lineRule="auto"/>
              <w:rPr>
                <w:rFonts w:ascii="仿宋" w:hAnsi="仿宋" w:eastAsia="仿宋"/>
                <w:color w:val="auto"/>
                <w:highlight w:val="none"/>
                <w:lang w:eastAsia="zh-CN"/>
              </w:rPr>
            </w:pPr>
          </w:p>
          <w:p>
            <w:pPr>
              <w:snapToGrid w:val="0"/>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 w:val="18"/>
                <w:szCs w:val="18"/>
                <w:highlight w:val="none"/>
                <w:lang w:eastAsia="zh-CN"/>
              </w:rPr>
              <w:t xml:space="preserve"> </w:t>
            </w:r>
            <w:r>
              <w:rPr>
                <w:rFonts w:hint="eastAsia" w:ascii="仿宋" w:hAnsi="仿宋" w:eastAsia="仿宋" w:cs="仿宋"/>
                <w:color w:val="auto"/>
                <w:highlight w:val="none"/>
                <w:lang w:eastAsia="zh-CN"/>
              </w:rPr>
              <w:t xml:space="preserve">         发包人（章）      </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发包人代表 </w:t>
            </w:r>
            <w:r>
              <w:rPr>
                <w:rFonts w:hint="eastAsia" w:ascii="仿宋" w:hAnsi="仿宋" w:eastAsia="仿宋" w:cs="仿宋"/>
                <w:color w:val="auto"/>
                <w:highlight w:val="none"/>
                <w:u w:val="single"/>
              </w:rPr>
              <w:t xml:space="preserve">         </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sz w:val="30"/>
                <w:szCs w:val="30"/>
                <w:highlight w:val="none"/>
              </w:rPr>
              <w:t xml:space="preserve">      </w:t>
            </w:r>
            <w:r>
              <w:rPr>
                <w:rFonts w:hint="eastAsia" w:ascii="仿宋" w:hAnsi="仿宋" w:eastAsia="仿宋" w:cs="仿宋"/>
                <w:color w:val="auto"/>
                <w:highlight w:val="none"/>
              </w:rPr>
              <w:t xml:space="preserve">日      期 </w:t>
            </w:r>
            <w:r>
              <w:rPr>
                <w:rFonts w:hint="eastAsia" w:ascii="仿宋" w:hAnsi="仿宋" w:eastAsia="仿宋" w:cs="仿宋"/>
                <w:color w:val="auto"/>
                <w:highlight w:val="none"/>
                <w:u w:val="single"/>
              </w:rPr>
              <w:t xml:space="preserve">         </w:t>
            </w:r>
          </w:p>
        </w:tc>
      </w:tr>
    </w:tbl>
    <w:p>
      <w:pPr>
        <w:spacing w:before="120"/>
        <w:rPr>
          <w:rFonts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pPr>
        <w:ind w:left="821" w:leftChars="342"/>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2．本表一式三份，由承包人、监理人、发包人按合同规定程序填制，并各存一份。</w:t>
      </w:r>
    </w:p>
    <w:p>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p>
    <w:p>
      <w:pPr>
        <w:pStyle w:val="3"/>
        <w:rPr>
          <w:rFonts w:ascii="仿宋" w:hAnsi="仿宋" w:eastAsia="仿宋"/>
          <w:b w:val="0"/>
          <w:i/>
          <w:iCs/>
          <w:color w:val="auto"/>
          <w:sz w:val="24"/>
          <w:szCs w:val="24"/>
          <w:highlight w:val="none"/>
        </w:rPr>
      </w:pPr>
      <w:bookmarkStart w:id="980" w:name="_Toc47694470"/>
      <w:bookmarkStart w:id="981" w:name="_Toc30452"/>
      <w:bookmarkStart w:id="982" w:name="_Toc19624"/>
      <w:r>
        <w:rPr>
          <w:rFonts w:hint="eastAsia" w:ascii="仿宋" w:hAnsi="仿宋" w:eastAsia="仿宋"/>
          <w:b w:val="0"/>
          <w:color w:val="auto"/>
          <w:sz w:val="24"/>
          <w:szCs w:val="24"/>
          <w:highlight w:val="none"/>
        </w:rPr>
        <w:t>格式</w:t>
      </w:r>
      <w:bookmarkEnd w:id="980"/>
      <w:bookmarkEnd w:id="981"/>
      <w:r>
        <w:rPr>
          <w:rFonts w:hint="eastAsia" w:ascii="仿宋" w:hAnsi="仿宋" w:eastAsia="仿宋"/>
          <w:b w:val="0"/>
          <w:color w:val="auto"/>
          <w:sz w:val="24"/>
          <w:szCs w:val="24"/>
          <w:highlight w:val="none"/>
          <w:lang w:val="en-US"/>
        </w:rPr>
        <w:t>7</w:t>
      </w:r>
      <w:bookmarkEnd w:id="982"/>
    </w:p>
    <w:p>
      <w:pPr>
        <w:spacing w:line="360" w:lineRule="auto"/>
        <w:jc w:val="center"/>
        <w:rPr>
          <w:rFonts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暂停施工令</w:t>
      </w:r>
    </w:p>
    <w:p>
      <w:pPr>
        <w:spacing w:line="360" w:lineRule="auto"/>
        <w:jc w:val="center"/>
        <w:rPr>
          <w:rFonts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28"/>
          <w:szCs w:val="28"/>
          <w:highlight w:val="none"/>
          <w:lang w:eastAsia="zh-CN"/>
        </w:rPr>
        <w:t>（勘察、设计等暂停工作指令可参照本格式修改）</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42"/>
        <w:tblW w:w="96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03" w:hRule="atLeast"/>
          <w:jc w:val="center"/>
        </w:trPr>
        <w:tc>
          <w:tcPr>
            <w:tcW w:w="9604" w:type="dxa"/>
            <w:tcBorders>
              <w:top w:val="single" w:color="auto" w:sz="6" w:space="0"/>
              <w:left w:val="single" w:color="auto" w:sz="6" w:space="0"/>
              <w:bottom w:val="single" w:color="auto" w:sz="6" w:space="0"/>
              <w:right w:val="single" w:color="auto" w:sz="6" w:space="0"/>
            </w:tcBorders>
          </w:tcPr>
          <w:p>
            <w:pPr>
              <w:spacing w:before="120"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由于</w:t>
            </w:r>
            <w:r>
              <w:rPr>
                <w:rFonts w:hint="eastAsia" w:ascii="仿宋" w:hAnsi="仿宋" w:eastAsia="仿宋" w:cs="仿宋"/>
                <w:color w:val="auto"/>
                <w:highlight w:val="none"/>
                <w:u w:val="single"/>
                <w:lang w:eastAsia="zh-CN"/>
              </w:rPr>
              <w:t xml:space="preserve">                                                                    </w:t>
            </w:r>
          </w:p>
          <w:p>
            <w:pPr>
              <w:spacing w:line="360" w:lineRule="auto"/>
              <w:ind w:left="-28"/>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w:t>
            </w:r>
          </w:p>
          <w:p>
            <w:pPr>
              <w:spacing w:line="360" w:lineRule="auto"/>
              <w:ind w:left="-31" w:leftChars="-13"/>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w:t>
            </w:r>
          </w:p>
          <w:p>
            <w:pPr>
              <w:spacing w:line="360" w:lineRule="auto"/>
              <w:ind w:left="-31" w:leftChars="-13"/>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w:t>
            </w:r>
          </w:p>
          <w:p>
            <w:pPr>
              <w:spacing w:line="360" w:lineRule="auto"/>
              <w:ind w:left="480" w:hanging="480" w:hangingChars="20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的原因，现通知你方必须于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left="480" w:hanging="480" w:hangingChars="20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时起，对本工程的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部位（工序）实施</w:t>
            </w:r>
          </w:p>
          <w:p>
            <w:pPr>
              <w:spacing w:line="360" w:lineRule="auto"/>
              <w:ind w:left="480" w:hanging="480" w:hangingChars="200"/>
              <w:rPr>
                <w:rFonts w:ascii="仿宋" w:hAnsi="仿宋" w:eastAsia="仿宋"/>
                <w:color w:val="auto"/>
                <w:highlight w:val="none"/>
                <w:lang w:eastAsia="zh-CN"/>
              </w:rPr>
            </w:pPr>
            <w:r>
              <w:rPr>
                <w:rFonts w:hint="eastAsia" w:ascii="仿宋" w:hAnsi="仿宋" w:eastAsia="仿宋" w:cs="仿宋"/>
                <w:color w:val="auto"/>
                <w:highlight w:val="none"/>
                <w:lang w:eastAsia="zh-CN"/>
              </w:rPr>
              <w:t>暂停施工，并按下述要求做好各项工作：</w:t>
            </w: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firstLine="6732" w:firstLineChars="2805"/>
              <w:rPr>
                <w:rFonts w:ascii="仿宋" w:hAnsi="仿宋" w:eastAsia="仿宋"/>
                <w:color w:val="auto"/>
                <w:highlight w:val="none"/>
                <w:lang w:eastAsia="zh-CN"/>
              </w:rPr>
            </w:pPr>
          </w:p>
          <w:p>
            <w:pPr>
              <w:spacing w:line="360" w:lineRule="auto"/>
              <w:ind w:firstLine="6732" w:firstLineChars="2805"/>
              <w:rPr>
                <w:rFonts w:ascii="仿宋" w:hAnsi="仿宋" w:eastAsia="仿宋"/>
                <w:color w:val="auto"/>
                <w:highlight w:val="none"/>
                <w:lang w:eastAsia="zh-CN"/>
              </w:rPr>
            </w:pPr>
          </w:p>
          <w:p>
            <w:pPr>
              <w:spacing w:line="360" w:lineRule="auto"/>
              <w:ind w:firstLine="6732" w:firstLineChars="2805"/>
              <w:rPr>
                <w:rFonts w:ascii="仿宋" w:hAnsi="仿宋" w:eastAsia="仿宋"/>
                <w:color w:val="auto"/>
                <w:highlight w:val="none"/>
                <w:lang w:eastAsia="zh-CN"/>
              </w:rPr>
            </w:pPr>
          </w:p>
          <w:p>
            <w:pPr>
              <w:spacing w:line="360" w:lineRule="auto"/>
              <w:ind w:firstLine="6732" w:firstLineChars="2805"/>
              <w:rPr>
                <w:rFonts w:ascii="仿宋" w:hAnsi="仿宋" w:eastAsia="仿宋"/>
                <w:color w:val="auto"/>
                <w:highlight w:val="none"/>
                <w:lang w:eastAsia="zh-CN"/>
              </w:rPr>
            </w:pPr>
          </w:p>
          <w:p>
            <w:pPr>
              <w:spacing w:line="360" w:lineRule="auto"/>
              <w:ind w:firstLine="6732" w:firstLineChars="2805"/>
              <w:rPr>
                <w:rFonts w:ascii="仿宋" w:hAnsi="仿宋" w:eastAsia="仿宋"/>
                <w:color w:val="auto"/>
                <w:highlight w:val="none"/>
                <w:lang w:eastAsia="zh-CN"/>
              </w:rPr>
            </w:pPr>
          </w:p>
          <w:p>
            <w:pPr>
              <w:spacing w:line="360" w:lineRule="auto"/>
              <w:ind w:firstLine="6732" w:firstLineChars="2805"/>
              <w:rPr>
                <w:rFonts w:ascii="仿宋" w:hAnsi="仿宋" w:eastAsia="仿宋"/>
                <w:color w:val="auto"/>
                <w:highlight w:val="none"/>
                <w:lang w:eastAsia="zh-CN"/>
              </w:rPr>
            </w:pPr>
          </w:p>
          <w:p>
            <w:pPr>
              <w:spacing w:line="360" w:lineRule="auto"/>
              <w:ind w:firstLine="6732" w:firstLineChars="2805"/>
              <w:rPr>
                <w:rFonts w:ascii="仿宋" w:hAnsi="仿宋" w:eastAsia="仿宋"/>
                <w:color w:val="auto"/>
                <w:highlight w:val="none"/>
                <w:lang w:eastAsia="zh-CN"/>
              </w:rPr>
            </w:pPr>
          </w:p>
          <w:p>
            <w:pPr>
              <w:spacing w:line="360" w:lineRule="auto"/>
              <w:ind w:firstLine="6240" w:firstLineChars="26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监理人（章）           </w:t>
            </w:r>
          </w:p>
          <w:p>
            <w:pPr>
              <w:spacing w:line="360" w:lineRule="auto"/>
              <w:ind w:firstLine="6240" w:firstLineChars="2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p>
          <w:p>
            <w:pPr>
              <w:spacing w:line="360" w:lineRule="auto"/>
              <w:ind w:firstLine="6240" w:firstLineChars="26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说明： 本表一式三份，由监理人填制，并连同发包人、承包人各存一份。</w:t>
      </w:r>
    </w:p>
    <w:p>
      <w:pPr>
        <w:spacing w:line="360" w:lineRule="auto"/>
        <w:rPr>
          <w:rFonts w:ascii="仿宋" w:hAnsi="仿宋" w:eastAsia="仿宋" w:cs="仿宋"/>
          <w:b/>
          <w:bCs/>
          <w:color w:val="auto"/>
          <w:highlight w:val="none"/>
          <w:lang w:eastAsia="zh-CN"/>
        </w:rPr>
      </w:pPr>
    </w:p>
    <w:p>
      <w:pPr>
        <w:spacing w:line="360" w:lineRule="auto"/>
        <w:rPr>
          <w:rFonts w:ascii="仿宋" w:hAnsi="仿宋" w:eastAsia="仿宋" w:cs="仿宋"/>
          <w:b/>
          <w:bCs/>
          <w:color w:val="auto"/>
          <w:highlight w:val="none"/>
          <w:lang w:eastAsia="zh-CN"/>
        </w:rPr>
        <w:sectPr>
          <w:endnotePr>
            <w:numFmt w:val="decimal"/>
          </w:endnotePr>
          <w:pgSz w:w="11906" w:h="16838"/>
          <w:pgMar w:top="1247" w:right="1304" w:bottom="1247" w:left="1304" w:header="794" w:footer="850" w:gutter="0"/>
          <w:cols w:space="0" w:num="1"/>
        </w:sectPr>
      </w:pPr>
    </w:p>
    <w:p>
      <w:pPr>
        <w:pStyle w:val="3"/>
        <w:rPr>
          <w:rFonts w:ascii="仿宋" w:hAnsi="仿宋" w:eastAsia="仿宋"/>
          <w:b w:val="0"/>
          <w:i/>
          <w:iCs/>
          <w:color w:val="auto"/>
          <w:sz w:val="24"/>
          <w:szCs w:val="24"/>
          <w:highlight w:val="none"/>
        </w:rPr>
      </w:pPr>
      <w:bookmarkStart w:id="983" w:name="_Toc47694471"/>
      <w:bookmarkStart w:id="984" w:name="_Toc16554"/>
      <w:bookmarkStart w:id="985" w:name="_Toc29798"/>
      <w:r>
        <w:rPr>
          <w:rFonts w:hint="eastAsia" w:ascii="仿宋" w:hAnsi="仿宋" w:eastAsia="仿宋"/>
          <w:b w:val="0"/>
          <w:color w:val="auto"/>
          <w:sz w:val="24"/>
          <w:szCs w:val="24"/>
          <w:highlight w:val="none"/>
        </w:rPr>
        <w:t>格式</w:t>
      </w:r>
      <w:bookmarkEnd w:id="983"/>
      <w:bookmarkEnd w:id="984"/>
      <w:r>
        <w:rPr>
          <w:rFonts w:hint="eastAsia" w:ascii="仿宋" w:hAnsi="仿宋" w:eastAsia="仿宋"/>
          <w:b w:val="0"/>
          <w:color w:val="auto"/>
          <w:sz w:val="24"/>
          <w:szCs w:val="24"/>
          <w:highlight w:val="none"/>
          <w:lang w:val="en-US"/>
        </w:rPr>
        <w:t>8</w:t>
      </w:r>
      <w:bookmarkEnd w:id="985"/>
    </w:p>
    <w:p>
      <w:pPr>
        <w:spacing w:before="50" w:after="50"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工期索赔申请表</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97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7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jc w:val="center"/>
        </w:trPr>
        <w:tc>
          <w:tcPr>
            <w:tcW w:w="9739" w:type="dxa"/>
            <w:tcBorders>
              <w:top w:val="single" w:color="auto" w:sz="6" w:space="0"/>
              <w:left w:val="single" w:color="auto" w:sz="6" w:space="0"/>
              <w:bottom w:val="single" w:color="auto" w:sz="4"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（监理人全称） </w:t>
            </w: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条规定，由于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原因,我方要求索赔并顺延工期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日历天，请予以批准。</w:t>
            </w:r>
          </w:p>
          <w:p>
            <w:pPr>
              <w:spacing w:line="360"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１．工期索赔的依据：</w:t>
            </w: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2．索赔工期的计算：</w:t>
            </w:r>
          </w:p>
          <w:p>
            <w:pPr>
              <w:spacing w:line="360" w:lineRule="auto"/>
              <w:ind w:left="-28" w:firstLine="458"/>
              <w:rPr>
                <w:rFonts w:ascii="仿宋" w:hAnsi="仿宋" w:eastAsia="仿宋"/>
                <w:color w:val="auto"/>
                <w:highlight w:val="none"/>
                <w:lang w:eastAsia="zh-CN"/>
              </w:rPr>
            </w:pPr>
          </w:p>
          <w:p>
            <w:pPr>
              <w:spacing w:line="360" w:lineRule="auto"/>
              <w:ind w:left="-28" w:firstLine="458"/>
              <w:rPr>
                <w:rFonts w:ascii="仿宋" w:hAnsi="仿宋" w:eastAsia="仿宋"/>
                <w:color w:val="auto"/>
                <w:highlight w:val="none"/>
                <w:lang w:eastAsia="zh-CN"/>
              </w:rPr>
            </w:pPr>
          </w:p>
          <w:p>
            <w:pPr>
              <w:spacing w:line="360" w:lineRule="auto"/>
              <w:ind w:left="-28" w:firstLine="458"/>
              <w:rPr>
                <w:rFonts w:ascii="仿宋" w:hAnsi="仿宋" w:eastAsia="仿宋"/>
                <w:color w:val="auto"/>
                <w:highlight w:val="none"/>
                <w:lang w:eastAsia="zh-CN"/>
              </w:rPr>
            </w:pPr>
          </w:p>
          <w:p>
            <w:pPr>
              <w:spacing w:line="360" w:lineRule="auto"/>
              <w:ind w:left="-28" w:firstLine="458"/>
              <w:rPr>
                <w:rFonts w:ascii="仿宋" w:hAnsi="仿宋" w:eastAsia="仿宋"/>
                <w:color w:val="auto"/>
                <w:highlight w:val="none"/>
                <w:lang w:eastAsia="zh-CN"/>
              </w:rPr>
            </w:pPr>
          </w:p>
          <w:p>
            <w:pPr>
              <w:spacing w:line="360" w:lineRule="auto"/>
              <w:ind w:left="-28" w:firstLine="458"/>
              <w:rPr>
                <w:rFonts w:ascii="仿宋" w:hAnsi="仿宋" w:eastAsia="仿宋"/>
                <w:color w:val="auto"/>
                <w:highlight w:val="none"/>
                <w:lang w:eastAsia="zh-CN"/>
              </w:rPr>
            </w:pPr>
            <w:r>
              <w:rPr>
                <w:rFonts w:hint="eastAsia" w:ascii="仿宋" w:hAnsi="仿宋" w:eastAsia="仿宋" w:cs="仿宋"/>
                <w:color w:val="auto"/>
                <w:highlight w:val="none"/>
                <w:lang w:eastAsia="zh-CN"/>
              </w:rPr>
              <w:t>本次要求延长工期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日历天；最终延长总工期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w:t>
            </w:r>
          </w:p>
          <w:p>
            <w:pPr>
              <w:spacing w:line="360" w:lineRule="auto"/>
              <w:ind w:left="-28" w:firstLine="458"/>
              <w:rPr>
                <w:rFonts w:ascii="仿宋" w:hAnsi="仿宋" w:eastAsia="仿宋"/>
                <w:color w:val="auto"/>
                <w:highlight w:val="none"/>
                <w:lang w:eastAsia="zh-CN"/>
              </w:rPr>
            </w:pPr>
            <w:r>
              <w:rPr>
                <w:rFonts w:hint="eastAsia" w:ascii="仿宋" w:hAnsi="仿宋" w:eastAsia="仿宋" w:cs="仿宋"/>
                <w:color w:val="auto"/>
                <w:highlight w:val="none"/>
                <w:lang w:eastAsia="zh-CN"/>
              </w:rPr>
              <w:t>合同竣工日期从原来</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日延迟到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3．证明材料：</w:t>
            </w:r>
          </w:p>
          <w:p>
            <w:pPr>
              <w:tabs>
                <w:tab w:val="left" w:pos="6912"/>
              </w:tabs>
              <w:spacing w:line="360" w:lineRule="auto"/>
              <w:ind w:firstLine="6000" w:firstLineChars="2500"/>
              <w:rPr>
                <w:rFonts w:ascii="仿宋" w:hAnsi="仿宋" w:eastAsia="仿宋"/>
                <w:color w:val="auto"/>
                <w:highlight w:val="none"/>
                <w:lang w:eastAsia="zh-CN"/>
              </w:rPr>
            </w:pPr>
          </w:p>
          <w:p>
            <w:pPr>
              <w:tabs>
                <w:tab w:val="left" w:pos="6912"/>
              </w:tabs>
              <w:spacing w:line="360" w:lineRule="auto"/>
              <w:ind w:firstLine="6000" w:firstLineChars="2500"/>
              <w:rPr>
                <w:rFonts w:ascii="仿宋" w:hAnsi="仿宋" w:eastAsia="仿宋"/>
                <w:color w:val="auto"/>
                <w:highlight w:val="none"/>
                <w:lang w:eastAsia="zh-CN"/>
              </w:rPr>
            </w:pPr>
          </w:p>
          <w:p>
            <w:pPr>
              <w:tabs>
                <w:tab w:val="left" w:pos="6912"/>
              </w:tabs>
              <w:spacing w:line="360" w:lineRule="auto"/>
              <w:ind w:firstLine="6000" w:firstLineChars="2500"/>
              <w:rPr>
                <w:rFonts w:ascii="仿宋" w:hAnsi="仿宋" w:eastAsia="仿宋"/>
                <w:color w:val="auto"/>
                <w:highlight w:val="none"/>
                <w:lang w:eastAsia="zh-CN"/>
              </w:rPr>
            </w:pPr>
          </w:p>
          <w:p>
            <w:pPr>
              <w:tabs>
                <w:tab w:val="left" w:pos="6912"/>
              </w:tabs>
              <w:spacing w:line="360" w:lineRule="auto"/>
              <w:ind w:firstLine="6372" w:firstLineChars="2655"/>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承包人（章）             </w:t>
            </w:r>
          </w:p>
          <w:p>
            <w:pPr>
              <w:spacing w:line="360" w:lineRule="auto"/>
              <w:ind w:firstLine="6372" w:firstLineChars="2655"/>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372" w:firstLineChars="2655"/>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说明：本表一式三份，由承包人填报,发包人、监理人、承包人各存一份。</w:t>
      </w:r>
    </w:p>
    <w:p>
      <w:pPr>
        <w:pStyle w:val="3"/>
        <w:rPr>
          <w:rFonts w:ascii="仿宋" w:hAnsi="仿宋" w:eastAsia="仿宋" w:cs="仿宋"/>
          <w:b w:val="0"/>
          <w:bCs w:val="0"/>
          <w:i/>
          <w:iCs/>
          <w:color w:val="auto"/>
          <w:highlight w:val="none"/>
        </w:rPr>
      </w:pPr>
      <w:r>
        <w:rPr>
          <w:rFonts w:hint="eastAsia" w:ascii="仿宋" w:hAnsi="仿宋" w:eastAsia="仿宋"/>
          <w:color w:val="auto"/>
          <w:highlight w:val="none"/>
        </w:rPr>
        <w:br w:type="page"/>
      </w:r>
      <w:bookmarkStart w:id="986" w:name="_Toc47694472"/>
      <w:bookmarkStart w:id="987" w:name="_Toc16436"/>
      <w:bookmarkStart w:id="988" w:name="_Toc14187"/>
      <w:r>
        <w:rPr>
          <w:rFonts w:hint="eastAsia" w:ascii="仿宋" w:hAnsi="仿宋" w:eastAsia="仿宋" w:cs="仿宋"/>
          <w:b w:val="0"/>
          <w:bCs w:val="0"/>
          <w:color w:val="auto"/>
          <w:highlight w:val="none"/>
        </w:rPr>
        <w:t>格式</w:t>
      </w:r>
      <w:bookmarkEnd w:id="986"/>
      <w:bookmarkEnd w:id="987"/>
      <w:r>
        <w:rPr>
          <w:rFonts w:hint="eastAsia" w:ascii="仿宋" w:hAnsi="仿宋" w:eastAsia="仿宋" w:cs="仿宋"/>
          <w:b w:val="0"/>
          <w:bCs w:val="0"/>
          <w:color w:val="auto"/>
          <w:highlight w:val="none"/>
          <w:lang w:val="en-US"/>
        </w:rPr>
        <w:t>9</w:t>
      </w:r>
      <w:bookmarkEnd w:id="988"/>
    </w:p>
    <w:p>
      <w:pPr>
        <w:spacing w:before="50" w:after="50" w:line="360" w:lineRule="auto"/>
        <w:jc w:val="center"/>
        <w:rPr>
          <w:rFonts w:ascii="仿宋" w:hAnsi="仿宋" w:eastAsia="仿宋"/>
          <w:b/>
          <w:bCs/>
          <w:color w:val="auto"/>
          <w:highlight w:val="none"/>
          <w:lang w:eastAsia="zh-CN"/>
        </w:rPr>
      </w:pPr>
      <w:r>
        <w:rPr>
          <w:rFonts w:hint="eastAsia" w:ascii="仿宋" w:hAnsi="仿宋" w:eastAsia="仿宋" w:cs="仿宋"/>
          <w:b/>
          <w:bCs/>
          <w:color w:val="auto"/>
          <w:spacing w:val="30"/>
          <w:sz w:val="44"/>
          <w:szCs w:val="44"/>
          <w:highlight w:val="none"/>
          <w:lang w:eastAsia="zh-CN"/>
        </w:rPr>
        <w:t>工期索赔审批表</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8839"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0170" w:hRule="atLeast"/>
        </w:trPr>
        <w:tc>
          <w:tcPr>
            <w:tcW w:w="8839" w:type="dxa"/>
            <w:tcBorders>
              <w:top w:val="single" w:color="auto" w:sz="6" w:space="0"/>
              <w:left w:val="single" w:color="auto" w:sz="6" w:space="0"/>
              <w:bottom w:val="single" w:color="auto" w:sz="4"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（承包人全称） </w:t>
            </w: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根据工程总承包合同条款第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的规定，你方提出的工期索赔申请第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号,索赔工期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日历天，经我方审核：</w:t>
            </w:r>
          </w:p>
          <w:p>
            <w:pPr>
              <w:spacing w:line="360" w:lineRule="auto"/>
              <w:ind w:left="-28" w:firstLine="55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不同意此项索赔，按约定竣工日期组织施工。</w:t>
            </w:r>
          </w:p>
          <w:p>
            <w:pPr>
              <w:spacing w:line="360" w:lineRule="auto"/>
              <w:ind w:left="-28" w:firstLine="55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同意此项索赔，工期延长</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日历天，合同竣工日期从原来的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日延迟到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说明理由：</w:t>
            </w: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pStyle w:val="40"/>
              <w:rPr>
                <w:color w:val="auto"/>
                <w:highlight w:val="none"/>
              </w:rPr>
            </w:pPr>
          </w:p>
          <w:p>
            <w:pPr>
              <w:spacing w:line="360" w:lineRule="auto"/>
              <w:ind w:left="-108" w:firstLine="590"/>
              <w:rPr>
                <w:rFonts w:ascii="仿宋" w:hAnsi="仿宋" w:eastAsia="仿宋"/>
                <w:color w:val="auto"/>
                <w:highlight w:val="none"/>
                <w:lang w:eastAsia="zh-CN"/>
              </w:rPr>
            </w:pPr>
          </w:p>
          <w:p>
            <w:pPr>
              <w:spacing w:line="360" w:lineRule="auto"/>
              <w:ind w:left="-108" w:firstLine="590"/>
              <w:rPr>
                <w:rFonts w:ascii="仿宋" w:hAnsi="仿宋" w:eastAsia="仿宋"/>
                <w:color w:val="auto"/>
                <w:highlight w:val="none"/>
                <w:lang w:eastAsia="zh-CN"/>
              </w:rPr>
            </w:pPr>
          </w:p>
          <w:p>
            <w:pPr>
              <w:spacing w:line="360" w:lineRule="auto"/>
              <w:ind w:left="-108" w:firstLine="590"/>
              <w:rPr>
                <w:rFonts w:ascii="仿宋" w:hAnsi="仿宋" w:eastAsia="仿宋"/>
                <w:color w:val="auto"/>
                <w:highlight w:val="none"/>
                <w:lang w:eastAsia="zh-CN"/>
              </w:rPr>
            </w:pPr>
          </w:p>
          <w:p>
            <w:pPr>
              <w:spacing w:line="360" w:lineRule="auto"/>
              <w:ind w:left="-108" w:firstLine="590"/>
              <w:rPr>
                <w:rFonts w:ascii="仿宋" w:hAnsi="仿宋" w:eastAsia="仿宋"/>
                <w:color w:val="auto"/>
                <w:highlight w:val="none"/>
                <w:lang w:eastAsia="zh-CN"/>
              </w:rPr>
            </w:pPr>
          </w:p>
          <w:p>
            <w:pPr>
              <w:spacing w:line="360" w:lineRule="auto"/>
              <w:ind w:left="-108" w:firstLine="590"/>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tabs>
                <w:tab w:val="left" w:pos="6912"/>
              </w:tabs>
              <w:spacing w:line="360" w:lineRule="auto"/>
              <w:ind w:firstLine="5280" w:firstLineChars="2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监理人（章）              </w:t>
            </w:r>
          </w:p>
          <w:p>
            <w:pPr>
              <w:spacing w:line="360" w:lineRule="auto"/>
              <w:ind w:firstLine="5280" w:firstLineChars="2200"/>
              <w:rPr>
                <w:rFonts w:ascii="仿宋" w:hAnsi="仿宋" w:eastAsia="仿宋" w:cs="仿宋"/>
                <w:color w:val="auto"/>
                <w:highlight w:val="none"/>
                <w:u w:val="single"/>
              </w:rPr>
            </w:pPr>
            <w:r>
              <w:rPr>
                <w:rFonts w:hint="eastAsia" w:ascii="仿宋" w:hAnsi="仿宋" w:eastAsia="仿宋" w:cs="仿宋"/>
                <w:color w:val="auto"/>
                <w:highlight w:val="none"/>
              </w:rPr>
              <w:t>监理人代表</w:t>
            </w:r>
            <w:r>
              <w:rPr>
                <w:rFonts w:hint="eastAsia" w:ascii="仿宋" w:hAnsi="仿宋" w:eastAsia="仿宋" w:cs="仿宋"/>
                <w:color w:val="auto"/>
                <w:highlight w:val="none"/>
                <w:u w:val="single"/>
              </w:rPr>
              <w:t xml:space="preserve">                </w:t>
            </w:r>
          </w:p>
          <w:p>
            <w:pPr>
              <w:tabs>
                <w:tab w:val="left" w:pos="7272"/>
              </w:tabs>
              <w:spacing w:line="360" w:lineRule="auto"/>
              <w:ind w:firstLine="5280" w:firstLineChars="22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rPr>
          <w:rFonts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说明：1．在需要选择的栏中的“□”内作标识“√”。</w:t>
      </w:r>
    </w:p>
    <w:p>
      <w:pPr>
        <w:spacing w:before="120" w:beforeLines="50" w:after="120" w:afterLines="50"/>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2．本表一式三份，由监理人填制,发包人、监理人、承包人各存一份。</w:t>
      </w:r>
    </w:p>
    <w:p>
      <w:pPr>
        <w:pStyle w:val="3"/>
        <w:rPr>
          <w:rFonts w:ascii="仿宋" w:hAnsi="仿宋" w:eastAsia="仿宋" w:cs="仿宋"/>
          <w:b w:val="0"/>
          <w:bCs w:val="0"/>
          <w:i/>
          <w:iCs/>
          <w:color w:val="auto"/>
          <w:highlight w:val="none"/>
        </w:rPr>
      </w:pPr>
      <w:r>
        <w:rPr>
          <w:rFonts w:hint="eastAsia" w:ascii="仿宋" w:hAnsi="仿宋" w:eastAsia="仿宋"/>
          <w:color w:val="auto"/>
          <w:highlight w:val="none"/>
        </w:rPr>
        <w:br w:type="page"/>
      </w:r>
      <w:bookmarkStart w:id="989" w:name="_Toc22286"/>
      <w:bookmarkStart w:id="990" w:name="_Toc18111"/>
      <w:bookmarkStart w:id="991" w:name="_Toc47694473"/>
      <w:r>
        <w:rPr>
          <w:rFonts w:hint="eastAsia" w:ascii="仿宋" w:hAnsi="仿宋" w:eastAsia="仿宋" w:cs="仿宋"/>
          <w:b w:val="0"/>
          <w:bCs w:val="0"/>
          <w:color w:val="auto"/>
          <w:highlight w:val="none"/>
        </w:rPr>
        <w:t>格式1</w:t>
      </w:r>
      <w:r>
        <w:rPr>
          <w:rFonts w:hint="eastAsia" w:ascii="仿宋" w:hAnsi="仿宋" w:eastAsia="仿宋" w:cs="仿宋"/>
          <w:b w:val="0"/>
          <w:bCs w:val="0"/>
          <w:color w:val="auto"/>
          <w:highlight w:val="none"/>
          <w:lang w:val="en-US"/>
        </w:rPr>
        <w:t>0</w:t>
      </w:r>
      <w:bookmarkEnd w:id="989"/>
      <w:bookmarkEnd w:id="990"/>
      <w:bookmarkEnd w:id="991"/>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工程材料/设备报审表</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42"/>
        <w:tblW w:w="945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17" w:hRule="atLeast"/>
          <w:jc w:val="center"/>
        </w:trPr>
        <w:tc>
          <w:tcPr>
            <w:tcW w:w="9454" w:type="dxa"/>
            <w:tcBorders>
              <w:top w:val="single" w:color="auto" w:sz="6" w:space="0"/>
              <w:left w:val="single" w:color="auto" w:sz="6" w:space="0"/>
              <w:bottom w:val="single" w:color="auto" w:sz="6"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日进场的工程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材料</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构配件</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设备数量如下（见附件）。现提供质量证明文件及自检结果，拟用于下述部位：</w:t>
            </w:r>
          </w:p>
          <w:p>
            <w:pPr>
              <w:spacing w:line="360" w:lineRule="auto"/>
              <w:ind w:left="-28" w:firstLine="482"/>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w:t>
            </w: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请予以检验和批准。</w:t>
            </w:r>
          </w:p>
          <w:p>
            <w:pPr>
              <w:spacing w:line="360" w:lineRule="auto"/>
              <w:ind w:left="-108" w:firstLine="510"/>
              <w:rPr>
                <w:rFonts w:ascii="仿宋" w:hAnsi="仿宋" w:eastAsia="仿宋"/>
                <w:color w:val="auto"/>
                <w:highlight w:val="none"/>
                <w:lang w:eastAsia="zh-CN"/>
              </w:rPr>
            </w:pPr>
            <w:r>
              <w:rPr>
                <w:rFonts w:hint="eastAsia" w:ascii="仿宋" w:hAnsi="仿宋" w:eastAsia="仿宋" w:cs="仿宋"/>
                <w:color w:val="auto"/>
                <w:highlight w:val="none"/>
                <w:lang w:eastAsia="zh-CN"/>
              </w:rPr>
              <w:t>附件:1．数量清单</w:t>
            </w:r>
          </w:p>
          <w:p>
            <w:pPr>
              <w:spacing w:line="360" w:lineRule="auto"/>
              <w:ind w:left="-108" w:firstLine="1077"/>
              <w:rPr>
                <w:rFonts w:ascii="仿宋" w:hAnsi="仿宋" w:eastAsia="仿宋"/>
                <w:color w:val="auto"/>
                <w:highlight w:val="none"/>
                <w:lang w:eastAsia="zh-CN"/>
              </w:rPr>
            </w:pPr>
            <w:r>
              <w:rPr>
                <w:rFonts w:hint="eastAsia" w:ascii="仿宋" w:hAnsi="仿宋" w:eastAsia="仿宋" w:cs="仿宋"/>
                <w:color w:val="auto"/>
                <w:highlight w:val="none"/>
                <w:lang w:eastAsia="zh-CN"/>
              </w:rPr>
              <w:t>2．质量证明文件</w:t>
            </w:r>
          </w:p>
          <w:p>
            <w:pPr>
              <w:spacing w:line="360" w:lineRule="auto"/>
              <w:ind w:left="-108" w:firstLine="1077"/>
              <w:rPr>
                <w:rFonts w:ascii="仿宋" w:hAnsi="仿宋" w:eastAsia="仿宋"/>
                <w:color w:val="auto"/>
                <w:highlight w:val="none"/>
                <w:lang w:eastAsia="zh-CN"/>
              </w:rPr>
            </w:pPr>
            <w:r>
              <w:rPr>
                <w:rFonts w:hint="eastAsia" w:ascii="仿宋" w:hAnsi="仿宋" w:eastAsia="仿宋" w:cs="仿宋"/>
                <w:color w:val="auto"/>
                <w:highlight w:val="none"/>
                <w:lang w:eastAsia="zh-CN"/>
              </w:rPr>
              <w:t>3．自检结果</w:t>
            </w: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承包人（章）             </w:t>
            </w:r>
          </w:p>
          <w:p>
            <w:pPr>
              <w:spacing w:line="360" w:lineRule="auto"/>
              <w:ind w:firstLine="6000" w:firstLineChars="2500"/>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pacing w:line="360" w:lineRule="auto"/>
              <w:ind w:firstLine="6012"/>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jc w:val="center"/>
        </w:trPr>
        <w:tc>
          <w:tcPr>
            <w:tcW w:w="9454" w:type="dxa"/>
            <w:tcBorders>
              <w:top w:val="single" w:color="auto" w:sz="6" w:space="0"/>
              <w:left w:val="single" w:color="auto" w:sz="6" w:space="0"/>
              <w:bottom w:val="single" w:color="auto" w:sz="4" w:space="0"/>
              <w:right w:val="single" w:color="auto" w:sz="6"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审查意见：</w:t>
            </w:r>
          </w:p>
          <w:p>
            <w:pPr>
              <w:spacing w:line="360" w:lineRule="auto"/>
              <w:ind w:left="-28" w:firstLine="454"/>
              <w:rPr>
                <w:rFonts w:ascii="仿宋" w:hAnsi="仿宋" w:eastAsia="仿宋"/>
                <w:color w:val="auto"/>
                <w:highlight w:val="none"/>
                <w:lang w:eastAsia="zh-CN"/>
              </w:rPr>
            </w:pPr>
            <w:r>
              <w:rPr>
                <w:rFonts w:hint="eastAsia" w:ascii="仿宋" w:hAnsi="仿宋" w:eastAsia="仿宋" w:cs="仿宋"/>
                <w:color w:val="auto"/>
                <w:highlight w:val="none"/>
                <w:lang w:eastAsia="zh-CN"/>
              </w:rPr>
              <w:t>经检查上述工程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材料</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构配件</w:t>
            </w:r>
            <w:r>
              <w:rPr>
                <w:rFonts w:hint="eastAsia" w:ascii="仿宋" w:hAnsi="仿宋" w:eastAsia="仿宋" w:cs="仿宋"/>
                <w:color w:val="auto"/>
                <w:sz w:val="32"/>
                <w:szCs w:val="32"/>
                <w:highlight w:val="none"/>
                <w:lang w:eastAsia="zh-CN"/>
              </w:rPr>
              <w:t>□工程</w:t>
            </w:r>
            <w:r>
              <w:rPr>
                <w:rFonts w:hint="eastAsia" w:ascii="仿宋" w:hAnsi="仿宋" w:eastAsia="仿宋" w:cs="仿宋"/>
                <w:color w:val="auto"/>
                <w:highlight w:val="none"/>
                <w:lang w:eastAsia="zh-CN"/>
              </w:rPr>
              <w:t>设备，（</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不符合）标准与规范、设计要求，（</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准许/</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不准许）进场，（</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不同意）使用于拟定部位。</w:t>
            </w:r>
          </w:p>
          <w:p>
            <w:pPr>
              <w:spacing w:line="360" w:lineRule="auto"/>
              <w:ind w:firstLine="6000" w:firstLineChars="2500"/>
              <w:rPr>
                <w:rFonts w:ascii="仿宋" w:hAnsi="仿宋" w:eastAsia="仿宋"/>
                <w:color w:val="auto"/>
                <w:highlight w:val="none"/>
                <w:lang w:eastAsia="zh-CN"/>
              </w:rPr>
            </w:pPr>
          </w:p>
          <w:p>
            <w:pPr>
              <w:spacing w:line="360" w:lineRule="auto"/>
              <w:ind w:firstLine="6000" w:firstLineChars="2500"/>
              <w:rPr>
                <w:rFonts w:ascii="仿宋" w:hAnsi="仿宋" w:eastAsia="仿宋"/>
                <w:color w:val="auto"/>
                <w:highlight w:val="none"/>
                <w:lang w:eastAsia="zh-CN"/>
              </w:rPr>
            </w:pPr>
          </w:p>
          <w:p>
            <w:pPr>
              <w:spacing w:line="360" w:lineRule="auto"/>
              <w:ind w:firstLine="6000" w:firstLineChars="25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监理人（章）             </w:t>
            </w:r>
          </w:p>
          <w:p>
            <w:pPr>
              <w:spacing w:line="360" w:lineRule="auto"/>
              <w:ind w:firstLine="6000" w:firstLineChars="2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p>
          <w:p>
            <w:pPr>
              <w:spacing w:line="360" w:lineRule="auto"/>
              <w:ind w:firstLine="6000" w:firstLineChars="250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tc>
      </w:tr>
    </w:tbl>
    <w:p>
      <w:pPr>
        <w:rPr>
          <w:rFonts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pPr>
        <w:ind w:left="720"/>
        <w:rPr>
          <w:rFonts w:ascii="仿宋" w:hAnsi="仿宋" w:eastAsia="仿宋"/>
          <w:color w:val="auto"/>
          <w:highlight w:val="none"/>
          <w:lang w:eastAsia="zh-CN"/>
        </w:rPr>
      </w:pPr>
      <w:r>
        <w:rPr>
          <w:rFonts w:hint="eastAsia" w:ascii="仿宋" w:hAnsi="仿宋" w:eastAsia="仿宋" w:cs="仿宋"/>
          <w:color w:val="auto"/>
          <w:highlight w:val="none"/>
          <w:lang w:eastAsia="zh-CN"/>
        </w:rPr>
        <w:t>2.本表一式三份，由承包人、监理人按合同规定程序填制，并连同发包人各存一份。</w:t>
      </w:r>
    </w:p>
    <w:p>
      <w:pPr>
        <w:spacing w:before="120" w:beforeLines="50" w:after="120" w:afterLines="50" w:line="360" w:lineRule="auto"/>
        <w:outlineLvl w:val="0"/>
        <w:rPr>
          <w:rFonts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992" w:name="_Toc47694474"/>
      <w:bookmarkStart w:id="993" w:name="_Toc4629"/>
      <w:bookmarkStart w:id="994" w:name="_Toc14270"/>
      <w:r>
        <w:rPr>
          <w:rFonts w:hint="eastAsia" w:ascii="仿宋" w:hAnsi="仿宋" w:eastAsia="仿宋" w:cs="仿宋"/>
          <w:b/>
          <w:bCs/>
          <w:color w:val="auto"/>
          <w:highlight w:val="none"/>
          <w:lang w:eastAsia="zh-CN"/>
        </w:rPr>
        <w:t>格式1</w:t>
      </w:r>
      <w:bookmarkEnd w:id="992"/>
      <w:bookmarkEnd w:id="993"/>
      <w:r>
        <w:rPr>
          <w:rFonts w:hint="eastAsia" w:ascii="仿宋" w:hAnsi="仿宋" w:eastAsia="仿宋" w:cs="仿宋"/>
          <w:b/>
          <w:bCs/>
          <w:color w:val="auto"/>
          <w:highlight w:val="none"/>
          <w:lang w:eastAsia="zh-CN"/>
        </w:rPr>
        <w:t>1</w:t>
      </w:r>
      <w:bookmarkEnd w:id="994"/>
    </w:p>
    <w:p>
      <w:pPr>
        <w:spacing w:line="360" w:lineRule="auto"/>
        <w:jc w:val="center"/>
        <w:rPr>
          <w:rFonts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隐蔽工程/中间验收报告</w:t>
      </w:r>
    </w:p>
    <w:p>
      <w:pPr>
        <w:spacing w:line="360" w:lineRule="auto"/>
        <w:jc w:val="center"/>
        <w:rPr>
          <w:rFonts w:ascii="仿宋" w:hAnsi="仿宋" w:eastAsia="仿宋" w:cs="仿宋"/>
          <w:b/>
          <w:bCs/>
          <w:color w:val="auto"/>
          <w:spacing w:val="30"/>
          <w:sz w:val="28"/>
          <w:szCs w:val="28"/>
          <w:highlight w:val="none"/>
          <w:lang w:eastAsia="zh-CN"/>
        </w:rPr>
      </w:pPr>
      <w:r>
        <w:rPr>
          <w:rFonts w:hint="eastAsia" w:ascii="仿宋" w:hAnsi="仿宋" w:eastAsia="仿宋" w:cs="仿宋"/>
          <w:b/>
          <w:bCs/>
          <w:color w:val="auto"/>
          <w:spacing w:val="30"/>
          <w:sz w:val="28"/>
          <w:szCs w:val="28"/>
          <w:highlight w:val="none"/>
          <w:lang w:eastAsia="zh-CN"/>
        </w:rPr>
        <w:t>（勘察、设计等成果验收参照修改）</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42"/>
        <w:tblW w:w="939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20" w:hRule="atLeast"/>
          <w:jc w:val="center"/>
        </w:trPr>
        <w:tc>
          <w:tcPr>
            <w:tcW w:w="9394" w:type="dxa"/>
            <w:tcBorders>
              <w:top w:val="single" w:color="auto" w:sz="6" w:space="0"/>
              <w:left w:val="single" w:color="auto" w:sz="6" w:space="0"/>
              <w:bottom w:val="single" w:color="auto" w:sz="6" w:space="0"/>
              <w:right w:val="single" w:color="auto" w:sz="6" w:space="0"/>
            </w:tcBorders>
          </w:tcPr>
          <w:p>
            <w:pPr>
              <w:spacing w:before="120"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我方已完成了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工作,经自检合格，现提出</w:t>
            </w:r>
          </w:p>
          <w:p>
            <w:pPr>
              <w:spacing w:line="360" w:lineRule="auto"/>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隐蔽工程/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中间验收（内容见附件）申请，请予审验收。</w:t>
            </w:r>
          </w:p>
          <w:p>
            <w:pPr>
              <w:spacing w:line="360" w:lineRule="auto"/>
              <w:ind w:firstLine="417"/>
              <w:rPr>
                <w:rFonts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rPr>
                <w:rFonts w:ascii="仿宋" w:hAnsi="仿宋" w:eastAsia="仿宋"/>
                <w:color w:val="auto"/>
                <w:highlight w:val="none"/>
                <w:u w:val="single"/>
              </w:rPr>
            </w:pPr>
            <w:r>
              <w:rPr>
                <w:rFonts w:hint="eastAsia" w:ascii="仿宋" w:hAnsi="仿宋" w:eastAsia="仿宋" w:cs="仿宋"/>
                <w:color w:val="auto"/>
                <w:highlight w:val="none"/>
              </w:rPr>
              <w:t xml:space="preserve">                                                    承包人（章）           </w:t>
            </w:r>
          </w:p>
          <w:p>
            <w:pPr>
              <w:spacing w:line="360" w:lineRule="auto"/>
              <w:ind w:firstLine="6240" w:firstLineChars="2600"/>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pacing w:line="360" w:lineRule="auto"/>
              <w:ind w:firstLine="6240" w:firstLineChars="26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21" w:hRule="atLeast"/>
          <w:jc w:val="center"/>
        </w:trPr>
        <w:tc>
          <w:tcPr>
            <w:tcW w:w="9394" w:type="dxa"/>
            <w:tcBorders>
              <w:top w:val="single" w:color="auto" w:sz="6" w:space="0"/>
              <w:left w:val="single" w:color="auto" w:sz="6" w:space="0"/>
              <w:bottom w:val="single" w:color="auto" w:sz="6" w:space="0"/>
              <w:right w:val="single" w:color="auto" w:sz="6" w:space="0"/>
            </w:tcBorders>
          </w:tcPr>
          <w:p>
            <w:pPr>
              <w:spacing w:before="120"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复核意见：</w:t>
            </w:r>
          </w:p>
          <w:p>
            <w:pPr>
              <w:spacing w:line="360" w:lineRule="auto"/>
              <w:ind w:firstLine="6240" w:firstLineChars="26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设计顾问人（章） </w:t>
            </w:r>
          </w:p>
          <w:p>
            <w:pPr>
              <w:spacing w:line="360" w:lineRule="auto"/>
              <w:ind w:firstLine="6240" w:firstLineChars="2600"/>
              <w:rPr>
                <w:rFonts w:ascii="仿宋" w:hAnsi="仿宋" w:eastAsia="仿宋" w:cs="仿宋"/>
                <w:color w:val="auto"/>
                <w:highlight w:val="none"/>
                <w:u w:val="single"/>
              </w:rPr>
            </w:pPr>
            <w:r>
              <w:rPr>
                <w:rFonts w:hint="eastAsia" w:ascii="仿宋" w:hAnsi="仿宋" w:eastAsia="仿宋" w:cs="仿宋"/>
                <w:color w:val="auto"/>
                <w:highlight w:val="none"/>
              </w:rPr>
              <w:t>设计顾问人代表</w:t>
            </w:r>
            <w:r>
              <w:rPr>
                <w:rFonts w:hint="eastAsia" w:ascii="仿宋" w:hAnsi="仿宋" w:eastAsia="仿宋" w:cs="仿宋"/>
                <w:color w:val="auto"/>
                <w:highlight w:val="none"/>
                <w:u w:val="single"/>
              </w:rPr>
              <w:t xml:space="preserve">          </w:t>
            </w:r>
          </w:p>
          <w:p>
            <w:pPr>
              <w:spacing w:line="360" w:lineRule="auto"/>
              <w:ind w:firstLine="6240" w:firstLineChars="260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jc w:val="center"/>
        </w:trPr>
        <w:tc>
          <w:tcPr>
            <w:tcW w:w="9394" w:type="dxa"/>
            <w:tcBorders>
              <w:top w:val="single" w:color="auto" w:sz="4" w:space="0"/>
              <w:left w:val="single" w:color="auto" w:sz="6" w:space="0"/>
              <w:bottom w:val="single" w:color="auto" w:sz="6" w:space="0"/>
              <w:right w:val="single" w:color="auto" w:sz="6"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审查意见：</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经验收，上述工程（□符合/□不符合）标准与规范、设计要求，验收（□合格/□不合格）（□可以/□不可以）隐蔽或继续施工。</w:t>
            </w:r>
          </w:p>
          <w:p>
            <w:pPr>
              <w:spacing w:line="360" w:lineRule="auto"/>
              <w:ind w:firstLine="6240" w:firstLineChars="2600"/>
              <w:rPr>
                <w:rFonts w:ascii="仿宋" w:hAnsi="仿宋" w:eastAsia="仿宋"/>
                <w:color w:val="auto"/>
                <w:highlight w:val="none"/>
                <w:lang w:eastAsia="zh-CN"/>
              </w:rPr>
            </w:pPr>
            <w:r>
              <w:rPr>
                <w:rFonts w:hint="eastAsia" w:ascii="仿宋" w:hAnsi="仿宋" w:eastAsia="仿宋" w:cs="仿宋"/>
                <w:color w:val="auto"/>
                <w:highlight w:val="none"/>
                <w:lang w:eastAsia="zh-CN"/>
              </w:rPr>
              <w:t>监理人（章）</w:t>
            </w:r>
          </w:p>
          <w:p>
            <w:pPr>
              <w:spacing w:line="360" w:lineRule="auto"/>
              <w:ind w:firstLine="6295" w:firstLineChars="262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p>
          <w:p>
            <w:pPr>
              <w:tabs>
                <w:tab w:val="left" w:pos="6297"/>
              </w:tabs>
              <w:spacing w:line="360" w:lineRule="auto"/>
              <w:ind w:firstLine="6295" w:firstLineChars="2623"/>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rPr>
          <w:rFonts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pPr>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2．本表用于包括隐蔽工程、分部分项工程、单项工程等的质量验收。</w:t>
      </w:r>
    </w:p>
    <w:p>
      <w:pPr>
        <w:ind w:left="1301" w:leftChars="342" w:hanging="480" w:hangingChars="200"/>
        <w:rPr>
          <w:rFonts w:ascii="仿宋" w:hAnsi="仿宋" w:eastAsia="仿宋"/>
          <w:color w:val="auto"/>
          <w:highlight w:val="none"/>
          <w:lang w:eastAsia="zh-CN"/>
        </w:rPr>
      </w:pPr>
      <w:r>
        <w:rPr>
          <w:rFonts w:hint="eastAsia" w:ascii="仿宋" w:hAnsi="仿宋" w:eastAsia="仿宋" w:cs="仿宋"/>
          <w:color w:val="auto"/>
          <w:highlight w:val="none"/>
          <w:lang w:eastAsia="zh-CN"/>
        </w:rPr>
        <w:t>3．本表一式四份，由承包人、设计人、监理人按合同规定程序填制，并连同发包人各存一份。</w:t>
      </w:r>
    </w:p>
    <w:p>
      <w:pPr>
        <w:ind w:left="1"/>
        <w:outlineLvl w:val="0"/>
        <w:rPr>
          <w:rFonts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995" w:name="_Toc2019"/>
      <w:bookmarkStart w:id="996" w:name="_Toc47694475"/>
      <w:bookmarkStart w:id="997" w:name="_Toc10710"/>
      <w:r>
        <w:rPr>
          <w:rFonts w:hint="eastAsia" w:ascii="仿宋" w:hAnsi="仿宋" w:eastAsia="仿宋" w:cs="仿宋"/>
          <w:b/>
          <w:bCs/>
          <w:color w:val="auto"/>
          <w:highlight w:val="none"/>
          <w:lang w:eastAsia="zh-CN"/>
        </w:rPr>
        <w:t>格式1</w:t>
      </w:r>
      <w:bookmarkEnd w:id="995"/>
      <w:bookmarkEnd w:id="996"/>
      <w:r>
        <w:rPr>
          <w:rFonts w:hint="eastAsia" w:ascii="仿宋" w:hAnsi="仿宋" w:eastAsia="仿宋" w:cs="仿宋"/>
          <w:b/>
          <w:bCs/>
          <w:color w:val="auto"/>
          <w:highlight w:val="none"/>
          <w:lang w:eastAsia="zh-CN"/>
        </w:rPr>
        <w:t>2</w:t>
      </w:r>
      <w:bookmarkEnd w:id="997"/>
    </w:p>
    <w:p>
      <w:pPr>
        <w:spacing w:before="50" w:after="50" w:line="360" w:lineRule="auto"/>
        <w:jc w:val="center"/>
        <w:rPr>
          <w:rFonts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工程变更报审表</w:t>
      </w:r>
    </w:p>
    <w:p>
      <w:pPr>
        <w:spacing w:before="50" w:after="50" w:line="360" w:lineRule="auto"/>
        <w:jc w:val="center"/>
        <w:rPr>
          <w:rFonts w:ascii="仿宋" w:hAnsi="仿宋" w:eastAsia="仿宋" w:cs="仿宋"/>
          <w:b/>
          <w:bCs/>
          <w:color w:val="auto"/>
          <w:spacing w:val="30"/>
          <w:sz w:val="28"/>
          <w:szCs w:val="28"/>
          <w:highlight w:val="none"/>
          <w:lang w:eastAsia="zh-CN"/>
        </w:rPr>
      </w:pPr>
      <w:r>
        <w:rPr>
          <w:rFonts w:hint="eastAsia" w:ascii="仿宋" w:hAnsi="仿宋" w:eastAsia="仿宋" w:cs="仿宋"/>
          <w:b/>
          <w:bCs/>
          <w:color w:val="auto"/>
          <w:spacing w:val="30"/>
          <w:sz w:val="28"/>
          <w:szCs w:val="28"/>
          <w:highlight w:val="none"/>
          <w:lang w:eastAsia="zh-CN"/>
        </w:rPr>
        <w:t>（勘察、设计等工作变更参照修改）</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 </w:t>
      </w:r>
    </w:p>
    <w:tbl>
      <w:tblPr>
        <w:tblStyle w:val="42"/>
        <w:tblW w:w="94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65"/>
        <w:gridCol w:w="3447"/>
        <w:gridCol w:w="27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43" w:hRule="atLeast"/>
          <w:jc w:val="center"/>
        </w:trPr>
        <w:tc>
          <w:tcPr>
            <w:tcW w:w="9484" w:type="dxa"/>
            <w:gridSpan w:val="3"/>
            <w:tcBorders>
              <w:top w:val="single" w:color="auto" w:sz="6" w:space="0"/>
              <w:left w:val="single" w:color="auto" w:sz="6" w:space="0"/>
              <w:bottom w:val="single" w:color="000000" w:sz="6" w:space="0"/>
              <w:right w:val="single" w:color="auto" w:sz="6" w:space="0"/>
            </w:tcBorders>
          </w:tcPr>
          <w:p>
            <w:pPr>
              <w:spacing w:before="120"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pPr>
              <w:tabs>
                <w:tab w:val="left" w:pos="6192"/>
              </w:tabs>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由于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原因，现提出</w:t>
            </w:r>
          </w:p>
          <w:p>
            <w:pPr>
              <w:tabs>
                <w:tab w:val="left" w:pos="6192"/>
              </w:tabs>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w:t>
            </w:r>
          </w:p>
          <w:p>
            <w:pPr>
              <w:tabs>
                <w:tab w:val="left" w:pos="6192"/>
              </w:tabs>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工程变更（内容见附件），请予以审批。</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附件：1．提出变更原因（必要时附图）；</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2．工程量增减计算书；</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3．工程变更价款报价单。</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pPr>
              <w:spacing w:line="360" w:lineRule="auto"/>
              <w:ind w:firstLine="5760" w:firstLineChars="2400"/>
              <w:rPr>
                <w:rFonts w:ascii="仿宋" w:hAnsi="仿宋" w:eastAsia="仿宋"/>
                <w:color w:val="auto"/>
                <w:highlight w:val="none"/>
                <w:u w:val="singl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承包人（章）                 </w:t>
            </w:r>
          </w:p>
          <w:p>
            <w:pPr>
              <w:spacing w:line="360" w:lineRule="auto"/>
              <w:ind w:firstLine="5982"/>
              <w:rPr>
                <w:rFonts w:ascii="仿宋" w:hAnsi="仿宋" w:eastAsia="仿宋" w:cs="仿宋"/>
                <w:color w:val="auto"/>
                <w:highlight w:val="none"/>
                <w:u w:val="single"/>
              </w:rPr>
            </w:pPr>
            <w:r>
              <w:rPr>
                <w:rFonts w:hint="eastAsia" w:ascii="仿宋" w:hAnsi="仿宋" w:eastAsia="仿宋" w:cs="仿宋"/>
                <w:color w:val="auto"/>
                <w:spacing w:val="28"/>
                <w:highlight w:val="none"/>
              </w:rPr>
              <w:t>承包人代表</w:t>
            </w:r>
            <w:r>
              <w:rPr>
                <w:rFonts w:hint="eastAsia" w:ascii="仿宋" w:hAnsi="仿宋" w:eastAsia="仿宋" w:cs="仿宋"/>
                <w:color w:val="auto"/>
                <w:highlight w:val="none"/>
                <w:u w:val="single"/>
              </w:rPr>
              <w:t xml:space="preserve">              </w:t>
            </w:r>
          </w:p>
          <w:p>
            <w:pPr>
              <w:spacing w:line="360" w:lineRule="auto"/>
              <w:ind w:firstLine="5982"/>
              <w:rPr>
                <w:rFonts w:ascii="仿宋" w:hAnsi="仿宋" w:eastAsia="仿宋"/>
                <w:color w:val="auto"/>
                <w:spacing w:val="20"/>
                <w:highlight w:val="none"/>
                <w:u w:val="single"/>
              </w:rPr>
            </w:pPr>
            <w:r>
              <w:rPr>
                <w:rFonts w:hint="eastAsia" w:ascii="仿宋" w:hAnsi="仿宋" w:eastAsia="仿宋" w:cs="仿宋"/>
                <w:color w:val="auto"/>
                <w:highlight w:val="none"/>
              </w:rPr>
              <w:t xml:space="preserve">日        期 </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8" w:hRule="atLeast"/>
          <w:jc w:val="center"/>
        </w:trPr>
        <w:tc>
          <w:tcPr>
            <w:tcW w:w="3265" w:type="dxa"/>
            <w:tcBorders>
              <w:top w:val="single" w:color="000000" w:sz="6" w:space="0"/>
              <w:left w:val="single" w:color="auto" w:sz="6" w:space="0"/>
              <w:bottom w:val="single" w:color="auto" w:sz="4" w:space="0"/>
              <w:right w:val="single" w:color="auto" w:sz="4" w:space="0"/>
            </w:tcBorders>
          </w:tcPr>
          <w:p>
            <w:pPr>
              <w:snapToGrid w:val="0"/>
              <w:spacing w:line="360" w:lineRule="auto"/>
              <w:ind w:hanging="6"/>
              <w:rPr>
                <w:rFonts w:ascii="仿宋" w:hAnsi="仿宋" w:eastAsia="仿宋"/>
                <w:color w:val="auto"/>
                <w:highlight w:val="none"/>
                <w:lang w:eastAsia="zh-CN"/>
              </w:rPr>
            </w:pPr>
            <w:r>
              <w:rPr>
                <w:rFonts w:hint="eastAsia" w:ascii="仿宋" w:hAnsi="仿宋" w:eastAsia="仿宋" w:cs="仿宋"/>
                <w:color w:val="auto"/>
                <w:highlight w:val="none"/>
                <w:lang w:eastAsia="zh-CN"/>
              </w:rPr>
              <w:t>复核意见：</w:t>
            </w:r>
          </w:p>
          <w:p>
            <w:pPr>
              <w:snapToGrid w:val="0"/>
              <w:spacing w:line="360" w:lineRule="auto"/>
              <w:ind w:hanging="6"/>
              <w:rPr>
                <w:rFonts w:ascii="仿宋" w:hAnsi="仿宋" w:eastAsia="仿宋"/>
                <w:color w:val="auto"/>
                <w:highlight w:val="none"/>
                <w:lang w:eastAsia="zh-CN"/>
              </w:rPr>
            </w:pPr>
          </w:p>
          <w:p>
            <w:pPr>
              <w:snapToGrid w:val="0"/>
              <w:spacing w:line="360" w:lineRule="auto"/>
              <w:ind w:hanging="6"/>
              <w:rPr>
                <w:rFonts w:ascii="仿宋" w:hAnsi="仿宋" w:eastAsia="仿宋"/>
                <w:color w:val="auto"/>
                <w:highlight w:val="none"/>
                <w:lang w:eastAsia="zh-CN"/>
              </w:rPr>
            </w:pPr>
          </w:p>
          <w:p>
            <w:pPr>
              <w:snapToGrid w:val="0"/>
              <w:spacing w:line="360" w:lineRule="auto"/>
              <w:ind w:hanging="6"/>
              <w:rPr>
                <w:rFonts w:ascii="仿宋" w:hAnsi="仿宋" w:eastAsia="仿宋"/>
                <w:color w:val="auto"/>
                <w:highlight w:val="none"/>
                <w:lang w:eastAsia="zh-CN"/>
              </w:rPr>
            </w:pPr>
          </w:p>
          <w:p>
            <w:pPr>
              <w:snapToGrid w:val="0"/>
              <w:spacing w:line="360" w:lineRule="auto"/>
              <w:ind w:hanging="6"/>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设计顾问人（章）</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设计顾问人代表</w:t>
            </w:r>
            <w:r>
              <w:rPr>
                <w:rFonts w:hint="eastAsia" w:ascii="仿宋" w:hAnsi="仿宋" w:eastAsia="仿宋" w:cs="仿宋"/>
                <w:color w:val="auto"/>
                <w:highlight w:val="none"/>
                <w:u w:val="single"/>
              </w:rPr>
              <w:t xml:space="preserve">         </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c>
          <w:tcPr>
            <w:tcW w:w="3447" w:type="dxa"/>
            <w:tcBorders>
              <w:top w:val="single" w:color="000000" w:sz="6"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复核意见：</w:t>
            </w: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snapToGrid w:val="0"/>
              <w:spacing w:line="360" w:lineRule="auto"/>
              <w:rPr>
                <w:rFonts w:ascii="仿宋" w:hAnsi="仿宋" w:eastAsia="仿宋"/>
                <w:color w:val="auto"/>
                <w:highlight w:val="none"/>
                <w:lang w:eastAsia="zh-CN"/>
              </w:rPr>
            </w:pPr>
          </w:p>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监理人（章）</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监理人代表</w:t>
            </w:r>
            <w:r>
              <w:rPr>
                <w:rFonts w:hint="eastAsia" w:ascii="仿宋" w:hAnsi="仿宋" w:eastAsia="仿宋" w:cs="仿宋"/>
                <w:color w:val="auto"/>
                <w:highlight w:val="none"/>
                <w:u w:val="single"/>
              </w:rPr>
              <w:t xml:space="preserve">         </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c>
          <w:tcPr>
            <w:tcW w:w="2772" w:type="dxa"/>
            <w:tcBorders>
              <w:top w:val="single" w:color="000000" w:sz="6" w:space="0"/>
              <w:left w:val="single" w:color="auto" w:sz="4" w:space="0"/>
              <w:bottom w:val="single" w:color="auto" w:sz="4" w:space="0"/>
              <w:right w:val="single" w:color="auto" w:sz="6"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复核意见：</w:t>
            </w: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snapToGrid w:val="0"/>
              <w:spacing w:line="360" w:lineRule="auto"/>
              <w:rPr>
                <w:rFonts w:ascii="仿宋" w:hAnsi="仿宋" w:eastAsia="仿宋"/>
                <w:color w:val="auto"/>
                <w:highlight w:val="none"/>
                <w:lang w:eastAsia="zh-CN"/>
              </w:rPr>
            </w:pPr>
          </w:p>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造价咨询人（章）</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造价咨询人代表</w:t>
            </w:r>
            <w:r>
              <w:rPr>
                <w:rFonts w:hint="eastAsia" w:ascii="仿宋" w:hAnsi="仿宋" w:eastAsia="仿宋" w:cs="仿宋"/>
                <w:color w:val="auto"/>
                <w:highlight w:val="none"/>
                <w:u w:val="single"/>
              </w:rPr>
              <w:t xml:space="preserve">            </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3" w:hRule="atLeast"/>
          <w:jc w:val="center"/>
        </w:trPr>
        <w:tc>
          <w:tcPr>
            <w:tcW w:w="9484" w:type="dxa"/>
            <w:gridSpan w:val="3"/>
            <w:tcBorders>
              <w:top w:val="single" w:color="auto" w:sz="4" w:space="0"/>
              <w:left w:val="single" w:color="auto" w:sz="6" w:space="0"/>
              <w:bottom w:val="single" w:color="000000" w:sz="6" w:space="0"/>
              <w:right w:val="single" w:color="auto" w:sz="6" w:space="0"/>
            </w:tcBorders>
          </w:tcPr>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审批意见：</w:t>
            </w:r>
          </w:p>
          <w:p>
            <w:pPr>
              <w:snapToGrid w:val="0"/>
              <w:spacing w:line="360" w:lineRule="auto"/>
              <w:ind w:hanging="6"/>
              <w:rPr>
                <w:rFonts w:ascii="仿宋" w:hAnsi="仿宋" w:eastAsia="仿宋"/>
                <w:color w:val="auto"/>
                <w:highlight w:val="none"/>
                <w:lang w:eastAsia="zh-CN"/>
              </w:rPr>
            </w:pPr>
          </w:p>
          <w:p>
            <w:pPr>
              <w:snapToGrid w:val="0"/>
              <w:spacing w:line="360" w:lineRule="auto"/>
              <w:ind w:hanging="6"/>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发包人（章）</w:t>
            </w:r>
          </w:p>
          <w:p>
            <w:pPr>
              <w:snapToGrid w:val="0"/>
              <w:spacing w:line="360" w:lineRule="auto"/>
              <w:ind w:hanging="6"/>
              <w:jc w:val="center"/>
              <w:rPr>
                <w:rFonts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eastAsia" w:ascii="仿宋" w:hAnsi="仿宋" w:eastAsia="仿宋" w:cs="仿宋"/>
                <w:b/>
                <w:bCs/>
                <w:color w:val="auto"/>
                <w:highlight w:val="none"/>
                <w:u w:val="single"/>
              </w:rPr>
              <w:t xml:space="preserve">           </w:t>
            </w:r>
          </w:p>
          <w:p>
            <w:pPr>
              <w:snapToGrid w:val="0"/>
              <w:spacing w:line="360" w:lineRule="auto"/>
              <w:ind w:hanging="6"/>
              <w:rPr>
                <w:rFonts w:ascii="仿宋" w:hAnsi="仿宋" w:eastAsia="仿宋"/>
                <w:color w:val="auto"/>
                <w:highlight w:val="none"/>
                <w:u w:val="single"/>
              </w:rPr>
            </w:pPr>
            <w:r>
              <w:rPr>
                <w:rFonts w:hint="eastAsia" w:ascii="仿宋" w:hAnsi="仿宋" w:eastAsia="仿宋" w:cs="仿宋"/>
                <w:color w:val="auto"/>
                <w:highlight w:val="none"/>
              </w:rPr>
              <w:t xml:space="preserve">                                                      日      期</w:t>
            </w:r>
            <w:r>
              <w:rPr>
                <w:rFonts w:hint="eastAsia" w:ascii="仿宋" w:hAnsi="仿宋" w:eastAsia="仿宋" w:cs="仿宋"/>
                <w:color w:val="auto"/>
                <w:highlight w:val="none"/>
                <w:u w:val="single"/>
              </w:rPr>
              <w:t xml:space="preserve">           </w:t>
            </w:r>
          </w:p>
        </w:tc>
      </w:tr>
    </w:tbl>
    <w:p>
      <w:pPr>
        <w:spacing w:line="360" w:lineRule="auto"/>
        <w:ind w:left="720" w:hanging="720" w:hangingChars="300"/>
        <w:rPr>
          <w:rFonts w:ascii="仿宋" w:hAnsi="仿宋" w:eastAsia="仿宋"/>
          <w:color w:val="auto"/>
          <w:highlight w:val="none"/>
          <w:lang w:eastAsia="zh-CN"/>
        </w:rPr>
      </w:pPr>
      <w:r>
        <w:rPr>
          <w:rFonts w:hint="eastAsia" w:ascii="仿宋" w:hAnsi="仿宋" w:eastAsia="仿宋" w:cs="仿宋"/>
          <w:color w:val="auto"/>
          <w:highlight w:val="none"/>
          <w:lang w:eastAsia="zh-CN"/>
        </w:rPr>
        <w:t>说明：本表一式五份，由承包人、设计顾问人、监理人、造价咨询人、发包人按合同规定程序填制，并各存一份。</w:t>
      </w:r>
    </w:p>
    <w:p>
      <w:pPr>
        <w:rPr>
          <w:rFonts w:ascii="仿宋" w:hAnsi="仿宋" w:eastAsia="仿宋" w:cs="仿宋"/>
          <w:b/>
          <w:bCs/>
          <w:color w:val="auto"/>
          <w:highlight w:val="none"/>
          <w:lang w:eastAsia="zh-CN"/>
        </w:rPr>
        <w:sectPr>
          <w:endnotePr>
            <w:numFmt w:val="decimal"/>
          </w:endnotePr>
          <w:pgSz w:w="11906" w:h="16838"/>
          <w:pgMar w:top="1304" w:right="1304" w:bottom="1304" w:left="1304" w:header="794" w:footer="850" w:gutter="0"/>
          <w:cols w:space="0" w:num="1"/>
        </w:sectPr>
      </w:pPr>
    </w:p>
    <w:p>
      <w:pPr>
        <w:spacing w:line="360" w:lineRule="auto"/>
        <w:ind w:left="723" w:hanging="723" w:hangingChars="300"/>
        <w:outlineLvl w:val="0"/>
        <w:rPr>
          <w:rFonts w:ascii="仿宋" w:hAnsi="仿宋" w:eastAsia="仿宋" w:cs="仿宋"/>
          <w:b/>
          <w:bCs/>
          <w:color w:val="auto"/>
          <w:highlight w:val="none"/>
          <w:lang w:eastAsia="zh-CN"/>
        </w:rPr>
      </w:pPr>
      <w:bookmarkStart w:id="998" w:name="_Toc249"/>
      <w:bookmarkStart w:id="999" w:name="_Toc47694476"/>
      <w:bookmarkStart w:id="1000" w:name="_Toc24133"/>
      <w:r>
        <w:rPr>
          <w:rFonts w:hint="eastAsia" w:ascii="仿宋" w:hAnsi="仿宋" w:eastAsia="仿宋" w:cs="仿宋"/>
          <w:b/>
          <w:bCs/>
          <w:color w:val="auto"/>
          <w:highlight w:val="none"/>
          <w:lang w:eastAsia="zh-CN"/>
        </w:rPr>
        <w:t>格式1</w:t>
      </w:r>
      <w:bookmarkEnd w:id="998"/>
      <w:bookmarkEnd w:id="999"/>
      <w:r>
        <w:rPr>
          <w:rFonts w:hint="eastAsia" w:ascii="仿宋" w:hAnsi="仿宋" w:eastAsia="仿宋" w:cs="仿宋"/>
          <w:b/>
          <w:bCs/>
          <w:color w:val="auto"/>
          <w:highlight w:val="none"/>
          <w:lang w:eastAsia="zh-CN"/>
        </w:rPr>
        <w:t>3</w:t>
      </w:r>
      <w:bookmarkEnd w:id="1000"/>
    </w:p>
    <w:p>
      <w:pPr>
        <w:spacing w:before="50" w:after="50" w:line="360" w:lineRule="auto"/>
        <w:jc w:val="center"/>
        <w:rPr>
          <w:rFonts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工程变更令</w:t>
      </w:r>
    </w:p>
    <w:p>
      <w:pPr>
        <w:spacing w:before="50" w:after="50" w:line="360" w:lineRule="auto"/>
        <w:jc w:val="center"/>
        <w:rPr>
          <w:rFonts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28"/>
          <w:szCs w:val="28"/>
          <w:highlight w:val="none"/>
          <w:lang w:eastAsia="zh-CN"/>
        </w:rPr>
        <w:t>（勘察、设计等工作变更指令参照修改）</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 </w:t>
      </w:r>
    </w:p>
    <w:tbl>
      <w:tblPr>
        <w:tblStyle w:val="42"/>
        <w:tblW w:w="909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4" w:hRule="atLeast"/>
          <w:jc w:val="center"/>
        </w:trPr>
        <w:tc>
          <w:tcPr>
            <w:tcW w:w="9094" w:type="dxa"/>
            <w:tcBorders>
              <w:top w:val="single" w:color="auto" w:sz="6" w:space="0"/>
              <w:left w:val="single" w:color="auto" w:sz="6" w:space="0"/>
              <w:bottom w:val="single" w:color="000000" w:sz="6"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（承包人全称）   </w:t>
            </w:r>
          </w:p>
          <w:p>
            <w:pPr>
              <w:tabs>
                <w:tab w:val="left" w:pos="6192"/>
              </w:tabs>
              <w:spacing w:line="360" w:lineRule="auto"/>
              <w:ind w:left="-28" w:firstLine="550"/>
              <w:rPr>
                <w:rFonts w:ascii="仿宋" w:hAnsi="仿宋" w:eastAsia="仿宋"/>
                <w:color w:val="auto"/>
                <w:highlight w:val="none"/>
                <w:lang w:eastAsia="zh-CN"/>
              </w:rPr>
            </w:pPr>
            <w:r>
              <w:rPr>
                <w:rFonts w:hint="eastAsia" w:ascii="仿宋" w:hAnsi="仿宋" w:eastAsia="仿宋" w:cs="仿宋"/>
                <w:color w:val="auto"/>
                <w:highlight w:val="none"/>
                <w:lang w:eastAsia="zh-CN"/>
              </w:rPr>
              <w:t>由于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原因，现发出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工程变更令（内容见附件），请按照本变更令和合同约定组织施工；若合同与本变更令不一致的，以本变更令为准。如有疑问，请及时与监理人联系。</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变更内容见附件：</w:t>
            </w:r>
          </w:p>
          <w:p>
            <w:pPr>
              <w:spacing w:line="360" w:lineRule="auto"/>
              <w:ind w:left="-28"/>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firstLine="5880" w:firstLineChars="24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p>
          <w:p>
            <w:pPr>
              <w:spacing w:line="360" w:lineRule="auto"/>
              <w:ind w:firstLine="5920" w:firstLineChars="2000"/>
              <w:rPr>
                <w:rFonts w:ascii="仿宋" w:hAnsi="仿宋" w:eastAsia="仿宋" w:cs="仿宋"/>
                <w:color w:val="auto"/>
                <w:highlight w:val="none"/>
                <w:u w:val="single"/>
                <w:lang w:eastAsia="zh-CN"/>
              </w:rPr>
            </w:pPr>
            <w:r>
              <w:rPr>
                <w:rFonts w:hint="eastAsia" w:ascii="仿宋" w:hAnsi="仿宋" w:eastAsia="仿宋" w:cs="仿宋"/>
                <w:color w:val="auto"/>
                <w:spacing w:val="28"/>
                <w:highlight w:val="none"/>
                <w:lang w:eastAsia="zh-CN"/>
              </w:rPr>
              <w:t>监理人代表</w:t>
            </w:r>
            <w:r>
              <w:rPr>
                <w:rFonts w:hint="eastAsia" w:ascii="仿宋" w:hAnsi="仿宋" w:eastAsia="仿宋" w:cs="仿宋"/>
                <w:color w:val="auto"/>
                <w:highlight w:val="none"/>
                <w:u w:val="single"/>
                <w:lang w:eastAsia="zh-CN"/>
              </w:rPr>
              <w:t xml:space="preserve">             </w:t>
            </w:r>
          </w:p>
          <w:p>
            <w:pPr>
              <w:spacing w:line="360" w:lineRule="auto"/>
              <w:ind w:firstLine="5880" w:firstLineChars="2450"/>
              <w:rPr>
                <w:rFonts w:ascii="仿宋" w:hAnsi="仿宋" w:eastAsia="仿宋"/>
                <w:color w:val="auto"/>
                <w:spacing w:val="20"/>
                <w:highlight w:val="none"/>
                <w:u w:val="single"/>
              </w:rPr>
            </w:pPr>
            <w:r>
              <w:rPr>
                <w:rFonts w:hint="eastAsia" w:ascii="仿宋" w:hAnsi="仿宋" w:eastAsia="仿宋" w:cs="仿宋"/>
                <w:color w:val="auto"/>
                <w:highlight w:val="none"/>
              </w:rPr>
              <w:t xml:space="preserve">日        期 </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jc w:val="center"/>
        </w:trPr>
        <w:tc>
          <w:tcPr>
            <w:tcW w:w="9094" w:type="dxa"/>
            <w:tcBorders>
              <w:top w:val="single" w:color="auto" w:sz="4" w:space="0"/>
              <w:left w:val="single" w:color="auto" w:sz="6" w:space="0"/>
              <w:bottom w:val="single" w:color="000000" w:sz="6" w:space="0"/>
              <w:right w:val="single" w:color="auto" w:sz="6" w:space="0"/>
            </w:tcBorders>
          </w:tcPr>
          <w:p>
            <w:pPr>
              <w:snapToGrid w:val="0"/>
              <w:spacing w:line="360" w:lineRule="auto"/>
              <w:ind w:hanging="6"/>
              <w:rPr>
                <w:rFonts w:ascii="仿宋" w:hAnsi="仿宋" w:eastAsia="仿宋"/>
                <w:color w:val="auto"/>
                <w:highlight w:val="none"/>
                <w:lang w:eastAsia="zh-CN"/>
              </w:rPr>
            </w:pPr>
            <w:r>
              <w:rPr>
                <w:rFonts w:hint="eastAsia" w:ascii="仿宋" w:hAnsi="仿宋" w:eastAsia="仿宋" w:cs="仿宋"/>
                <w:color w:val="auto"/>
                <w:highlight w:val="none"/>
                <w:lang w:eastAsia="zh-CN"/>
              </w:rPr>
              <w:t>审批意见：</w:t>
            </w:r>
          </w:p>
          <w:p>
            <w:pPr>
              <w:snapToGrid w:val="0"/>
              <w:spacing w:line="360" w:lineRule="auto"/>
              <w:ind w:hanging="6"/>
              <w:rPr>
                <w:rFonts w:ascii="仿宋" w:hAnsi="仿宋" w:eastAsia="仿宋"/>
                <w:color w:val="auto"/>
                <w:highlight w:val="none"/>
                <w:lang w:eastAsia="zh-CN"/>
              </w:rPr>
            </w:pPr>
          </w:p>
          <w:p>
            <w:pPr>
              <w:snapToGrid w:val="0"/>
              <w:spacing w:line="360" w:lineRule="auto"/>
              <w:rPr>
                <w:rFonts w:ascii="仿宋" w:hAnsi="仿宋" w:eastAsia="仿宋"/>
                <w:color w:val="auto"/>
                <w:highlight w:val="none"/>
                <w:lang w:eastAsia="zh-CN"/>
              </w:rPr>
            </w:pPr>
          </w:p>
          <w:p>
            <w:pPr>
              <w:snapToGrid w:val="0"/>
              <w:spacing w:line="360" w:lineRule="auto"/>
              <w:ind w:hanging="6"/>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pPr>
              <w:snapToGrid w:val="0"/>
              <w:spacing w:line="360" w:lineRule="auto"/>
              <w:ind w:hanging="6"/>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　　　　　　　　　　　　发包人（章）</w:t>
            </w:r>
          </w:p>
          <w:p>
            <w:pPr>
              <w:snapToGrid w:val="0"/>
              <w:spacing w:line="360" w:lineRule="auto"/>
              <w:ind w:hanging="6"/>
              <w:jc w:val="center"/>
              <w:rPr>
                <w:rFonts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eastAsia" w:ascii="仿宋" w:hAnsi="仿宋" w:eastAsia="仿宋" w:cs="仿宋"/>
                <w:b/>
                <w:bCs/>
                <w:color w:val="auto"/>
                <w:highlight w:val="none"/>
                <w:u w:val="single"/>
              </w:rPr>
              <w:t xml:space="preserve">             </w:t>
            </w:r>
          </w:p>
          <w:p>
            <w:pPr>
              <w:snapToGrid w:val="0"/>
              <w:spacing w:line="360" w:lineRule="auto"/>
              <w:ind w:hanging="6"/>
              <w:rPr>
                <w:rFonts w:ascii="仿宋" w:hAnsi="仿宋" w:eastAsia="仿宋"/>
                <w:color w:val="auto"/>
                <w:highlight w:val="none"/>
              </w:rPr>
            </w:pPr>
            <w:r>
              <w:rPr>
                <w:rFonts w:hint="eastAsia" w:ascii="仿宋" w:hAnsi="仿宋" w:eastAsia="仿宋" w:cs="仿宋"/>
                <w:color w:val="auto"/>
                <w:highlight w:val="none"/>
              </w:rPr>
              <w:t xml:space="preserve">                                                日      期</w:t>
            </w:r>
            <w:r>
              <w:rPr>
                <w:rFonts w:hint="eastAsia" w:ascii="仿宋" w:hAnsi="仿宋" w:eastAsia="仿宋" w:cs="仿宋"/>
                <w:color w:val="auto"/>
                <w:highlight w:val="none"/>
                <w:u w:val="single"/>
              </w:rPr>
              <w:t xml:space="preserve">             </w:t>
            </w:r>
          </w:p>
        </w:tc>
      </w:tr>
    </w:tbl>
    <w:p>
      <w:pPr>
        <w:ind w:left="1" w:firstLine="360" w:firstLineChars="150"/>
        <w:rPr>
          <w:rFonts w:ascii="仿宋" w:hAnsi="仿宋" w:eastAsia="仿宋" w:cs="仿宋"/>
          <w:color w:val="auto"/>
          <w:highlight w:val="none"/>
          <w:lang w:eastAsia="zh-CN"/>
        </w:rPr>
        <w:sectPr>
          <w:endnotePr>
            <w:numFmt w:val="decimal"/>
          </w:endnotePr>
          <w:pgSz w:w="11906" w:h="16838"/>
          <w:pgMar w:top="1304" w:right="1304" w:bottom="1304" w:left="1304" w:header="794" w:footer="850" w:gutter="0"/>
          <w:cols w:space="0" w:num="1"/>
        </w:sectPr>
      </w:pPr>
      <w:r>
        <w:rPr>
          <w:rFonts w:hint="eastAsia" w:ascii="仿宋" w:hAnsi="仿宋" w:eastAsia="仿宋" w:cs="仿宋"/>
          <w:color w:val="auto"/>
          <w:highlight w:val="none"/>
          <w:lang w:eastAsia="zh-CN"/>
        </w:rPr>
        <w:t>说明：本表一式四份，由监理人、发包人按合同规定程序填制，并连同造价咨询人、承包人各存一份。</w:t>
      </w:r>
    </w:p>
    <w:p>
      <w:pPr>
        <w:spacing w:line="360" w:lineRule="auto"/>
        <w:ind w:left="723" w:hanging="723" w:hangingChars="300"/>
        <w:outlineLvl w:val="0"/>
        <w:rPr>
          <w:rFonts w:ascii="仿宋" w:hAnsi="仿宋" w:eastAsia="仿宋" w:cs="仿宋"/>
          <w:b/>
          <w:bCs/>
          <w:color w:val="auto"/>
          <w:highlight w:val="none"/>
          <w:lang w:eastAsia="zh-CN"/>
        </w:rPr>
      </w:pPr>
      <w:bookmarkStart w:id="1001" w:name="_Toc47694477"/>
      <w:bookmarkStart w:id="1002" w:name="_Toc8292"/>
      <w:bookmarkStart w:id="1003" w:name="_Toc9767"/>
      <w:r>
        <w:rPr>
          <w:rFonts w:hint="eastAsia" w:ascii="仿宋" w:hAnsi="仿宋" w:eastAsia="仿宋" w:cs="仿宋"/>
          <w:b/>
          <w:bCs/>
          <w:color w:val="auto"/>
          <w:highlight w:val="none"/>
          <w:lang w:eastAsia="zh-CN"/>
        </w:rPr>
        <w:t>格式1</w:t>
      </w:r>
      <w:bookmarkEnd w:id="1001"/>
      <w:bookmarkEnd w:id="1002"/>
      <w:r>
        <w:rPr>
          <w:rFonts w:hint="eastAsia" w:ascii="仿宋" w:hAnsi="仿宋" w:eastAsia="仿宋" w:cs="仿宋"/>
          <w:b/>
          <w:bCs/>
          <w:color w:val="auto"/>
          <w:highlight w:val="none"/>
          <w:lang w:eastAsia="zh-CN"/>
        </w:rPr>
        <w:t>4</w:t>
      </w:r>
      <w:bookmarkEnd w:id="1003"/>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工程竣工验收申请报告</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931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9319" w:type="dxa"/>
            <w:tcBorders>
              <w:top w:val="single" w:color="auto" w:sz="6" w:space="0"/>
              <w:left w:val="single" w:color="auto" w:sz="6" w:space="0"/>
              <w:bottom w:val="single" w:color="auto" w:sz="6"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pPr>
              <w:spacing w:line="360" w:lineRule="auto"/>
              <w:ind w:left="-3" w:firstLine="510"/>
              <w:rPr>
                <w:rFonts w:ascii="仿宋" w:hAnsi="仿宋" w:eastAsia="仿宋"/>
                <w:color w:val="auto"/>
                <w:highlight w:val="none"/>
                <w:lang w:eastAsia="zh-CN"/>
              </w:rPr>
            </w:pPr>
            <w:r>
              <w:rPr>
                <w:rFonts w:hint="eastAsia" w:ascii="仿宋" w:hAnsi="仿宋" w:eastAsia="仿宋" w:cs="仿宋"/>
                <w:color w:val="auto"/>
                <w:highlight w:val="none"/>
                <w:lang w:eastAsia="zh-CN"/>
              </w:rPr>
              <w:t>我方已按合同要求完成了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工程,经自检合格，现提出工程竣工验收（内容详见附件），请予以验收。</w:t>
            </w:r>
          </w:p>
          <w:p>
            <w:pPr>
              <w:spacing w:line="360" w:lineRule="auto"/>
              <w:ind w:left="-3" w:firstLine="510"/>
              <w:rPr>
                <w:rFonts w:ascii="仿宋" w:hAnsi="仿宋" w:eastAsia="仿宋"/>
                <w:color w:val="auto"/>
                <w:highlight w:val="none"/>
                <w:lang w:eastAsia="zh-CN"/>
              </w:rPr>
            </w:pPr>
            <w:r>
              <w:rPr>
                <w:rFonts w:hint="eastAsia" w:ascii="仿宋" w:hAnsi="仿宋" w:eastAsia="仿宋" w:cs="仿宋"/>
                <w:color w:val="auto"/>
                <w:highlight w:val="none"/>
                <w:lang w:eastAsia="zh-CN"/>
              </w:rPr>
              <w:t>你方应该清楚，工程具备验收条件的，应按照合同约定期限完成竣工验收，否则将承担相应责任。</w:t>
            </w:r>
          </w:p>
          <w:p>
            <w:pPr>
              <w:spacing w:line="360" w:lineRule="auto"/>
              <w:ind w:left="-108" w:firstLine="510"/>
              <w:rPr>
                <w:rFonts w:ascii="仿宋" w:hAnsi="仿宋" w:eastAsia="仿宋" w:cs="仿宋"/>
                <w:color w:val="auto"/>
                <w:highlight w:val="none"/>
              </w:rPr>
            </w:pPr>
            <w:r>
              <w:rPr>
                <w:rFonts w:hint="eastAsia" w:ascii="仿宋" w:hAnsi="仿宋" w:eastAsia="仿宋" w:cs="仿宋"/>
                <w:color w:val="auto"/>
                <w:highlight w:val="none"/>
              </w:rPr>
              <w:t xml:space="preserve">附件: </w:t>
            </w:r>
          </w:p>
          <w:p>
            <w:pPr>
              <w:spacing w:line="360" w:lineRule="auto"/>
              <w:rPr>
                <w:rFonts w:ascii="仿宋" w:hAnsi="仿宋" w:eastAsia="仿宋"/>
                <w:color w:val="auto"/>
                <w:highlight w:val="none"/>
              </w:rPr>
            </w:pPr>
          </w:p>
          <w:p>
            <w:pPr>
              <w:spacing w:line="360" w:lineRule="auto"/>
              <w:ind w:firstLine="6288" w:firstLineChars="2620"/>
              <w:rPr>
                <w:rFonts w:ascii="仿宋" w:hAnsi="仿宋" w:eastAsia="仿宋"/>
                <w:color w:val="auto"/>
                <w:highlight w:val="none"/>
                <w:u w:val="single"/>
              </w:rPr>
            </w:pPr>
            <w:r>
              <w:rPr>
                <w:rFonts w:hint="eastAsia" w:ascii="仿宋" w:hAnsi="仿宋" w:eastAsia="仿宋" w:cs="仿宋"/>
                <w:color w:val="auto"/>
                <w:highlight w:val="none"/>
              </w:rPr>
              <w:t xml:space="preserve">承包人（章）           </w:t>
            </w:r>
          </w:p>
          <w:p>
            <w:pPr>
              <w:tabs>
                <w:tab w:val="left" w:pos="7092"/>
              </w:tabs>
              <w:spacing w:line="360" w:lineRule="auto"/>
              <w:ind w:firstLine="6300"/>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pacing w:line="360" w:lineRule="auto"/>
              <w:ind w:firstLine="63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301" w:hRule="atLeast"/>
        </w:trPr>
        <w:tc>
          <w:tcPr>
            <w:tcW w:w="9319" w:type="dxa"/>
            <w:tcBorders>
              <w:top w:val="single" w:color="auto" w:sz="6" w:space="0"/>
              <w:left w:val="single" w:color="auto" w:sz="6" w:space="0"/>
              <w:bottom w:val="nil"/>
              <w:right w:val="single" w:color="auto" w:sz="6"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审查意见：</w:t>
            </w:r>
          </w:p>
          <w:p>
            <w:pPr>
              <w:spacing w:line="360" w:lineRule="auto"/>
              <w:ind w:left="-28" w:firstLine="510"/>
              <w:rPr>
                <w:rFonts w:ascii="仿宋" w:hAnsi="仿宋" w:eastAsia="仿宋"/>
                <w:color w:val="auto"/>
                <w:highlight w:val="none"/>
                <w:lang w:eastAsia="zh-CN"/>
              </w:rPr>
            </w:pPr>
            <w:r>
              <w:rPr>
                <w:rFonts w:hint="eastAsia" w:ascii="仿宋" w:hAnsi="仿宋" w:eastAsia="仿宋" w:cs="仿宋"/>
                <w:color w:val="auto"/>
                <w:highlight w:val="none"/>
                <w:lang w:eastAsia="zh-CN"/>
              </w:rPr>
              <w:t>经初步验收，该工程</w:t>
            </w:r>
          </w:p>
          <w:p>
            <w:pPr>
              <w:spacing w:line="420" w:lineRule="exact"/>
              <w:ind w:firstLine="522"/>
              <w:rPr>
                <w:rFonts w:ascii="仿宋" w:hAnsi="仿宋" w:eastAsia="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不符合）施工设计图纸要求；</w:t>
            </w:r>
          </w:p>
          <w:p>
            <w:pPr>
              <w:spacing w:line="420" w:lineRule="exact"/>
              <w:ind w:firstLine="522"/>
              <w:rPr>
                <w:rFonts w:ascii="仿宋" w:hAnsi="仿宋" w:eastAsia="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不符合）工程总承包合同要求；</w:t>
            </w:r>
          </w:p>
          <w:p>
            <w:pPr>
              <w:spacing w:line="420" w:lineRule="exact"/>
              <w:ind w:left="-28" w:firstLine="550"/>
              <w:rPr>
                <w:rFonts w:ascii="仿宋" w:hAnsi="仿宋" w:eastAsia="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不符合）竣工资料要求；</w:t>
            </w:r>
          </w:p>
          <w:p>
            <w:pPr>
              <w:spacing w:line="420" w:lineRule="exact"/>
              <w:ind w:left="-28" w:firstLine="550"/>
              <w:rPr>
                <w:rFonts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不符合）缺陷责任期返工工作清单和计划；</w:t>
            </w:r>
          </w:p>
          <w:p>
            <w:pPr>
              <w:spacing w:line="420" w:lineRule="exact"/>
              <w:ind w:left="-28" w:firstLine="550"/>
              <w:rPr>
                <w:rFonts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不符合）竣工验收资料清单。</w:t>
            </w:r>
          </w:p>
          <w:p>
            <w:pPr>
              <w:spacing w:line="420" w:lineRule="exact"/>
              <w:ind w:right="-56" w:hanging="3"/>
              <w:rPr>
                <w:rFonts w:ascii="仿宋" w:hAnsi="仿宋" w:eastAsia="仿宋"/>
                <w:color w:val="auto"/>
                <w:highlight w:val="none"/>
                <w:lang w:eastAsia="zh-CN"/>
              </w:rPr>
            </w:pPr>
            <w:r>
              <w:rPr>
                <w:rFonts w:hint="eastAsia" w:ascii="仿宋" w:hAnsi="仿宋" w:eastAsia="仿宋" w:cs="仿宋"/>
                <w:color w:val="auto"/>
                <w:highlight w:val="none"/>
                <w:lang w:eastAsia="zh-CN"/>
              </w:rPr>
              <w:t>综上所述，该工程初步验收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合格/</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不合格），（</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可以/</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不可以）组织正式验收。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9319" w:type="dxa"/>
            <w:tcBorders>
              <w:top w:val="nil"/>
              <w:left w:val="single" w:color="auto" w:sz="6" w:space="0"/>
              <w:bottom w:val="single" w:color="auto" w:sz="6" w:space="0"/>
              <w:right w:val="single" w:color="auto" w:sz="6" w:space="0"/>
            </w:tcBorders>
          </w:tcPr>
          <w:p>
            <w:pPr>
              <w:spacing w:line="360" w:lineRule="auto"/>
              <w:ind w:right="-56" w:firstLine="6295" w:firstLineChars="262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监理人（章）       </w:t>
            </w:r>
          </w:p>
          <w:p>
            <w:pPr>
              <w:spacing w:line="360" w:lineRule="auto"/>
              <w:ind w:right="-56" w:firstLine="6295" w:firstLineChars="2623"/>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6295" w:firstLineChars="2623"/>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rPr>
          <w:rFonts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pPr>
        <w:ind w:left="1181" w:leftChars="342" w:hanging="360" w:hangingChars="150"/>
        <w:rPr>
          <w:rFonts w:ascii="仿宋" w:hAnsi="仿宋" w:eastAsia="仿宋"/>
          <w:color w:val="auto"/>
          <w:highlight w:val="none"/>
          <w:lang w:eastAsia="zh-CN"/>
        </w:rPr>
      </w:pPr>
      <w:r>
        <w:rPr>
          <w:rFonts w:hint="eastAsia" w:ascii="仿宋" w:hAnsi="仿宋" w:eastAsia="仿宋" w:cs="仿宋"/>
          <w:color w:val="auto"/>
          <w:highlight w:val="none"/>
          <w:lang w:eastAsia="zh-CN"/>
        </w:rPr>
        <w:t>2．本表一式三份，由承包人、监理工程师按合同规定程序填制，并连同发包人各存一份。</w:t>
      </w:r>
    </w:p>
    <w:p>
      <w:pPr>
        <w:spacing w:line="360" w:lineRule="auto"/>
        <w:ind w:left="720" w:hanging="720" w:hangingChars="300"/>
        <w:outlineLvl w:val="0"/>
        <w:rPr>
          <w:rFonts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1004" w:name="_Toc12690"/>
      <w:bookmarkStart w:id="1005" w:name="_Toc47694478"/>
      <w:bookmarkStart w:id="1006" w:name="_Toc11742"/>
      <w:r>
        <w:rPr>
          <w:rFonts w:hint="eastAsia" w:ascii="仿宋" w:hAnsi="仿宋" w:eastAsia="仿宋" w:cs="仿宋"/>
          <w:b/>
          <w:bCs/>
          <w:color w:val="auto"/>
          <w:highlight w:val="none"/>
          <w:lang w:eastAsia="zh-CN"/>
        </w:rPr>
        <w:t>格式1</w:t>
      </w:r>
      <w:bookmarkEnd w:id="1004"/>
      <w:bookmarkEnd w:id="1005"/>
      <w:r>
        <w:rPr>
          <w:rFonts w:hint="eastAsia" w:ascii="仿宋" w:hAnsi="仿宋" w:eastAsia="仿宋" w:cs="仿宋"/>
          <w:b/>
          <w:bCs/>
          <w:color w:val="auto"/>
          <w:highlight w:val="none"/>
          <w:lang w:eastAsia="zh-CN"/>
        </w:rPr>
        <w:t>5</w:t>
      </w:r>
      <w:bookmarkEnd w:id="1006"/>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工程竣工验收记录</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97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7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2" w:hRule="atLeast"/>
          <w:jc w:val="center"/>
        </w:trPr>
        <w:tc>
          <w:tcPr>
            <w:tcW w:w="9798" w:type="dxa"/>
            <w:tcBorders>
              <w:top w:val="single" w:color="auto" w:sz="6" w:space="0"/>
              <w:left w:val="single" w:color="auto" w:sz="6" w:space="0"/>
              <w:bottom w:val="single" w:color="auto" w:sz="4" w:space="0"/>
              <w:right w:val="single" w:color="auto" w:sz="6" w:space="0"/>
            </w:tcBorders>
          </w:tcPr>
          <w:p>
            <w:pPr>
              <w:spacing w:before="120" w:line="360" w:lineRule="auto"/>
              <w:ind w:left="-31" w:leftChars="-13" w:firstLine="540" w:firstLineChars="225"/>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我方按合同要求参加了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工程竣工验收,经参加验收各方共同验收，记录如下：</w:t>
            </w:r>
          </w:p>
          <w:tbl>
            <w:tblPr>
              <w:tblStyle w:val="42"/>
              <w:tblW w:w="9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2278"/>
              <w:gridCol w:w="6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tcBorders>
                    <w:top w:val="single" w:color="auto" w:sz="4" w:space="0"/>
                    <w:left w:val="single" w:color="auto" w:sz="4" w:space="0"/>
                    <w:bottom w:val="single" w:color="auto" w:sz="4" w:space="0"/>
                    <w:right w:val="single" w:color="auto" w:sz="4" w:space="0"/>
                  </w:tcBorders>
                  <w:vAlign w:val="center"/>
                </w:tcPr>
                <w:p>
                  <w:pPr>
                    <w:spacing w:line="360" w:lineRule="auto"/>
                    <w:ind w:left="-72" w:leftChars="-30" w:right="-72" w:rightChars="-30"/>
                    <w:jc w:val="center"/>
                    <w:rPr>
                      <w:rFonts w:ascii="仿宋" w:hAnsi="仿宋" w:eastAsia="仿宋"/>
                      <w:color w:val="auto"/>
                      <w:highlight w:val="none"/>
                    </w:rPr>
                  </w:pPr>
                  <w:r>
                    <w:rPr>
                      <w:rFonts w:hint="eastAsia" w:ascii="仿宋" w:hAnsi="仿宋" w:eastAsia="仿宋" w:cs="仿宋"/>
                      <w:color w:val="auto"/>
                      <w:highlight w:val="none"/>
                    </w:rPr>
                    <w:t>序号</w:t>
                  </w:r>
                </w:p>
              </w:tc>
              <w:tc>
                <w:tcPr>
                  <w:tcW w:w="2278"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  目</w:t>
                  </w:r>
                </w:p>
              </w:tc>
              <w:tc>
                <w:tcPr>
                  <w:tcW w:w="6641"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验 收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r>
                    <w:rPr>
                      <w:rFonts w:hint="eastAsia" w:ascii="仿宋" w:hAnsi="仿宋" w:eastAsia="仿宋" w:cs="仿宋"/>
                      <w:color w:val="auto"/>
                      <w:highlight w:val="none"/>
                    </w:rPr>
                    <w:t>分部分项</w:t>
                  </w:r>
                </w:p>
              </w:tc>
              <w:tc>
                <w:tcPr>
                  <w:tcW w:w="6641"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共   分部，经查  分部，符合标准与规范、设计要求  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r>
                    <w:rPr>
                      <w:rFonts w:hint="eastAsia" w:ascii="仿宋" w:hAnsi="仿宋" w:eastAsia="仿宋" w:cs="仿宋"/>
                      <w:color w:val="auto"/>
                      <w:highlight w:val="none"/>
                    </w:rPr>
                    <w:t>质量控制资料核查</w:t>
                  </w:r>
                </w:p>
              </w:tc>
              <w:tc>
                <w:tcPr>
                  <w:tcW w:w="6641"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共   项，经核查符合要求  项，其中符合标准与规范要求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安全和主要使用功能核查及抽查结果</w:t>
                  </w:r>
                </w:p>
              </w:tc>
              <w:tc>
                <w:tcPr>
                  <w:tcW w:w="6641"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共核查    项，符合要求  项；共抽查  项，符合要求  项；经返工处理符合要求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2278"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r>
                    <w:rPr>
                      <w:rFonts w:hint="eastAsia" w:ascii="仿宋" w:hAnsi="仿宋" w:eastAsia="仿宋" w:cs="仿宋"/>
                      <w:color w:val="auto"/>
                      <w:highlight w:val="none"/>
                    </w:rPr>
                    <w:t>观感质量验收</w:t>
                  </w:r>
                </w:p>
              </w:tc>
              <w:tc>
                <w:tcPr>
                  <w:tcW w:w="6641"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共抽查    项，符合要求  项，不符合要求  项</w:t>
                  </w:r>
                </w:p>
              </w:tc>
            </w:tr>
          </w:tbl>
          <w:p>
            <w:pPr>
              <w:spacing w:line="360" w:lineRule="auto"/>
              <w:ind w:firstLine="6240" w:firstLineChars="2600"/>
              <w:rPr>
                <w:rFonts w:ascii="仿宋" w:hAnsi="仿宋" w:eastAsia="仿宋"/>
                <w:color w:val="auto"/>
                <w:highlight w:val="none"/>
                <w:lang w:eastAsia="zh-CN"/>
              </w:rPr>
            </w:pPr>
          </w:p>
          <w:p>
            <w:pPr>
              <w:spacing w:line="360" w:lineRule="auto"/>
              <w:ind w:firstLine="6552" w:firstLineChars="273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发包人（章）         </w:t>
            </w:r>
          </w:p>
          <w:p>
            <w:pPr>
              <w:tabs>
                <w:tab w:val="left" w:pos="7092"/>
              </w:tabs>
              <w:spacing w:line="360" w:lineRule="auto"/>
              <w:ind w:firstLine="6552" w:firstLineChars="273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w:t>
            </w:r>
          </w:p>
          <w:p>
            <w:pPr>
              <w:spacing w:line="360" w:lineRule="auto"/>
              <w:ind w:firstLine="6552" w:firstLineChars="273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jc w:val="center"/>
        </w:trPr>
        <w:tc>
          <w:tcPr>
            <w:tcW w:w="9798" w:type="dxa"/>
            <w:tcBorders>
              <w:top w:val="single" w:color="auto" w:sz="4" w:space="0"/>
              <w:left w:val="single" w:color="auto" w:sz="6" w:space="0"/>
              <w:bottom w:val="single" w:color="auto" w:sz="6" w:space="0"/>
              <w:right w:val="single" w:color="auto" w:sz="6"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验收结论：</w:t>
            </w: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设计顾问人（章）               监理人（章）              造价咨询人（章）</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设计顾问人代表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监理人代表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造价咨询人代表</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jc w:val="center"/>
        </w:trPr>
        <w:tc>
          <w:tcPr>
            <w:tcW w:w="9798" w:type="dxa"/>
            <w:tcBorders>
              <w:top w:val="nil"/>
              <w:left w:val="single" w:color="auto" w:sz="6" w:space="0"/>
              <w:bottom w:val="single" w:color="auto" w:sz="6" w:space="0"/>
              <w:right w:val="single" w:color="auto" w:sz="6"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综合验收结论：</w:t>
            </w:r>
          </w:p>
          <w:p>
            <w:pPr>
              <w:spacing w:line="360" w:lineRule="auto"/>
              <w:ind w:firstLine="6240" w:firstLineChars="26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发包人（章）          </w:t>
            </w:r>
          </w:p>
          <w:p>
            <w:pPr>
              <w:tabs>
                <w:tab w:val="left" w:pos="7092"/>
              </w:tabs>
              <w:spacing w:line="360" w:lineRule="auto"/>
              <w:ind w:firstLine="6240" w:firstLineChars="2600"/>
              <w:rPr>
                <w:rFonts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eastAsia" w:ascii="仿宋" w:hAnsi="仿宋" w:eastAsia="仿宋" w:cs="仿宋"/>
                <w:color w:val="auto"/>
                <w:highlight w:val="none"/>
                <w:u w:val="single"/>
              </w:rPr>
              <w:t xml:space="preserve">           </w:t>
            </w:r>
          </w:p>
          <w:p>
            <w:pPr>
              <w:spacing w:line="360" w:lineRule="auto"/>
              <w:ind w:firstLine="6240" w:firstLineChars="260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ind w:left="1133" w:leftChars="172" w:hanging="720" w:hangingChars="300"/>
        <w:rPr>
          <w:rFonts w:ascii="仿宋" w:hAnsi="仿宋" w:eastAsia="仿宋"/>
          <w:color w:val="auto"/>
          <w:highlight w:val="none"/>
          <w:lang w:eastAsia="zh-CN"/>
        </w:rPr>
      </w:pPr>
      <w:r>
        <w:rPr>
          <w:rFonts w:hint="eastAsia" w:ascii="仿宋" w:hAnsi="仿宋" w:eastAsia="仿宋" w:cs="仿宋"/>
          <w:color w:val="auto"/>
          <w:highlight w:val="none"/>
          <w:lang w:eastAsia="zh-CN"/>
        </w:rPr>
        <w:t>说明：1．表中验收记录由承包人填写，验收结论由监理人（发包人）填写。综合验收结论由参加验收各方共同商定，发包人填写，应对工程质量是否符合标准与规范、设计要求及总体质量作出评价。</w:t>
      </w:r>
    </w:p>
    <w:p>
      <w:pPr>
        <w:ind w:left="48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2.本表一式五份，由发包人、设计顾问人、监理人、造价咨询人和承包人各存一份。</w:t>
      </w:r>
      <w:r>
        <w:rPr>
          <w:rFonts w:hint="eastAsia" w:ascii="仿宋" w:hAnsi="仿宋" w:eastAsia="仿宋"/>
          <w:color w:val="auto"/>
          <w:highlight w:val="none"/>
          <w:lang w:eastAsia="zh-CN"/>
        </w:rPr>
        <w:br w:type="page"/>
      </w:r>
      <w:bookmarkStart w:id="1007" w:name="_Toc47694479"/>
    </w:p>
    <w:p>
      <w:pPr>
        <w:outlineLvl w:val="0"/>
        <w:rPr>
          <w:rFonts w:ascii="仿宋" w:hAnsi="仿宋" w:eastAsia="仿宋" w:cs="仿宋"/>
          <w:b/>
          <w:bCs/>
          <w:color w:val="auto"/>
          <w:highlight w:val="none"/>
          <w:lang w:eastAsia="zh-CN"/>
        </w:rPr>
      </w:pPr>
      <w:bookmarkStart w:id="1008" w:name="_Toc5028"/>
      <w:r>
        <w:rPr>
          <w:rFonts w:hint="eastAsia" w:ascii="仿宋" w:hAnsi="仿宋" w:eastAsia="仿宋" w:cs="仿宋"/>
          <w:b/>
          <w:bCs/>
          <w:color w:val="auto"/>
          <w:highlight w:val="none"/>
          <w:lang w:eastAsia="zh-CN"/>
        </w:rPr>
        <w:t>格式1</w:t>
      </w:r>
      <w:bookmarkEnd w:id="1007"/>
      <w:r>
        <w:rPr>
          <w:rFonts w:hint="eastAsia" w:ascii="仿宋" w:hAnsi="仿宋" w:eastAsia="仿宋" w:cs="仿宋"/>
          <w:b/>
          <w:bCs/>
          <w:color w:val="auto"/>
          <w:highlight w:val="none"/>
          <w:lang w:eastAsia="zh-CN"/>
        </w:rPr>
        <w:t>6</w:t>
      </w:r>
      <w:bookmarkEnd w:id="1008"/>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工程接收证书</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946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952" w:hRule="atLeast"/>
          <w:jc w:val="center"/>
        </w:trPr>
        <w:tc>
          <w:tcPr>
            <w:tcW w:w="9469" w:type="dxa"/>
            <w:tcBorders>
              <w:top w:val="single" w:color="auto" w:sz="6" w:space="0"/>
              <w:left w:val="single" w:color="auto" w:sz="6" w:space="0"/>
              <w:bottom w:val="single" w:color="auto" w:sz="6"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你方按照合同要求于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日提出竣工验收，经我方组织你方、设计顾问人、监理人、造价咨询人共同验收，该工程验收合格，现予颁发工程接收证书，</w:t>
            </w: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按照合同约定，该工程实际竣工日期是</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left="-28" w:firstLine="482"/>
              <w:rPr>
                <w:rFonts w:ascii="仿宋" w:hAnsi="仿宋" w:eastAsia="仿宋"/>
                <w:color w:val="auto"/>
                <w:highlight w:val="none"/>
                <w:lang w:eastAsia="zh-CN"/>
              </w:rPr>
            </w:pP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我方颁发工程接收证书，则标明自颁发之日起，由我方负责照管工程，但并不代表你方已完成工程总承包合同赋予的一切义务和责任，你方仍应承担工程的质量缺陷和质量保修责任。</w:t>
            </w: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ind w:left="-28"/>
              <w:rPr>
                <w:rFonts w:ascii="仿宋" w:hAnsi="仿宋" w:eastAsia="仿宋"/>
                <w:color w:val="auto"/>
                <w:highlight w:val="none"/>
                <w:lang w:eastAsia="zh-CN"/>
              </w:rPr>
            </w:pPr>
          </w:p>
          <w:p>
            <w:pPr>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发 包 人（章）           </w:t>
            </w:r>
          </w:p>
          <w:p>
            <w:pPr>
              <w:spacing w:line="360" w:lineRule="auto"/>
              <w:ind w:firstLine="6000" w:firstLineChars="2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w:t>
            </w:r>
          </w:p>
          <w:p>
            <w:pPr>
              <w:spacing w:line="360" w:lineRule="auto"/>
              <w:ind w:firstLine="6012"/>
              <w:rPr>
                <w:rFonts w:ascii="仿宋" w:hAnsi="仿宋" w:eastAsia="仿宋"/>
                <w:color w:val="auto"/>
                <w:highlight w:val="none"/>
                <w:u w:val="singl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年     月    日</w:t>
            </w:r>
          </w:p>
        </w:tc>
      </w:tr>
    </w:tbl>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说明：本表由发包人填制，承包人、发包人各存一份。</w:t>
      </w:r>
    </w:p>
    <w:p>
      <w:pPr>
        <w:spacing w:line="360" w:lineRule="auto"/>
        <w:outlineLvl w:val="0"/>
        <w:rPr>
          <w:rFonts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1009" w:name="_Toc47694480"/>
      <w:bookmarkStart w:id="1010" w:name="_Toc28156"/>
      <w:bookmarkStart w:id="1011" w:name="_Toc6398"/>
      <w:r>
        <w:rPr>
          <w:rFonts w:hint="eastAsia" w:ascii="仿宋" w:hAnsi="仿宋" w:eastAsia="仿宋" w:cs="仿宋"/>
          <w:b/>
          <w:bCs/>
          <w:color w:val="auto"/>
          <w:highlight w:val="none"/>
          <w:lang w:eastAsia="zh-CN"/>
        </w:rPr>
        <w:t>格式17</w:t>
      </w:r>
      <w:bookmarkEnd w:id="1009"/>
      <w:bookmarkEnd w:id="1010"/>
      <w:bookmarkEnd w:id="1011"/>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暂列金额确认表</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9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246"/>
        <w:gridCol w:w="1297"/>
        <w:gridCol w:w="1441"/>
        <w:gridCol w:w="1441"/>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32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项目名称</w:t>
            </w:r>
          </w:p>
        </w:tc>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计量</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单位</w:t>
            </w: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暂列金额</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实际金额</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32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32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32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32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32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6</w:t>
            </w:r>
          </w:p>
        </w:tc>
        <w:tc>
          <w:tcPr>
            <w:tcW w:w="32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7</w:t>
            </w:r>
          </w:p>
        </w:tc>
        <w:tc>
          <w:tcPr>
            <w:tcW w:w="32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8</w:t>
            </w:r>
          </w:p>
        </w:tc>
        <w:tc>
          <w:tcPr>
            <w:tcW w:w="32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9</w:t>
            </w:r>
          </w:p>
        </w:tc>
        <w:tc>
          <w:tcPr>
            <w:tcW w:w="32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7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eastAsia="zh-CN"/>
              </w:rPr>
              <w:t>0</w:t>
            </w:r>
          </w:p>
        </w:tc>
        <w:tc>
          <w:tcPr>
            <w:tcW w:w="32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5327"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  计</w:t>
            </w: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bl>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说明：1.本表由承包人填制，承包人应按照合同约定填报项目名称、实际金额，提交造价咨询人核实并由其报发包人确认后，列入合同价款内。</w:t>
      </w:r>
    </w:p>
    <w:p>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2.本表一式四份，发包人、监理人、造价咨询人、承包人各存一份。</w:t>
      </w:r>
    </w:p>
    <w:p>
      <w:pPr>
        <w:pStyle w:val="3"/>
        <w:rPr>
          <w:rFonts w:ascii="仿宋" w:hAnsi="仿宋" w:eastAsia="仿宋" w:cs="仿宋"/>
          <w:b w:val="0"/>
          <w:bCs w:val="0"/>
          <w:i/>
          <w:iCs/>
          <w:color w:val="auto"/>
          <w:highlight w:val="none"/>
        </w:rPr>
      </w:pPr>
      <w:r>
        <w:rPr>
          <w:rFonts w:hint="eastAsia" w:ascii="仿宋" w:hAnsi="仿宋" w:eastAsia="仿宋"/>
          <w:color w:val="auto"/>
          <w:highlight w:val="none"/>
        </w:rPr>
        <w:br w:type="page"/>
      </w:r>
      <w:bookmarkStart w:id="1012" w:name="_Toc7330"/>
      <w:bookmarkStart w:id="1013" w:name="_Toc15982"/>
      <w:bookmarkStart w:id="1014" w:name="_Toc47694481"/>
      <w:r>
        <w:rPr>
          <w:rFonts w:hint="eastAsia" w:ascii="仿宋" w:hAnsi="仿宋" w:eastAsia="仿宋" w:cs="仿宋"/>
          <w:b w:val="0"/>
          <w:bCs w:val="0"/>
          <w:color w:val="auto"/>
          <w:highlight w:val="none"/>
        </w:rPr>
        <w:t>格式</w:t>
      </w:r>
      <w:r>
        <w:rPr>
          <w:rFonts w:hint="eastAsia" w:ascii="仿宋" w:hAnsi="仿宋" w:eastAsia="仿宋" w:cs="仿宋"/>
          <w:b w:val="0"/>
          <w:bCs w:val="0"/>
          <w:color w:val="auto"/>
          <w:highlight w:val="none"/>
          <w:lang w:val="en-US"/>
        </w:rPr>
        <w:t>18</w:t>
      </w:r>
      <w:bookmarkEnd w:id="1012"/>
      <w:bookmarkEnd w:id="1013"/>
      <w:bookmarkEnd w:id="1014"/>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计日工记录</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805"/>
        <w:gridCol w:w="925"/>
        <w:gridCol w:w="1262"/>
        <w:gridCol w:w="1263"/>
        <w:gridCol w:w="1262"/>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编号</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项目名称</w:t>
            </w: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单位</w:t>
            </w: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暂定数量</w:t>
            </w: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实际数量</w:t>
            </w: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综合单价</w:t>
            </w: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一</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人工</w:t>
            </w: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04"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人工小计</w:t>
            </w: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二</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材料</w:t>
            </w: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04"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材料小计</w:t>
            </w: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三</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施工机械</w:t>
            </w: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28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204"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施工机械小计</w:t>
            </w: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204"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总  计</w:t>
            </w: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bl>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说明：1.本表由承包人填制，承包人应按照合同约定填报实际数量，提交造价咨询人核实并由其报发包人确认后，列入合同价款内。</w:t>
      </w:r>
    </w:p>
    <w:p>
      <w:pPr>
        <w:spacing w:line="360" w:lineRule="auto"/>
        <w:ind w:firstLine="720" w:firstLineChars="300"/>
        <w:rPr>
          <w:rFonts w:ascii="仿宋" w:hAnsi="仿宋" w:eastAsia="仿宋" w:cs="仿宋"/>
          <w:color w:val="auto"/>
          <w:highlight w:val="none"/>
          <w:lang w:eastAsia="zh-CN"/>
        </w:rPr>
        <w:sectPr>
          <w:endnotePr>
            <w:numFmt w:val="decimal"/>
          </w:endnotePr>
          <w:pgSz w:w="11906" w:h="16838"/>
          <w:pgMar w:top="1304" w:right="1304" w:bottom="1304" w:left="1304" w:header="794" w:footer="850" w:gutter="0"/>
          <w:cols w:space="0" w:num="1"/>
        </w:sectPr>
      </w:pPr>
      <w:r>
        <w:rPr>
          <w:rFonts w:hint="eastAsia" w:ascii="仿宋" w:hAnsi="仿宋" w:eastAsia="仿宋" w:cs="仿宋"/>
          <w:color w:val="auto"/>
          <w:highlight w:val="none"/>
          <w:lang w:eastAsia="zh-CN"/>
        </w:rPr>
        <w:t>2.本表一式四份，发包人、监理人、造价咨询人、承包人各存一份。</w:t>
      </w:r>
    </w:p>
    <w:p>
      <w:pPr>
        <w:spacing w:line="360" w:lineRule="auto"/>
        <w:outlineLvl w:val="0"/>
        <w:rPr>
          <w:rFonts w:ascii="仿宋" w:hAnsi="仿宋" w:eastAsia="仿宋" w:cs="仿宋"/>
          <w:b/>
          <w:bCs/>
          <w:color w:val="auto"/>
          <w:highlight w:val="none"/>
          <w:lang w:eastAsia="zh-CN"/>
        </w:rPr>
      </w:pPr>
      <w:bookmarkStart w:id="1015" w:name="_Toc47694482"/>
      <w:bookmarkStart w:id="1016" w:name="_Toc8317"/>
      <w:bookmarkStart w:id="1017" w:name="_Toc28562"/>
      <w:r>
        <w:rPr>
          <w:rFonts w:hint="eastAsia" w:ascii="仿宋" w:hAnsi="仿宋" w:eastAsia="仿宋" w:cs="仿宋"/>
          <w:b/>
          <w:bCs/>
          <w:color w:val="auto"/>
          <w:highlight w:val="none"/>
          <w:lang w:eastAsia="zh-CN"/>
        </w:rPr>
        <w:t>格式19</w:t>
      </w:r>
      <w:bookmarkEnd w:id="1015"/>
      <w:bookmarkEnd w:id="1016"/>
      <w:bookmarkEnd w:id="1017"/>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材料/工程设备暂估价调整表</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42"/>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327"/>
        <w:gridCol w:w="1262"/>
        <w:gridCol w:w="1442"/>
        <w:gridCol w:w="1262"/>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材料设备名称、规格、型号</w:t>
            </w: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计量单位</w:t>
            </w: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暂估单价</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实际单价</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33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bl>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说明：1.本表由承包人填制，承包人应按照合同约定填报实际单价，提交造价咨询人核实并由其报发包人确认后，将该单价与暂估单价的差额以及相关费用列入合同价款内。</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2.本表一式四份，发包人、监理人、造价咨询人、承包人各存一份。</w:t>
      </w:r>
    </w:p>
    <w:p>
      <w:pPr>
        <w:pStyle w:val="40"/>
        <w:rPr>
          <w:color w:val="auto"/>
          <w:highlight w:val="none"/>
        </w:rPr>
      </w:pPr>
    </w:p>
    <w:p>
      <w:pPr>
        <w:spacing w:line="360" w:lineRule="auto"/>
        <w:outlineLvl w:val="0"/>
        <w:rPr>
          <w:rFonts w:ascii="仿宋" w:hAnsi="仿宋" w:eastAsia="仿宋"/>
          <w:color w:val="auto"/>
          <w:sz w:val="30"/>
          <w:szCs w:val="30"/>
          <w:highlight w:val="none"/>
          <w:lang w:eastAsia="zh-CN"/>
        </w:rPr>
      </w:pPr>
      <w:bookmarkStart w:id="1018" w:name="_Toc4816"/>
      <w:bookmarkStart w:id="1019" w:name="_Toc47694483"/>
      <w:bookmarkStart w:id="1020" w:name="_Toc21087"/>
      <w:r>
        <w:rPr>
          <w:rFonts w:hint="eastAsia" w:ascii="仿宋" w:hAnsi="仿宋" w:eastAsia="仿宋" w:cs="仿宋"/>
          <w:b/>
          <w:bCs/>
          <w:color w:val="auto"/>
          <w:highlight w:val="none"/>
          <w:lang w:eastAsia="zh-CN"/>
        </w:rPr>
        <w:t>格式2</w:t>
      </w:r>
      <w:bookmarkEnd w:id="1018"/>
      <w:bookmarkEnd w:id="1019"/>
      <w:r>
        <w:rPr>
          <w:rFonts w:hint="eastAsia" w:ascii="仿宋" w:hAnsi="仿宋" w:eastAsia="仿宋" w:cs="仿宋"/>
          <w:b/>
          <w:bCs/>
          <w:color w:val="auto"/>
          <w:highlight w:val="none"/>
          <w:lang w:eastAsia="zh-CN"/>
        </w:rPr>
        <w:t>0</w:t>
      </w:r>
      <w:bookmarkEnd w:id="1020"/>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专业工程暂估价调整表</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42"/>
        <w:tblW w:w="96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450"/>
        <w:gridCol w:w="2760"/>
        <w:gridCol w:w="1263"/>
        <w:gridCol w:w="1263"/>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工程名称</w:t>
            </w: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工程内容</w:t>
            </w: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暂列金额</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实际金额</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p>
        </w:tc>
        <w:tc>
          <w:tcPr>
            <w:tcW w:w="27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982"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  计</w:t>
            </w: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bl>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说明：1.本表由承包人填制，承包人应按照合同约定填报实际数量，提交造价咨询人核实并由其报发包人确认后，将金额与暂估价金额以及相关费用列入合同价款内。</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2.本表一式四份，发包人、监理人、造价咨询人、承包人各存一份。</w:t>
      </w:r>
    </w:p>
    <w:p>
      <w:pPr>
        <w:spacing w:line="360" w:lineRule="auto"/>
        <w:outlineLvl w:val="0"/>
        <w:rPr>
          <w:rFonts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1021" w:name="_Toc31299"/>
      <w:bookmarkStart w:id="1022" w:name="_Toc47694484"/>
      <w:bookmarkStart w:id="1023" w:name="_Toc30608"/>
      <w:r>
        <w:rPr>
          <w:rFonts w:hint="eastAsia" w:ascii="仿宋" w:hAnsi="仿宋" w:eastAsia="仿宋" w:cs="仿宋"/>
          <w:b/>
          <w:bCs/>
          <w:color w:val="auto"/>
          <w:highlight w:val="none"/>
          <w:lang w:eastAsia="zh-CN"/>
        </w:rPr>
        <w:t>格式2</w:t>
      </w:r>
      <w:bookmarkEnd w:id="1021"/>
      <w:bookmarkEnd w:id="1022"/>
      <w:r>
        <w:rPr>
          <w:rFonts w:hint="eastAsia" w:ascii="仿宋" w:hAnsi="仿宋" w:eastAsia="仿宋" w:cs="仿宋"/>
          <w:b/>
          <w:bCs/>
          <w:color w:val="auto"/>
          <w:highlight w:val="none"/>
          <w:lang w:eastAsia="zh-CN"/>
        </w:rPr>
        <w:t>1</w:t>
      </w:r>
      <w:bookmarkEnd w:id="1023"/>
    </w:p>
    <w:p>
      <w:pPr>
        <w:spacing w:before="50" w:after="50"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费用索赔申请表</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94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450" w:hRule="atLeast"/>
          <w:jc w:val="center"/>
        </w:trPr>
        <w:tc>
          <w:tcPr>
            <w:tcW w:w="9460" w:type="dxa"/>
            <w:tcBorders>
              <w:top w:val="single" w:color="auto" w:sz="6" w:space="0"/>
              <w:left w:val="single" w:color="auto" w:sz="6" w:space="0"/>
              <w:bottom w:val="single" w:color="auto" w:sz="4"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（造价咨询人全称） </w:t>
            </w: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条规定，由于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原因,我方要求索赔金额(大写)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元)，请予以批准。</w:t>
            </w:r>
          </w:p>
          <w:p>
            <w:pPr>
              <w:spacing w:line="360"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１．费用索赔的详细理由和依据：</w:t>
            </w: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2．索赔金额的计算：</w:t>
            </w:r>
          </w:p>
          <w:p>
            <w:pPr>
              <w:spacing w:line="360" w:lineRule="auto"/>
              <w:ind w:left="-28" w:firstLine="458"/>
              <w:rPr>
                <w:rFonts w:ascii="仿宋" w:hAnsi="仿宋" w:eastAsia="仿宋"/>
                <w:color w:val="auto"/>
                <w:highlight w:val="none"/>
                <w:lang w:eastAsia="zh-CN"/>
              </w:rPr>
            </w:pPr>
          </w:p>
          <w:p>
            <w:pPr>
              <w:spacing w:line="360" w:lineRule="auto"/>
              <w:ind w:left="-28" w:firstLine="458"/>
              <w:rPr>
                <w:rFonts w:ascii="仿宋" w:hAnsi="仿宋" w:eastAsia="仿宋"/>
                <w:color w:val="auto"/>
                <w:highlight w:val="none"/>
                <w:lang w:eastAsia="zh-CN"/>
              </w:rPr>
            </w:pPr>
          </w:p>
          <w:p>
            <w:pPr>
              <w:spacing w:line="360" w:lineRule="auto"/>
              <w:ind w:left="-28" w:firstLine="458"/>
              <w:rPr>
                <w:rFonts w:ascii="仿宋" w:hAnsi="仿宋" w:eastAsia="仿宋"/>
                <w:color w:val="auto"/>
                <w:highlight w:val="none"/>
                <w:lang w:eastAsia="zh-CN"/>
              </w:rPr>
            </w:pPr>
          </w:p>
          <w:p>
            <w:pPr>
              <w:spacing w:line="360" w:lineRule="auto"/>
              <w:ind w:left="-28" w:firstLine="458"/>
              <w:rPr>
                <w:rFonts w:ascii="仿宋" w:hAnsi="仿宋" w:eastAsia="仿宋"/>
                <w:color w:val="auto"/>
                <w:highlight w:val="none"/>
                <w:lang w:eastAsia="zh-CN"/>
              </w:rPr>
            </w:pPr>
          </w:p>
          <w:p>
            <w:pPr>
              <w:spacing w:line="360" w:lineRule="auto"/>
              <w:ind w:left="-28" w:firstLine="458"/>
              <w:rPr>
                <w:rFonts w:ascii="仿宋" w:hAnsi="仿宋" w:eastAsia="仿宋"/>
                <w:color w:val="auto"/>
                <w:highlight w:val="none"/>
                <w:lang w:eastAsia="zh-CN"/>
              </w:rPr>
            </w:pPr>
          </w:p>
          <w:p>
            <w:pPr>
              <w:spacing w:line="360" w:lineRule="auto"/>
              <w:ind w:left="-28" w:firstLine="458"/>
              <w:rPr>
                <w:rFonts w:ascii="仿宋" w:hAnsi="仿宋" w:eastAsia="仿宋"/>
                <w:color w:val="auto"/>
                <w:highlight w:val="none"/>
                <w:lang w:eastAsia="zh-CN"/>
              </w:rPr>
            </w:pPr>
          </w:p>
          <w:p>
            <w:pPr>
              <w:spacing w:line="360" w:lineRule="auto"/>
              <w:ind w:left="-28" w:firstLine="458"/>
              <w:rPr>
                <w:rFonts w:ascii="仿宋" w:hAnsi="仿宋" w:eastAsia="仿宋"/>
                <w:color w:val="auto"/>
                <w:highlight w:val="none"/>
                <w:lang w:eastAsia="zh-CN"/>
              </w:rPr>
            </w:pPr>
            <w:r>
              <w:rPr>
                <w:rFonts w:hint="eastAsia" w:ascii="仿宋" w:hAnsi="仿宋" w:eastAsia="仿宋" w:cs="仿宋"/>
                <w:color w:val="auto"/>
                <w:highlight w:val="none"/>
                <w:lang w:eastAsia="zh-CN"/>
              </w:rPr>
              <w:t>3．证明材料：</w:t>
            </w:r>
          </w:p>
          <w:p>
            <w:pPr>
              <w:spacing w:line="360" w:lineRule="auto"/>
              <w:ind w:firstLine="480" w:firstLineChars="200"/>
              <w:rPr>
                <w:rFonts w:ascii="仿宋" w:hAnsi="仿宋" w:eastAsia="仿宋"/>
                <w:color w:val="auto"/>
                <w:highlight w:val="none"/>
                <w:lang w:eastAsia="zh-CN"/>
              </w:rPr>
            </w:pPr>
          </w:p>
          <w:p>
            <w:pPr>
              <w:tabs>
                <w:tab w:val="left" w:pos="6912"/>
              </w:tabs>
              <w:spacing w:line="360" w:lineRule="auto"/>
              <w:ind w:firstLine="6000" w:firstLineChars="2500"/>
              <w:rPr>
                <w:rFonts w:ascii="仿宋" w:hAnsi="仿宋" w:eastAsia="仿宋"/>
                <w:color w:val="auto"/>
                <w:highlight w:val="none"/>
                <w:lang w:eastAsia="zh-CN"/>
              </w:rPr>
            </w:pPr>
          </w:p>
          <w:p>
            <w:pPr>
              <w:tabs>
                <w:tab w:val="left" w:pos="6912"/>
              </w:tabs>
              <w:spacing w:line="360" w:lineRule="auto"/>
              <w:ind w:firstLine="6000" w:firstLineChars="2500"/>
              <w:rPr>
                <w:rFonts w:ascii="仿宋" w:hAnsi="仿宋" w:eastAsia="仿宋"/>
                <w:color w:val="auto"/>
                <w:highlight w:val="none"/>
                <w:lang w:eastAsia="zh-CN"/>
              </w:rPr>
            </w:pPr>
          </w:p>
          <w:p>
            <w:pPr>
              <w:tabs>
                <w:tab w:val="left" w:pos="6912"/>
              </w:tabs>
              <w:spacing w:line="360" w:lineRule="auto"/>
              <w:ind w:firstLine="6000" w:firstLineChars="2500"/>
              <w:rPr>
                <w:rFonts w:ascii="仿宋" w:hAnsi="仿宋" w:eastAsia="仿宋"/>
                <w:color w:val="auto"/>
                <w:highlight w:val="none"/>
                <w:lang w:eastAsia="zh-CN"/>
              </w:rPr>
            </w:pPr>
          </w:p>
          <w:p>
            <w:pPr>
              <w:tabs>
                <w:tab w:val="left" w:pos="6912"/>
              </w:tabs>
              <w:spacing w:line="360" w:lineRule="auto"/>
              <w:ind w:firstLine="6000" w:firstLineChars="2500"/>
              <w:rPr>
                <w:rFonts w:ascii="仿宋" w:hAnsi="仿宋" w:eastAsia="仿宋"/>
                <w:color w:val="auto"/>
                <w:highlight w:val="none"/>
                <w:lang w:eastAsia="zh-CN"/>
              </w:rPr>
            </w:pPr>
          </w:p>
          <w:p>
            <w:pPr>
              <w:tabs>
                <w:tab w:val="left" w:pos="6912"/>
              </w:tabs>
              <w:spacing w:line="360" w:lineRule="auto"/>
              <w:ind w:firstLine="6372" w:firstLineChars="2655"/>
              <w:rPr>
                <w:rFonts w:ascii="仿宋" w:hAnsi="仿宋" w:eastAsia="仿宋"/>
                <w:color w:val="auto"/>
                <w:highlight w:val="none"/>
                <w:u w:val="single"/>
              </w:rPr>
            </w:pPr>
            <w:r>
              <w:rPr>
                <w:rFonts w:hint="eastAsia" w:ascii="仿宋" w:hAnsi="仿宋" w:eastAsia="仿宋" w:cs="仿宋"/>
                <w:color w:val="auto"/>
                <w:highlight w:val="none"/>
              </w:rPr>
              <w:t xml:space="preserve">承包人（章）                </w:t>
            </w:r>
          </w:p>
          <w:p>
            <w:pPr>
              <w:spacing w:line="360" w:lineRule="auto"/>
              <w:ind w:firstLine="6372" w:firstLineChars="2655"/>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372" w:firstLineChars="2655"/>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说明：本表一式三份，由承包人填制,并连同发包人、造价咨询人各存一份。</w:t>
      </w:r>
    </w:p>
    <w:p>
      <w:pPr>
        <w:spacing w:line="360" w:lineRule="auto"/>
        <w:rPr>
          <w:rFonts w:ascii="仿宋" w:hAnsi="仿宋" w:eastAsia="仿宋" w:cs="仿宋"/>
          <w:b/>
          <w:bCs/>
          <w:color w:val="auto"/>
          <w:highlight w:val="none"/>
          <w:lang w:eastAsia="zh-CN"/>
        </w:rPr>
        <w:sectPr>
          <w:endnotePr>
            <w:numFmt w:val="decimal"/>
          </w:endnotePr>
          <w:pgSz w:w="11906" w:h="16838"/>
          <w:pgMar w:top="1304" w:right="1304" w:bottom="1304" w:left="1304" w:header="794" w:footer="850" w:gutter="0"/>
          <w:cols w:space="0" w:num="1"/>
        </w:sectPr>
      </w:pPr>
    </w:p>
    <w:p>
      <w:pPr>
        <w:spacing w:line="360" w:lineRule="auto"/>
        <w:outlineLvl w:val="0"/>
        <w:rPr>
          <w:rFonts w:ascii="仿宋" w:hAnsi="仿宋" w:eastAsia="仿宋"/>
          <w:color w:val="auto"/>
          <w:highlight w:val="none"/>
          <w:lang w:eastAsia="zh-CN"/>
        </w:rPr>
      </w:pPr>
      <w:bookmarkStart w:id="1024" w:name="_Toc47694485"/>
      <w:bookmarkStart w:id="1025" w:name="_Toc12502"/>
      <w:bookmarkStart w:id="1026" w:name="_Toc15844"/>
      <w:r>
        <w:rPr>
          <w:rFonts w:hint="eastAsia" w:ascii="仿宋" w:hAnsi="仿宋" w:eastAsia="仿宋" w:cs="仿宋"/>
          <w:b/>
          <w:bCs/>
          <w:color w:val="auto"/>
          <w:highlight w:val="none"/>
          <w:lang w:eastAsia="zh-CN"/>
        </w:rPr>
        <w:t>格式2</w:t>
      </w:r>
      <w:bookmarkEnd w:id="1024"/>
      <w:bookmarkEnd w:id="1025"/>
      <w:r>
        <w:rPr>
          <w:rFonts w:hint="eastAsia" w:ascii="仿宋" w:hAnsi="仿宋" w:eastAsia="仿宋" w:cs="仿宋"/>
          <w:b/>
          <w:bCs/>
          <w:color w:val="auto"/>
          <w:highlight w:val="none"/>
          <w:lang w:eastAsia="zh-CN"/>
        </w:rPr>
        <w:t>2</w:t>
      </w:r>
      <w:bookmarkEnd w:id="1026"/>
    </w:p>
    <w:p>
      <w:pPr>
        <w:spacing w:before="50" w:after="50" w:line="360" w:lineRule="auto"/>
        <w:jc w:val="center"/>
        <w:rPr>
          <w:rFonts w:ascii="仿宋" w:hAnsi="仿宋" w:eastAsia="仿宋"/>
          <w:b/>
          <w:bCs/>
          <w:color w:val="auto"/>
          <w:highlight w:val="none"/>
          <w:lang w:eastAsia="zh-CN"/>
        </w:rPr>
      </w:pPr>
      <w:r>
        <w:rPr>
          <w:rFonts w:hint="eastAsia" w:ascii="仿宋" w:hAnsi="仿宋" w:eastAsia="仿宋" w:cs="仿宋"/>
          <w:b/>
          <w:bCs/>
          <w:color w:val="auto"/>
          <w:spacing w:val="30"/>
          <w:sz w:val="44"/>
          <w:szCs w:val="44"/>
          <w:highlight w:val="none"/>
          <w:lang w:eastAsia="zh-CN"/>
        </w:rPr>
        <w:t>费用索赔审批表</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89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jc w:val="center"/>
        </w:trPr>
        <w:tc>
          <w:tcPr>
            <w:tcW w:w="8935" w:type="dxa"/>
            <w:tcBorders>
              <w:top w:val="single" w:color="auto" w:sz="6" w:space="0"/>
              <w:left w:val="single" w:color="auto" w:sz="6" w:space="0"/>
              <w:bottom w:val="single" w:color="auto" w:sz="4"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根据工程总承包合同条款第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的规定，你方提出的工期索赔申请第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号,索赔费用：(大写)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(小写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元)，经我方审核：</w:t>
            </w:r>
          </w:p>
          <w:p>
            <w:pPr>
              <w:spacing w:line="360" w:lineRule="auto"/>
              <w:ind w:left="-28" w:firstLine="55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不同意此项索赔。</w:t>
            </w:r>
          </w:p>
          <w:p>
            <w:pPr>
              <w:spacing w:line="360" w:lineRule="auto"/>
              <w:ind w:left="-28" w:firstLine="55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同意此项索赔，金额(大写)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同意/不同意索赔说明理由：</w:t>
            </w: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spacing w:line="360" w:lineRule="auto"/>
              <w:ind w:left="-108" w:firstLine="590"/>
              <w:rPr>
                <w:rFonts w:ascii="仿宋" w:hAnsi="仿宋" w:eastAsia="仿宋"/>
                <w:color w:val="auto"/>
                <w:highlight w:val="none"/>
                <w:lang w:eastAsia="zh-CN"/>
              </w:rPr>
            </w:pPr>
          </w:p>
          <w:p>
            <w:pPr>
              <w:spacing w:line="360" w:lineRule="auto"/>
              <w:ind w:left="-108" w:firstLine="590"/>
              <w:rPr>
                <w:rFonts w:ascii="仿宋" w:hAnsi="仿宋" w:eastAsia="仿宋"/>
                <w:color w:val="auto"/>
                <w:highlight w:val="none"/>
                <w:lang w:eastAsia="zh-CN"/>
              </w:rPr>
            </w:pPr>
          </w:p>
          <w:p>
            <w:pPr>
              <w:spacing w:line="360" w:lineRule="auto"/>
              <w:ind w:left="-108" w:firstLine="590"/>
              <w:rPr>
                <w:rFonts w:ascii="仿宋" w:hAnsi="仿宋" w:eastAsia="仿宋"/>
                <w:color w:val="auto"/>
                <w:highlight w:val="none"/>
                <w:lang w:eastAsia="zh-CN"/>
              </w:rPr>
            </w:pPr>
          </w:p>
          <w:p>
            <w:pPr>
              <w:spacing w:line="360" w:lineRule="auto"/>
              <w:ind w:left="-108" w:firstLine="590"/>
              <w:rPr>
                <w:rFonts w:ascii="仿宋" w:hAnsi="仿宋" w:eastAsia="仿宋"/>
                <w:color w:val="auto"/>
                <w:highlight w:val="none"/>
                <w:lang w:eastAsia="zh-CN"/>
              </w:rPr>
            </w:pPr>
          </w:p>
          <w:p>
            <w:pPr>
              <w:spacing w:line="360" w:lineRule="auto"/>
              <w:ind w:left="-108" w:firstLine="590"/>
              <w:rPr>
                <w:rFonts w:ascii="仿宋" w:hAnsi="仿宋" w:eastAsia="仿宋"/>
                <w:color w:val="auto"/>
                <w:highlight w:val="none"/>
                <w:lang w:eastAsia="zh-CN"/>
              </w:rPr>
            </w:pPr>
          </w:p>
          <w:p>
            <w:pPr>
              <w:spacing w:line="360" w:lineRule="auto"/>
              <w:ind w:left="-108" w:firstLine="590"/>
              <w:rPr>
                <w:rFonts w:ascii="仿宋" w:hAnsi="仿宋" w:eastAsia="仿宋"/>
                <w:color w:val="auto"/>
                <w:highlight w:val="none"/>
                <w:lang w:eastAsia="zh-CN"/>
              </w:rPr>
            </w:pPr>
          </w:p>
          <w:p>
            <w:pPr>
              <w:spacing w:line="360" w:lineRule="auto"/>
              <w:rPr>
                <w:rFonts w:ascii="仿宋" w:hAnsi="仿宋" w:eastAsia="仿宋"/>
                <w:color w:val="auto"/>
                <w:highlight w:val="none"/>
                <w:lang w:eastAsia="zh-CN"/>
              </w:rPr>
            </w:pPr>
          </w:p>
          <w:p>
            <w:pPr>
              <w:tabs>
                <w:tab w:val="left" w:pos="6912"/>
              </w:tabs>
              <w:spacing w:line="360" w:lineRule="auto"/>
              <w:ind w:firstLine="5520" w:firstLineChars="2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造价咨询人（章）         </w:t>
            </w:r>
          </w:p>
          <w:p>
            <w:pPr>
              <w:spacing w:line="360" w:lineRule="auto"/>
              <w:ind w:firstLine="5520" w:firstLineChars="2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w:t>
            </w:r>
          </w:p>
          <w:p>
            <w:pPr>
              <w:tabs>
                <w:tab w:val="left" w:pos="7272"/>
              </w:tabs>
              <w:spacing w:line="360" w:lineRule="auto"/>
              <w:ind w:firstLine="5520" w:firstLineChars="23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说明：1．在需要选择的栏中的“□”内作标识“√”。</w:t>
      </w:r>
    </w:p>
    <w:p>
      <w:pPr>
        <w:spacing w:before="120" w:beforeLines="50" w:after="120" w:afterLines="50"/>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2．本表一式三份，由承包人填制,并连同发包人、造价咨询人各存一份。</w:t>
      </w:r>
    </w:p>
    <w:p>
      <w:pPr>
        <w:spacing w:line="360" w:lineRule="auto"/>
        <w:outlineLvl w:val="0"/>
        <w:rPr>
          <w:rFonts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1027" w:name="_Toc3531"/>
      <w:bookmarkStart w:id="1028" w:name="_Toc47694486"/>
      <w:bookmarkStart w:id="1029" w:name="_Toc11552"/>
      <w:r>
        <w:rPr>
          <w:rFonts w:hint="eastAsia" w:ascii="仿宋" w:hAnsi="仿宋" w:eastAsia="仿宋" w:cs="仿宋"/>
          <w:b/>
          <w:bCs/>
          <w:color w:val="auto"/>
          <w:highlight w:val="none"/>
          <w:lang w:eastAsia="zh-CN"/>
        </w:rPr>
        <w:t>格式2</w:t>
      </w:r>
      <w:bookmarkEnd w:id="1027"/>
      <w:bookmarkEnd w:id="1028"/>
      <w:r>
        <w:rPr>
          <w:rFonts w:hint="eastAsia" w:ascii="仿宋" w:hAnsi="仿宋" w:eastAsia="仿宋" w:cs="仿宋"/>
          <w:b/>
          <w:bCs/>
          <w:color w:val="auto"/>
          <w:highlight w:val="none"/>
          <w:lang w:eastAsia="zh-CN"/>
        </w:rPr>
        <w:t>3</w:t>
      </w:r>
      <w:bookmarkEnd w:id="1029"/>
    </w:p>
    <w:p>
      <w:pPr>
        <w:spacing w:line="360" w:lineRule="auto"/>
        <w:jc w:val="center"/>
        <w:rPr>
          <w:rFonts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已完工程款额报告</w:t>
      </w:r>
    </w:p>
    <w:p>
      <w:pPr>
        <w:spacing w:line="360" w:lineRule="auto"/>
        <w:jc w:val="center"/>
        <w:rPr>
          <w:rFonts w:ascii="仿宋" w:hAnsi="仿宋" w:eastAsia="仿宋" w:cs="仿宋"/>
          <w:b/>
          <w:bCs/>
          <w:color w:val="auto"/>
          <w:spacing w:val="30"/>
          <w:sz w:val="28"/>
          <w:szCs w:val="28"/>
          <w:highlight w:val="none"/>
          <w:lang w:eastAsia="zh-CN"/>
        </w:rPr>
      </w:pPr>
      <w:r>
        <w:rPr>
          <w:rFonts w:hint="eastAsia" w:ascii="仿宋" w:hAnsi="仿宋" w:eastAsia="仿宋" w:cs="仿宋"/>
          <w:b/>
          <w:bCs/>
          <w:color w:val="auto"/>
          <w:spacing w:val="30"/>
          <w:sz w:val="28"/>
          <w:szCs w:val="28"/>
          <w:highlight w:val="none"/>
          <w:lang w:eastAsia="zh-CN"/>
        </w:rPr>
        <w:t>（勘察、设计等已完工作款报告参照修改）</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42"/>
        <w:tblW w:w="985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41"/>
        <w:gridCol w:w="55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15" w:hRule="atLeast"/>
          <w:jc w:val="center"/>
        </w:trPr>
        <w:tc>
          <w:tcPr>
            <w:tcW w:w="9851" w:type="dxa"/>
            <w:gridSpan w:val="2"/>
            <w:tcBorders>
              <w:top w:val="single" w:color="auto" w:sz="6" w:space="0"/>
              <w:left w:val="single" w:color="auto" w:sz="6" w:space="0"/>
              <w:bottom w:val="single" w:color="auto" w:sz="4" w:space="0"/>
              <w:right w:val="single" w:color="auto" w:sz="6" w:space="0"/>
            </w:tcBorders>
          </w:tcPr>
          <w:p>
            <w:pPr>
              <w:spacing w:before="120"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（造价咨询人（如有）全称）</w:t>
            </w:r>
          </w:p>
          <w:p>
            <w:pPr>
              <w:spacing w:line="360" w:lineRule="exact"/>
              <w:ind w:left="-31" w:leftChars="-13"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期间,我方按照合同约定和监理咨询人的指令，实际已完工程款额为（大写）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），累计已完工程款额（大写）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的规定，现提出已完工程款额报告，请予复核和确认。</w:t>
            </w:r>
          </w:p>
          <w:p>
            <w:pPr>
              <w:spacing w:line="360" w:lineRule="exact"/>
              <w:rPr>
                <w:rFonts w:ascii="仿宋" w:hAnsi="仿宋" w:eastAsia="仿宋"/>
                <w:color w:val="auto"/>
                <w:highlight w:val="none"/>
                <w:lang w:eastAsia="zh-CN"/>
              </w:rPr>
            </w:pPr>
            <w:r>
              <w:rPr>
                <w:rFonts w:hint="eastAsia" w:ascii="仿宋" w:hAnsi="仿宋" w:eastAsia="仿宋" w:cs="仿宋"/>
                <w:color w:val="auto"/>
                <w:highlight w:val="none"/>
                <w:lang w:eastAsia="zh-CN"/>
              </w:rPr>
              <w:t>附：1. 已完工程款额明细表：</w:t>
            </w:r>
          </w:p>
          <w:p>
            <w:pPr>
              <w:spacing w:line="360" w:lineRule="exact"/>
              <w:ind w:left="-108" w:firstLine="590"/>
              <w:rPr>
                <w:rFonts w:ascii="仿宋" w:hAnsi="仿宋" w:eastAsia="仿宋"/>
                <w:color w:val="auto"/>
                <w:highlight w:val="none"/>
                <w:lang w:eastAsia="zh-CN"/>
              </w:rPr>
            </w:pPr>
            <w:r>
              <w:rPr>
                <w:rFonts w:hint="eastAsia" w:ascii="仿宋" w:hAnsi="仿宋" w:eastAsia="仿宋" w:cs="仿宋"/>
                <w:color w:val="auto"/>
                <w:highlight w:val="none"/>
                <w:lang w:eastAsia="zh-CN"/>
              </w:rPr>
              <w:t>2. 证明材料：</w:t>
            </w:r>
          </w:p>
          <w:p>
            <w:pPr>
              <w:tabs>
                <w:tab w:val="left" w:pos="6912"/>
              </w:tabs>
              <w:spacing w:line="360" w:lineRule="auto"/>
              <w:ind w:firstLine="6000" w:firstLineChars="25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承包人（章）              </w:t>
            </w:r>
          </w:p>
          <w:p>
            <w:pPr>
              <w:spacing w:line="360" w:lineRule="auto"/>
              <w:ind w:firstLine="6000"/>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0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9" w:hRule="atLeast"/>
          <w:jc w:val="center"/>
        </w:trPr>
        <w:tc>
          <w:tcPr>
            <w:tcW w:w="4341" w:type="dxa"/>
            <w:tcBorders>
              <w:top w:val="single" w:color="auto" w:sz="4" w:space="0"/>
              <w:left w:val="single" w:color="auto" w:sz="6" w:space="0"/>
              <w:bottom w:val="single" w:color="auto" w:sz="4" w:space="0"/>
              <w:right w:val="single" w:color="auto" w:sz="4"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复核意见：</w:t>
            </w:r>
          </w:p>
          <w:p>
            <w:pPr>
              <w:ind w:firstLine="640" w:firstLineChars="20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与实际施工情况不相符，修改意见见附件；</w:t>
            </w:r>
          </w:p>
          <w:p>
            <w:pPr>
              <w:ind w:firstLine="640" w:firstLineChars="200"/>
              <w:rPr>
                <w:rFonts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与实际施工情况相符，具体金额由造价咨询人复核。</w:t>
            </w:r>
          </w:p>
          <w:p>
            <w:pPr>
              <w:spacing w:line="360" w:lineRule="auto"/>
              <w:ind w:firstLine="1680" w:firstLineChars="7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p>
          <w:p>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p>
          <w:p>
            <w:pPr>
              <w:spacing w:line="360" w:lineRule="auto"/>
              <w:ind w:firstLine="1680" w:firstLineChars="70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c>
          <w:tcPr>
            <w:tcW w:w="5510" w:type="dxa"/>
            <w:tcBorders>
              <w:top w:val="single" w:color="auto" w:sz="4" w:space="0"/>
              <w:left w:val="single" w:color="auto" w:sz="4" w:space="0"/>
              <w:bottom w:val="single" w:color="auto" w:sz="4" w:space="0"/>
              <w:right w:val="single" w:color="auto" w:sz="6" w:space="0"/>
            </w:tcBorders>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复核意见：</w:t>
            </w:r>
          </w:p>
          <w:p>
            <w:pPr>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的规定，经复核你方提出的已完工程款额报告（第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号），截止</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日，实际已完工程款为（大写）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），累计已完工程款额（大写）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附：已完工程款额明细复核表。</w:t>
            </w:r>
          </w:p>
          <w:p>
            <w:pPr>
              <w:spacing w:line="360" w:lineRule="auto"/>
              <w:ind w:firstLine="992" w:firstLineChars="992"/>
              <w:rPr>
                <w:rFonts w:ascii="仿宋" w:hAnsi="仿宋" w:eastAsia="仿宋" w:cs="仿宋"/>
                <w:color w:val="auto"/>
                <w:sz w:val="10"/>
                <w:szCs w:val="10"/>
                <w:highlight w:val="none"/>
                <w:lang w:eastAsia="zh-CN"/>
              </w:rPr>
            </w:pPr>
          </w:p>
          <w:p>
            <w:pPr>
              <w:spacing w:line="360" w:lineRule="auto"/>
              <w:ind w:firstLine="2160" w:firstLineChars="9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造价咨询人（章）        </w:t>
            </w:r>
          </w:p>
          <w:p>
            <w:pPr>
              <w:spacing w:line="360" w:lineRule="auto"/>
              <w:ind w:firstLine="2160" w:firstLineChars="9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w:t>
            </w:r>
          </w:p>
          <w:p>
            <w:pPr>
              <w:spacing w:line="360" w:lineRule="auto"/>
              <w:ind w:firstLine="2160" w:firstLineChars="90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40" w:hRule="atLeast"/>
          <w:jc w:val="center"/>
        </w:trPr>
        <w:tc>
          <w:tcPr>
            <w:tcW w:w="9851" w:type="dxa"/>
            <w:gridSpan w:val="2"/>
            <w:tcBorders>
              <w:top w:val="single" w:color="auto" w:sz="4" w:space="0"/>
              <w:left w:val="single" w:color="auto" w:sz="6" w:space="0"/>
              <w:bottom w:val="single" w:color="auto" w:sz="6" w:space="0"/>
              <w:right w:val="single" w:color="auto" w:sz="6" w:space="0"/>
            </w:tcBorders>
          </w:tcPr>
          <w:p>
            <w:pPr>
              <w:spacing w:line="360" w:lineRule="auto"/>
              <w:ind w:hanging="3"/>
              <w:rPr>
                <w:rFonts w:ascii="仿宋" w:hAnsi="仿宋" w:eastAsia="仿宋"/>
                <w:color w:val="auto"/>
                <w:highlight w:val="none"/>
                <w:lang w:eastAsia="zh-CN"/>
              </w:rPr>
            </w:pPr>
            <w:r>
              <w:rPr>
                <w:rFonts w:hint="eastAsia" w:ascii="仿宋" w:hAnsi="仿宋" w:eastAsia="仿宋" w:cs="仿宋"/>
                <w:color w:val="auto"/>
                <w:highlight w:val="none"/>
                <w:lang w:eastAsia="zh-CN"/>
              </w:rPr>
              <w:t>确认意见：</w:t>
            </w:r>
          </w:p>
          <w:p>
            <w:pPr>
              <w:spacing w:line="360" w:lineRule="auto"/>
              <w:ind w:left="-28" w:firstLine="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□不同意/□同意。</w:t>
            </w:r>
          </w:p>
          <w:p>
            <w:pPr>
              <w:spacing w:line="360" w:lineRule="auto"/>
              <w:ind w:firstLine="480" w:firstLineChars="200"/>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发　包　人（章）</w:t>
            </w:r>
          </w:p>
          <w:p>
            <w:pPr>
              <w:spacing w:line="360" w:lineRule="auto"/>
              <w:ind w:firstLine="480" w:firstLineChars="200"/>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发包人代表</w:t>
            </w:r>
            <w:r>
              <w:rPr>
                <w:rFonts w:hint="eastAsia" w:ascii="仿宋" w:hAnsi="仿宋" w:eastAsia="仿宋" w:cs="仿宋"/>
                <w:color w:val="auto"/>
                <w:highlight w:val="none"/>
                <w:u w:val="single"/>
                <w:lang w:eastAsia="zh-CN"/>
              </w:rPr>
              <w:t xml:space="preserve">                     </w:t>
            </w:r>
          </w:p>
          <w:p>
            <w:pPr>
              <w:spacing w:line="360" w:lineRule="auto"/>
              <w:ind w:firstLine="480" w:firstLineChars="200"/>
              <w:jc w:val="center"/>
              <w:rPr>
                <w:rFonts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日   　 期 </w:t>
            </w:r>
            <w:r>
              <w:rPr>
                <w:rFonts w:hint="eastAsia" w:ascii="仿宋" w:hAnsi="仿宋" w:eastAsia="仿宋" w:cs="仿宋"/>
                <w:color w:val="auto"/>
                <w:highlight w:val="none"/>
                <w:u w:val="single"/>
              </w:rPr>
              <w:t xml:space="preserve">                     </w:t>
            </w:r>
          </w:p>
        </w:tc>
      </w:tr>
    </w:tbl>
    <w:p>
      <w:pPr>
        <w:rPr>
          <w:rFonts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说明：1、在需要选择的栏中的“□”内作标识“√”。</w:t>
      </w:r>
    </w:p>
    <w:p>
      <w:pPr>
        <w:ind w:left="1181" w:leftChars="342" w:hanging="360" w:hangingChars="150"/>
        <w:rPr>
          <w:rFonts w:ascii="仿宋" w:hAnsi="仿宋" w:eastAsia="仿宋"/>
          <w:color w:val="auto"/>
          <w:highlight w:val="none"/>
          <w:lang w:eastAsia="zh-CN"/>
        </w:rPr>
      </w:pPr>
      <w:r>
        <w:rPr>
          <w:rFonts w:hint="eastAsia" w:ascii="仿宋" w:hAnsi="仿宋" w:eastAsia="仿宋" w:cs="仿宋"/>
          <w:color w:val="auto"/>
          <w:highlight w:val="none"/>
          <w:lang w:eastAsia="zh-CN"/>
        </w:rPr>
        <w:t>2、本表一式五份，由承包人、监理人、造价咨询人、发包人按合同规定程序填制，发包人存二份，其他各存一份。</w:t>
      </w:r>
    </w:p>
    <w:p>
      <w:pPr>
        <w:rPr>
          <w:rFonts w:ascii="仿宋" w:hAnsi="仿宋" w:eastAsia="仿宋"/>
          <w:color w:val="auto"/>
          <w:highlight w:val="none"/>
          <w:lang w:eastAsia="zh-CN"/>
        </w:rPr>
        <w:sectPr>
          <w:endnotePr>
            <w:numFmt w:val="decimal"/>
          </w:endnotePr>
          <w:pgSz w:w="11906" w:h="16838"/>
          <w:pgMar w:top="1304" w:right="1304" w:bottom="1304" w:left="1304" w:header="794" w:footer="850" w:gutter="0"/>
          <w:cols w:space="0" w:num="1"/>
        </w:sectPr>
      </w:pPr>
    </w:p>
    <w:p>
      <w:pPr>
        <w:spacing w:line="360" w:lineRule="auto"/>
        <w:outlineLvl w:val="0"/>
        <w:rPr>
          <w:rFonts w:ascii="仿宋" w:hAnsi="仿宋" w:eastAsia="仿宋" w:cs="仿宋"/>
          <w:b/>
          <w:bCs/>
          <w:color w:val="auto"/>
          <w:highlight w:val="none"/>
          <w:lang w:eastAsia="zh-CN"/>
        </w:rPr>
      </w:pPr>
      <w:bookmarkStart w:id="1030" w:name="_Toc47694487"/>
      <w:bookmarkStart w:id="1031" w:name="_Toc24207"/>
      <w:bookmarkStart w:id="1032" w:name="_Toc11509"/>
      <w:r>
        <w:rPr>
          <w:rFonts w:hint="eastAsia" w:ascii="仿宋" w:hAnsi="仿宋" w:eastAsia="仿宋" w:cs="仿宋"/>
          <w:b/>
          <w:bCs/>
          <w:color w:val="auto"/>
          <w:highlight w:val="none"/>
          <w:lang w:eastAsia="zh-CN"/>
        </w:rPr>
        <w:t>格式2</w:t>
      </w:r>
      <w:bookmarkEnd w:id="1030"/>
      <w:bookmarkEnd w:id="1031"/>
      <w:r>
        <w:rPr>
          <w:rFonts w:hint="eastAsia" w:ascii="仿宋" w:hAnsi="仿宋" w:eastAsia="仿宋" w:cs="仿宋"/>
          <w:b/>
          <w:bCs/>
          <w:color w:val="auto"/>
          <w:highlight w:val="none"/>
          <w:lang w:eastAsia="zh-CN"/>
        </w:rPr>
        <w:t>4</w:t>
      </w:r>
      <w:bookmarkEnd w:id="1032"/>
    </w:p>
    <w:p>
      <w:pPr>
        <w:spacing w:line="360" w:lineRule="auto"/>
        <w:jc w:val="center"/>
        <w:rPr>
          <w:rFonts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已完工程款额明细表</w:t>
      </w:r>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28"/>
          <w:szCs w:val="28"/>
          <w:highlight w:val="none"/>
          <w:lang w:eastAsia="zh-CN"/>
        </w:rPr>
        <w:t>（勘察、设计等已完工作款参照修改）</w:t>
      </w:r>
    </w:p>
    <w:p>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工程名称：                                              编号：                       截止日期：</w:t>
      </w:r>
    </w:p>
    <w:tbl>
      <w:tblPr>
        <w:tblStyle w:val="42"/>
        <w:tblW w:w="15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079"/>
        <w:gridCol w:w="992"/>
        <w:gridCol w:w="992"/>
        <w:gridCol w:w="993"/>
        <w:gridCol w:w="992"/>
        <w:gridCol w:w="977"/>
        <w:gridCol w:w="1007"/>
        <w:gridCol w:w="993"/>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923"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项目</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编码</w:t>
            </w:r>
          </w:p>
        </w:tc>
        <w:tc>
          <w:tcPr>
            <w:tcW w:w="1639"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项目名称</w:t>
            </w:r>
          </w:p>
        </w:tc>
        <w:tc>
          <w:tcPr>
            <w:tcW w:w="2079"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单位</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清单</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工程量</w:t>
            </w:r>
          </w:p>
        </w:tc>
        <w:tc>
          <w:tcPr>
            <w:tcW w:w="2977"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项目单价（元）</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上期末累计</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本期间</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本期末累计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auto"/>
                <w:highlight w:val="none"/>
              </w:rPr>
            </w:pPr>
          </w:p>
        </w:tc>
        <w:tc>
          <w:tcPr>
            <w:tcW w:w="923"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auto"/>
                <w:highlight w:val="none"/>
              </w:rPr>
            </w:pPr>
          </w:p>
        </w:tc>
        <w:tc>
          <w:tcPr>
            <w:tcW w:w="1639"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auto"/>
                <w:highlight w:val="none"/>
              </w:rPr>
            </w:pPr>
          </w:p>
        </w:tc>
        <w:tc>
          <w:tcPr>
            <w:tcW w:w="2079"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auto"/>
                <w:highlight w:val="none"/>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综合</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单价</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税金</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合计</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9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已完</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工程量</w:t>
            </w:r>
          </w:p>
        </w:tc>
        <w:tc>
          <w:tcPr>
            <w:tcW w:w="10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合价</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完成</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工程量</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合价</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已完</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工程量</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 xml:space="preserve"> 合价</w:t>
            </w:r>
          </w:p>
          <w:p>
            <w:pPr>
              <w:spacing w:line="360" w:lineRule="auto"/>
              <w:rPr>
                <w:rFonts w:ascii="仿宋" w:hAnsi="仿宋" w:eastAsia="仿宋"/>
                <w:color w:val="auto"/>
                <w:highlight w:val="none"/>
              </w:rPr>
            </w:pPr>
            <w:r>
              <w:rPr>
                <w:rFonts w:hint="eastAsia" w:ascii="仿宋" w:hAnsi="仿宋" w:eastAsia="仿宋" w:cs="仿宋"/>
                <w:color w:val="auto"/>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本页小计</w:t>
            </w:r>
          </w:p>
        </w:tc>
        <w:tc>
          <w:tcPr>
            <w:tcW w:w="20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07"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合计</w:t>
            </w:r>
          </w:p>
        </w:tc>
        <w:tc>
          <w:tcPr>
            <w:tcW w:w="20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1007"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r>
    </w:tbl>
    <w:p>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编制：                     复核：                     承包人代表：                       日  期：     年   　月   日</w:t>
      </w:r>
    </w:p>
    <w:p>
      <w:pPr>
        <w:spacing w:line="360" w:lineRule="auto"/>
        <w:rPr>
          <w:rFonts w:ascii="仿宋" w:hAnsi="仿宋" w:eastAsia="仿宋"/>
          <w:color w:val="auto"/>
          <w:highlight w:val="none"/>
          <w:lang w:eastAsia="zh-CN"/>
        </w:rPr>
        <w:sectPr>
          <w:endnotePr>
            <w:numFmt w:val="decimal"/>
          </w:endnotePr>
          <w:pgSz w:w="16838" w:h="11906" w:orient="landscape"/>
          <w:pgMar w:top="1304" w:right="1304" w:bottom="1304" w:left="1304" w:header="794" w:footer="850" w:gutter="0"/>
          <w:cols w:space="0" w:num="1"/>
        </w:sectPr>
      </w:pPr>
    </w:p>
    <w:p>
      <w:pPr>
        <w:outlineLvl w:val="0"/>
        <w:rPr>
          <w:rFonts w:ascii="仿宋" w:hAnsi="仿宋" w:eastAsia="仿宋" w:cs="仿宋"/>
          <w:b/>
          <w:bCs/>
          <w:color w:val="auto"/>
          <w:highlight w:val="none"/>
          <w:lang w:eastAsia="zh-CN"/>
        </w:rPr>
      </w:pPr>
      <w:bookmarkStart w:id="1033" w:name="_Toc14407"/>
      <w:bookmarkStart w:id="1034" w:name="_Toc47694488"/>
      <w:bookmarkStart w:id="1035" w:name="_Toc31987048"/>
      <w:bookmarkStart w:id="1036" w:name="_Toc18503"/>
      <w:r>
        <w:rPr>
          <w:rFonts w:hint="eastAsia" w:ascii="仿宋" w:hAnsi="仿宋" w:eastAsia="仿宋" w:cs="仿宋"/>
          <w:b/>
          <w:bCs/>
          <w:color w:val="auto"/>
          <w:highlight w:val="none"/>
          <w:lang w:eastAsia="zh-CN"/>
        </w:rPr>
        <w:t>格式2</w:t>
      </w:r>
      <w:bookmarkEnd w:id="1033"/>
      <w:bookmarkEnd w:id="1034"/>
      <w:bookmarkEnd w:id="1035"/>
      <w:r>
        <w:rPr>
          <w:rFonts w:hint="eastAsia" w:ascii="仿宋" w:hAnsi="仿宋" w:eastAsia="仿宋" w:cs="仿宋"/>
          <w:b/>
          <w:bCs/>
          <w:color w:val="auto"/>
          <w:highlight w:val="none"/>
          <w:lang w:eastAsia="zh-CN"/>
        </w:rPr>
        <w:t>5</w:t>
      </w:r>
      <w:bookmarkEnd w:id="1036"/>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工程勘察费支付申请</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949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2" w:hRule="atLeast"/>
          <w:jc w:val="center"/>
        </w:trPr>
        <w:tc>
          <w:tcPr>
            <w:tcW w:w="9490" w:type="dxa"/>
            <w:tcBorders>
              <w:top w:val="single" w:color="auto" w:sz="6" w:space="0"/>
              <w:left w:val="single" w:color="auto" w:sz="6" w:space="0"/>
              <w:bottom w:val="single" w:color="auto" w:sz="4"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（造价咨询人全称）</w:t>
            </w:r>
          </w:p>
          <w:p>
            <w:pPr>
              <w:spacing w:line="360" w:lineRule="auto"/>
              <w:ind w:left="-28" w:firstLine="482"/>
              <w:rPr>
                <w:rFonts w:ascii="仿宋" w:hAnsi="仿宋" w:eastAsia="仿宋"/>
                <w:color w:val="auto"/>
                <w:highlight w:val="none"/>
                <w:lang w:eastAsia="zh-CN"/>
              </w:rPr>
            </w:pP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期间已完成了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的规定，现申请支付本期的工程勘察费款额为（大写）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），请予以复核和确认，并在支付证书签发后按合同规定时间内支付。</w:t>
            </w:r>
          </w:p>
          <w:p>
            <w:pPr>
              <w:spacing w:line="360" w:lineRule="auto"/>
              <w:ind w:left="-28" w:firstLine="482"/>
              <w:rPr>
                <w:rFonts w:ascii="仿宋" w:hAnsi="仿宋" w:eastAsia="仿宋"/>
                <w:color w:val="auto"/>
                <w:highlight w:val="none"/>
              </w:rPr>
            </w:pPr>
            <w:r>
              <w:rPr>
                <w:rFonts w:hint="eastAsia" w:ascii="仿宋" w:hAnsi="仿宋" w:eastAsia="仿宋" w:cs="仿宋"/>
                <w:color w:val="auto"/>
                <w:highlight w:val="none"/>
              </w:rPr>
              <w:t>具体细目如下：</w:t>
            </w:r>
          </w:p>
          <w:tbl>
            <w:tblPr>
              <w:tblStyle w:val="42"/>
              <w:tblW w:w="9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861"/>
              <w:gridCol w:w="1424"/>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名           称</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金 额（元）</w:t>
                  </w: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累计已完工程勘察费价款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累计已实际支付的工程勘察费价款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本期间已完工程勘察价款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6</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本期间应支付的变更价款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7</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8</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9</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10</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11</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本期间应支付的工程勘察费价款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bl>
          <w:p>
            <w:pPr>
              <w:tabs>
                <w:tab w:val="left" w:pos="6912"/>
              </w:tabs>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附：</w:t>
            </w:r>
          </w:p>
          <w:p>
            <w:pPr>
              <w:tabs>
                <w:tab w:val="left" w:pos="6912"/>
              </w:tabs>
              <w:spacing w:line="360" w:lineRule="auto"/>
              <w:ind w:left="420"/>
              <w:rPr>
                <w:rFonts w:ascii="仿宋" w:hAnsi="仿宋" w:eastAsia="仿宋"/>
                <w:color w:val="auto"/>
                <w:highlight w:val="none"/>
                <w:lang w:eastAsia="zh-CN"/>
              </w:rPr>
            </w:pPr>
            <w:r>
              <w:rPr>
                <w:rFonts w:hint="eastAsia" w:ascii="仿宋" w:hAnsi="仿宋" w:eastAsia="仿宋" w:cs="仿宋"/>
                <w:color w:val="auto"/>
                <w:highlight w:val="none"/>
                <w:lang w:eastAsia="zh-CN"/>
              </w:rPr>
              <w:t>1. 有关证明资料；</w:t>
            </w:r>
          </w:p>
          <w:p>
            <w:pPr>
              <w:tabs>
                <w:tab w:val="left" w:pos="6912"/>
              </w:tabs>
              <w:spacing w:line="360" w:lineRule="auto"/>
              <w:ind w:left="420"/>
              <w:rPr>
                <w:rFonts w:ascii="仿宋" w:hAnsi="仿宋" w:eastAsia="仿宋"/>
                <w:color w:val="auto"/>
                <w:highlight w:val="none"/>
                <w:lang w:eastAsia="zh-CN"/>
              </w:rPr>
            </w:pPr>
            <w:r>
              <w:rPr>
                <w:rFonts w:hint="eastAsia" w:ascii="仿宋" w:hAnsi="仿宋" w:eastAsia="仿宋" w:cs="仿宋"/>
                <w:color w:val="auto"/>
                <w:highlight w:val="none"/>
                <w:lang w:eastAsia="zh-CN"/>
              </w:rPr>
              <w:t>2. 计算过程及说明。</w:t>
            </w:r>
          </w:p>
          <w:p>
            <w:pPr>
              <w:tabs>
                <w:tab w:val="left" w:pos="6912"/>
              </w:tabs>
              <w:spacing w:line="360" w:lineRule="auto"/>
              <w:ind w:firstLine="6240" w:firstLineChars="2600"/>
              <w:rPr>
                <w:rFonts w:ascii="仿宋" w:hAnsi="仿宋" w:eastAsia="仿宋"/>
                <w:color w:val="auto"/>
                <w:highlight w:val="none"/>
                <w:u w:val="single"/>
              </w:rPr>
            </w:pPr>
            <w:r>
              <w:rPr>
                <w:rFonts w:hint="eastAsia" w:ascii="仿宋" w:hAnsi="仿宋" w:eastAsia="仿宋" w:cs="仿宋"/>
                <w:color w:val="auto"/>
                <w:highlight w:val="none"/>
              </w:rPr>
              <w:t>承　包　人（章）</w:t>
            </w:r>
          </w:p>
          <w:p>
            <w:pPr>
              <w:spacing w:line="360" w:lineRule="auto"/>
              <w:ind w:firstLine="6240" w:firstLineChars="2600"/>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240" w:firstLineChars="26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pStyle w:val="22"/>
        <w:adjustRightInd w:val="0"/>
        <w:snapToGrid w:val="0"/>
        <w:ind w:left="720" w:hanging="720" w:hangingChars="300"/>
        <w:rPr>
          <w:rFonts w:ascii="仿宋" w:hAnsi="仿宋" w:eastAsia="仿宋"/>
          <w:color w:val="auto"/>
          <w:kern w:val="2"/>
          <w:sz w:val="24"/>
          <w:szCs w:val="24"/>
          <w:highlight w:val="none"/>
        </w:rPr>
      </w:pPr>
      <w:r>
        <w:rPr>
          <w:rFonts w:hint="eastAsia" w:ascii="仿宋" w:hAnsi="仿宋" w:eastAsia="仿宋" w:cs="仿宋"/>
          <w:color w:val="auto"/>
          <w:sz w:val="24"/>
          <w:szCs w:val="24"/>
          <w:highlight w:val="none"/>
        </w:rPr>
        <w:t>说明：本表一式五份，由承包人填制，承包人、监理人和造价咨询人各存一份，发包人存二份。</w:t>
      </w:r>
    </w:p>
    <w:p>
      <w:pPr>
        <w:spacing w:line="360" w:lineRule="auto"/>
        <w:rPr>
          <w:rFonts w:ascii="仿宋" w:hAnsi="仿宋" w:eastAsia="仿宋"/>
          <w:color w:val="auto"/>
          <w:highlight w:val="none"/>
          <w:lang w:eastAsia="zh-CN"/>
        </w:rPr>
        <w:sectPr>
          <w:pgSz w:w="11906" w:h="16838"/>
          <w:pgMar w:top="1304" w:right="1304" w:bottom="1304" w:left="1304" w:header="794" w:footer="850" w:gutter="0"/>
          <w:cols w:space="0" w:num="1"/>
          <w:docGrid w:linePitch="312" w:charSpace="0"/>
        </w:sectPr>
      </w:pPr>
    </w:p>
    <w:p>
      <w:pPr>
        <w:outlineLvl w:val="0"/>
        <w:rPr>
          <w:rFonts w:ascii="仿宋" w:hAnsi="仿宋" w:eastAsia="仿宋" w:cs="仿宋"/>
          <w:b/>
          <w:bCs/>
          <w:color w:val="auto"/>
          <w:highlight w:val="none"/>
          <w:lang w:eastAsia="zh-CN"/>
        </w:rPr>
      </w:pPr>
      <w:bookmarkStart w:id="1037" w:name="_Toc47694489"/>
      <w:bookmarkStart w:id="1038" w:name="_Toc32324"/>
      <w:bookmarkStart w:id="1039" w:name="_Toc31987049"/>
      <w:bookmarkStart w:id="1040" w:name="_Toc23437"/>
      <w:r>
        <w:rPr>
          <w:rFonts w:hint="eastAsia" w:ascii="仿宋" w:hAnsi="仿宋" w:eastAsia="仿宋" w:cs="仿宋"/>
          <w:b/>
          <w:bCs/>
          <w:color w:val="auto"/>
          <w:highlight w:val="none"/>
          <w:lang w:eastAsia="zh-CN"/>
        </w:rPr>
        <w:t>格式</w:t>
      </w:r>
      <w:bookmarkEnd w:id="1037"/>
      <w:bookmarkEnd w:id="1038"/>
      <w:bookmarkEnd w:id="1039"/>
      <w:r>
        <w:rPr>
          <w:rFonts w:hint="eastAsia" w:ascii="仿宋" w:hAnsi="仿宋" w:eastAsia="仿宋" w:cs="仿宋"/>
          <w:b/>
          <w:bCs/>
          <w:color w:val="auto"/>
          <w:highlight w:val="none"/>
          <w:lang w:eastAsia="zh-CN"/>
        </w:rPr>
        <w:t>26</w:t>
      </w:r>
      <w:bookmarkEnd w:id="1040"/>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工程设计费支付申请</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98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8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2" w:hRule="atLeast"/>
          <w:jc w:val="center"/>
        </w:trPr>
        <w:tc>
          <w:tcPr>
            <w:tcW w:w="9841" w:type="dxa"/>
            <w:tcBorders>
              <w:top w:val="single" w:color="auto" w:sz="6" w:space="0"/>
              <w:left w:val="single" w:color="auto" w:sz="6" w:space="0"/>
              <w:bottom w:val="single" w:color="auto" w:sz="4"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（造价咨询人全称）</w:t>
            </w:r>
          </w:p>
          <w:p>
            <w:pPr>
              <w:spacing w:line="360" w:lineRule="auto"/>
              <w:ind w:left="-28" w:firstLine="482"/>
              <w:rPr>
                <w:rFonts w:ascii="仿宋" w:hAnsi="仿宋" w:eastAsia="仿宋"/>
                <w:color w:val="auto"/>
                <w:highlight w:val="none"/>
                <w:lang w:eastAsia="zh-CN"/>
              </w:rPr>
            </w:pP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期间已完成了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的规定，现申请支付本期的工程设计费款额为（大写）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），请予以复核和确认，并在支付证书签发后按合同规定时间内支付。</w:t>
            </w:r>
          </w:p>
          <w:p>
            <w:pPr>
              <w:spacing w:line="360" w:lineRule="auto"/>
              <w:ind w:left="-28" w:firstLine="482"/>
              <w:rPr>
                <w:rFonts w:ascii="仿宋" w:hAnsi="仿宋" w:eastAsia="仿宋"/>
                <w:color w:val="auto"/>
                <w:highlight w:val="none"/>
              </w:rPr>
            </w:pPr>
            <w:r>
              <w:rPr>
                <w:rFonts w:hint="eastAsia" w:ascii="仿宋" w:hAnsi="仿宋" w:eastAsia="仿宋" w:cs="仿宋"/>
                <w:color w:val="auto"/>
                <w:highlight w:val="none"/>
              </w:rPr>
              <w:t>具体细目如下：</w:t>
            </w:r>
          </w:p>
          <w:tbl>
            <w:tblPr>
              <w:tblStyle w:val="42"/>
              <w:tblW w:w="9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861"/>
              <w:gridCol w:w="1424"/>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名           称</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金 额（元）</w:t>
                  </w: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累计已完工程设计费价款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累计已实际支付的工程设计费价款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本期间已完设计价款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6</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本期间应支付的变更价款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7</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8</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9</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10</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11</w:t>
                  </w: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486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本期间应支付的工程设计费价款</w:t>
                  </w:r>
                </w:p>
              </w:tc>
              <w:tc>
                <w:tcPr>
                  <w:tcW w:w="14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42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bl>
          <w:p>
            <w:pPr>
              <w:tabs>
                <w:tab w:val="left" w:pos="6912"/>
              </w:tabs>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附：</w:t>
            </w:r>
          </w:p>
          <w:p>
            <w:pPr>
              <w:tabs>
                <w:tab w:val="left" w:pos="6912"/>
              </w:tabs>
              <w:spacing w:line="360" w:lineRule="auto"/>
              <w:ind w:left="420"/>
              <w:rPr>
                <w:rFonts w:ascii="仿宋" w:hAnsi="仿宋" w:eastAsia="仿宋"/>
                <w:color w:val="auto"/>
                <w:highlight w:val="none"/>
                <w:lang w:eastAsia="zh-CN"/>
              </w:rPr>
            </w:pPr>
            <w:r>
              <w:rPr>
                <w:rFonts w:hint="eastAsia" w:ascii="仿宋" w:hAnsi="仿宋" w:eastAsia="仿宋" w:cs="仿宋"/>
                <w:color w:val="auto"/>
                <w:highlight w:val="none"/>
                <w:lang w:eastAsia="zh-CN"/>
              </w:rPr>
              <w:t>1. 有关证明资料；</w:t>
            </w:r>
          </w:p>
          <w:p>
            <w:pPr>
              <w:tabs>
                <w:tab w:val="left" w:pos="6912"/>
              </w:tabs>
              <w:spacing w:line="360" w:lineRule="auto"/>
              <w:ind w:left="420"/>
              <w:rPr>
                <w:rFonts w:ascii="仿宋" w:hAnsi="仿宋" w:eastAsia="仿宋"/>
                <w:color w:val="auto"/>
                <w:highlight w:val="none"/>
                <w:lang w:eastAsia="zh-CN"/>
              </w:rPr>
            </w:pPr>
            <w:r>
              <w:rPr>
                <w:rFonts w:hint="eastAsia" w:ascii="仿宋" w:hAnsi="仿宋" w:eastAsia="仿宋" w:cs="仿宋"/>
                <w:color w:val="auto"/>
                <w:highlight w:val="none"/>
                <w:lang w:eastAsia="zh-CN"/>
              </w:rPr>
              <w:t>2. 计算过程及说明。</w:t>
            </w:r>
          </w:p>
          <w:p>
            <w:pPr>
              <w:tabs>
                <w:tab w:val="left" w:pos="6912"/>
              </w:tabs>
              <w:spacing w:line="360" w:lineRule="auto"/>
              <w:ind w:firstLine="6240" w:firstLineChars="2600"/>
              <w:rPr>
                <w:rFonts w:ascii="仿宋" w:hAnsi="仿宋" w:eastAsia="仿宋"/>
                <w:color w:val="auto"/>
                <w:highlight w:val="none"/>
                <w:u w:val="single"/>
              </w:rPr>
            </w:pPr>
            <w:r>
              <w:rPr>
                <w:rFonts w:hint="eastAsia" w:ascii="仿宋" w:hAnsi="仿宋" w:eastAsia="仿宋" w:cs="仿宋"/>
                <w:color w:val="auto"/>
                <w:highlight w:val="none"/>
              </w:rPr>
              <w:t>承　包　人（章）</w:t>
            </w:r>
          </w:p>
          <w:p>
            <w:pPr>
              <w:spacing w:line="360" w:lineRule="auto"/>
              <w:ind w:firstLine="6240" w:firstLineChars="2600"/>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240" w:firstLineChars="26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pStyle w:val="22"/>
        <w:adjustRightInd w:val="0"/>
        <w:snapToGrid w:val="0"/>
        <w:ind w:left="720" w:hanging="720" w:hangingChars="300"/>
        <w:rPr>
          <w:rFonts w:ascii="仿宋" w:hAnsi="仿宋" w:eastAsia="仿宋"/>
          <w:color w:val="auto"/>
          <w:kern w:val="2"/>
          <w:sz w:val="24"/>
          <w:szCs w:val="24"/>
          <w:highlight w:val="none"/>
        </w:rPr>
      </w:pPr>
      <w:r>
        <w:rPr>
          <w:rFonts w:hint="eastAsia" w:ascii="仿宋" w:hAnsi="仿宋" w:eastAsia="仿宋" w:cs="仿宋"/>
          <w:color w:val="auto"/>
          <w:sz w:val="24"/>
          <w:szCs w:val="24"/>
          <w:highlight w:val="none"/>
        </w:rPr>
        <w:t>说明：本表一式五份，由承包人填制，承包人、监理人和造价咨询人各存一份，发包人存二份。</w:t>
      </w:r>
    </w:p>
    <w:p>
      <w:pPr>
        <w:spacing w:line="360" w:lineRule="auto"/>
        <w:rPr>
          <w:rFonts w:ascii="仿宋" w:hAnsi="仿宋" w:eastAsia="仿宋"/>
          <w:color w:val="auto"/>
          <w:highlight w:val="none"/>
          <w:lang w:eastAsia="zh-CN"/>
        </w:rPr>
        <w:sectPr>
          <w:pgSz w:w="11906" w:h="16838"/>
          <w:pgMar w:top="1304" w:right="1304" w:bottom="1304" w:left="1304" w:header="794" w:footer="850" w:gutter="0"/>
          <w:cols w:space="0" w:num="1"/>
          <w:docGrid w:linePitch="312" w:charSpace="0"/>
        </w:sectPr>
      </w:pPr>
    </w:p>
    <w:p>
      <w:pPr>
        <w:outlineLvl w:val="0"/>
        <w:rPr>
          <w:rFonts w:ascii="仿宋" w:hAnsi="仿宋" w:eastAsia="仿宋" w:cs="仿宋"/>
          <w:b/>
          <w:bCs/>
          <w:color w:val="auto"/>
          <w:highlight w:val="none"/>
          <w:lang w:eastAsia="zh-CN"/>
        </w:rPr>
      </w:pPr>
      <w:bookmarkStart w:id="1041" w:name="_Toc47694490"/>
      <w:bookmarkStart w:id="1042" w:name="_Toc31987050"/>
      <w:bookmarkStart w:id="1043" w:name="_Toc19792"/>
      <w:bookmarkStart w:id="1044" w:name="_Toc4347"/>
      <w:r>
        <w:rPr>
          <w:rFonts w:hint="eastAsia" w:ascii="仿宋" w:hAnsi="仿宋" w:eastAsia="仿宋" w:cs="仿宋"/>
          <w:b/>
          <w:bCs/>
          <w:color w:val="auto"/>
          <w:highlight w:val="none"/>
          <w:lang w:eastAsia="zh-CN"/>
        </w:rPr>
        <w:t>格式</w:t>
      </w:r>
      <w:bookmarkEnd w:id="1041"/>
      <w:bookmarkEnd w:id="1042"/>
      <w:bookmarkEnd w:id="1043"/>
      <w:r>
        <w:rPr>
          <w:rFonts w:hint="eastAsia" w:ascii="仿宋" w:hAnsi="仿宋" w:eastAsia="仿宋" w:cs="仿宋"/>
          <w:b/>
          <w:bCs/>
          <w:color w:val="auto"/>
          <w:highlight w:val="none"/>
          <w:lang w:eastAsia="zh-CN"/>
        </w:rPr>
        <w:t>27</w:t>
      </w:r>
      <w:bookmarkEnd w:id="1044"/>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采购费支付申请</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938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2" w:hRule="atLeast"/>
          <w:jc w:val="center"/>
        </w:trPr>
        <w:tc>
          <w:tcPr>
            <w:tcW w:w="9385" w:type="dxa"/>
            <w:tcBorders>
              <w:top w:val="single" w:color="auto" w:sz="6" w:space="0"/>
              <w:left w:val="single" w:color="auto" w:sz="6" w:space="0"/>
              <w:bottom w:val="single" w:color="auto" w:sz="4"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（造价咨询人全称）</w:t>
            </w:r>
          </w:p>
          <w:p>
            <w:pPr>
              <w:spacing w:line="240" w:lineRule="exact"/>
              <w:ind w:left="-28" w:firstLine="482"/>
              <w:rPr>
                <w:rFonts w:ascii="仿宋" w:hAnsi="仿宋" w:eastAsia="仿宋"/>
                <w:color w:val="auto"/>
                <w:sz w:val="18"/>
                <w:szCs w:val="18"/>
                <w:highlight w:val="none"/>
                <w:lang w:eastAsia="zh-CN"/>
              </w:rPr>
            </w:pP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期间已完成了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的规定，现申请支付本期的采购费款额为（大写）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），请予以复核和确认，并在支付证书签发后按合同规定时间内支付。</w:t>
            </w:r>
          </w:p>
          <w:p>
            <w:pPr>
              <w:spacing w:line="360" w:lineRule="auto"/>
              <w:ind w:left="-28" w:firstLine="482"/>
              <w:rPr>
                <w:rFonts w:ascii="仿宋" w:hAnsi="仿宋" w:eastAsia="仿宋"/>
                <w:color w:val="auto"/>
                <w:highlight w:val="none"/>
              </w:rPr>
            </w:pPr>
            <w:r>
              <w:rPr>
                <w:rFonts w:hint="eastAsia" w:ascii="仿宋" w:hAnsi="仿宋" w:eastAsia="仿宋" w:cs="仿宋"/>
                <w:color w:val="auto"/>
                <w:highlight w:val="none"/>
              </w:rPr>
              <w:t>具体细目如下：</w:t>
            </w:r>
          </w:p>
          <w:tbl>
            <w:tblPr>
              <w:tblStyle w:val="42"/>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503"/>
              <w:gridCol w:w="1623"/>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名           称</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金 额（元）</w:t>
                  </w: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累计已完采购价款</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累计已实际支付的采购价款</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本期间已采购价款</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6</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本期间应支付的变更价款</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7</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8</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9</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10</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11</w:t>
                  </w: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45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本期间应支付的采购价款</w:t>
                  </w:r>
                </w:p>
              </w:tc>
              <w:tc>
                <w:tcPr>
                  <w:tcW w:w="16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1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bl>
          <w:p>
            <w:pPr>
              <w:tabs>
                <w:tab w:val="left" w:pos="6912"/>
              </w:tabs>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附：</w:t>
            </w:r>
          </w:p>
          <w:p>
            <w:pPr>
              <w:tabs>
                <w:tab w:val="left" w:pos="6912"/>
              </w:tabs>
              <w:spacing w:line="360" w:lineRule="auto"/>
              <w:ind w:left="420"/>
              <w:rPr>
                <w:rFonts w:ascii="仿宋" w:hAnsi="仿宋" w:eastAsia="仿宋"/>
                <w:color w:val="auto"/>
                <w:highlight w:val="none"/>
                <w:lang w:eastAsia="zh-CN"/>
              </w:rPr>
            </w:pPr>
            <w:r>
              <w:rPr>
                <w:rFonts w:hint="eastAsia" w:ascii="仿宋" w:hAnsi="仿宋" w:eastAsia="仿宋" w:cs="仿宋"/>
                <w:color w:val="auto"/>
                <w:highlight w:val="none"/>
                <w:lang w:eastAsia="zh-CN"/>
              </w:rPr>
              <w:t>1. 有关证明资料；</w:t>
            </w:r>
          </w:p>
          <w:p>
            <w:pPr>
              <w:tabs>
                <w:tab w:val="left" w:pos="6912"/>
              </w:tabs>
              <w:spacing w:line="360" w:lineRule="auto"/>
              <w:ind w:left="420"/>
              <w:rPr>
                <w:rFonts w:ascii="仿宋" w:hAnsi="仿宋" w:eastAsia="仿宋"/>
                <w:color w:val="auto"/>
                <w:highlight w:val="none"/>
                <w:lang w:eastAsia="zh-CN"/>
              </w:rPr>
            </w:pPr>
            <w:r>
              <w:rPr>
                <w:rFonts w:hint="eastAsia" w:ascii="仿宋" w:hAnsi="仿宋" w:eastAsia="仿宋" w:cs="仿宋"/>
                <w:color w:val="auto"/>
                <w:highlight w:val="none"/>
                <w:lang w:eastAsia="zh-CN"/>
              </w:rPr>
              <w:t>2. 计算过程及说明。</w:t>
            </w:r>
          </w:p>
          <w:p>
            <w:pPr>
              <w:tabs>
                <w:tab w:val="left" w:pos="6912"/>
              </w:tabs>
              <w:spacing w:line="360" w:lineRule="auto"/>
              <w:ind w:firstLine="6240" w:firstLineChars="2600"/>
              <w:rPr>
                <w:rFonts w:ascii="仿宋" w:hAnsi="仿宋" w:eastAsia="仿宋"/>
                <w:color w:val="auto"/>
                <w:highlight w:val="none"/>
                <w:u w:val="single"/>
              </w:rPr>
            </w:pPr>
            <w:r>
              <w:rPr>
                <w:rFonts w:hint="eastAsia" w:ascii="仿宋" w:hAnsi="仿宋" w:eastAsia="仿宋" w:cs="仿宋"/>
                <w:color w:val="auto"/>
                <w:highlight w:val="none"/>
              </w:rPr>
              <w:t>承　包　人（章）</w:t>
            </w:r>
          </w:p>
          <w:p>
            <w:pPr>
              <w:spacing w:line="360" w:lineRule="auto"/>
              <w:ind w:firstLine="6240" w:firstLineChars="2600"/>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240" w:firstLineChars="26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pStyle w:val="22"/>
        <w:adjustRightInd w:val="0"/>
        <w:snapToGrid w:val="0"/>
        <w:ind w:left="720" w:hanging="720" w:hangingChars="300"/>
        <w:rPr>
          <w:rFonts w:ascii="仿宋" w:hAnsi="仿宋" w:eastAsia="仿宋"/>
          <w:color w:val="auto"/>
          <w:kern w:val="2"/>
          <w:sz w:val="24"/>
          <w:szCs w:val="24"/>
          <w:highlight w:val="none"/>
        </w:rPr>
      </w:pPr>
      <w:r>
        <w:rPr>
          <w:rFonts w:hint="eastAsia" w:ascii="仿宋" w:hAnsi="仿宋" w:eastAsia="仿宋" w:cs="仿宋"/>
          <w:color w:val="auto"/>
          <w:sz w:val="24"/>
          <w:szCs w:val="24"/>
          <w:highlight w:val="none"/>
        </w:rPr>
        <w:t>说明：本表一式五份，由承包人填制，承包人、监理人和造价咨询人各存一份，发包人存二份。</w:t>
      </w:r>
    </w:p>
    <w:p>
      <w:pPr>
        <w:spacing w:line="360" w:lineRule="auto"/>
        <w:outlineLvl w:val="0"/>
        <w:rPr>
          <w:rFonts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1045" w:name="_Toc28113"/>
      <w:bookmarkStart w:id="1046" w:name="_Toc47694491"/>
      <w:bookmarkStart w:id="1047" w:name="_Toc1572"/>
      <w:r>
        <w:rPr>
          <w:rFonts w:hint="eastAsia" w:ascii="仿宋" w:hAnsi="仿宋" w:eastAsia="仿宋" w:cs="仿宋"/>
          <w:b/>
          <w:bCs/>
          <w:color w:val="auto"/>
          <w:highlight w:val="none"/>
          <w:lang w:eastAsia="zh-CN"/>
        </w:rPr>
        <w:t>格式</w:t>
      </w:r>
      <w:bookmarkEnd w:id="1045"/>
      <w:bookmarkEnd w:id="1046"/>
      <w:r>
        <w:rPr>
          <w:rFonts w:hint="eastAsia" w:ascii="仿宋" w:hAnsi="仿宋" w:eastAsia="仿宋" w:cs="仿宋"/>
          <w:b/>
          <w:bCs/>
          <w:color w:val="auto"/>
          <w:highlight w:val="none"/>
          <w:lang w:eastAsia="zh-CN"/>
        </w:rPr>
        <w:t>28</w:t>
      </w:r>
      <w:bookmarkEnd w:id="1047"/>
    </w:p>
    <w:p>
      <w:pPr>
        <w:spacing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建筑安装工程费支付申请</w:t>
      </w:r>
    </w:p>
    <w:p>
      <w:pPr>
        <w:spacing w:line="360" w:lineRule="auto"/>
        <w:rPr>
          <w:rFonts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编号:</w:t>
      </w:r>
    </w:p>
    <w:tbl>
      <w:tblPr>
        <w:tblStyle w:val="42"/>
        <w:tblW w:w="940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2" w:hRule="atLeast"/>
          <w:jc w:val="center"/>
        </w:trPr>
        <w:tc>
          <w:tcPr>
            <w:tcW w:w="9409" w:type="dxa"/>
            <w:tcBorders>
              <w:top w:val="single" w:color="auto" w:sz="6" w:space="0"/>
              <w:left w:val="single" w:color="auto" w:sz="6" w:space="0"/>
              <w:bottom w:val="single" w:color="auto" w:sz="4"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（造价咨询人全称）</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期间已完成了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的规定，现申请支付本期的工程款额为（大写）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），请予以复核和确认，并在支付证书签发后按合同规定时间内支付。</w:t>
            </w:r>
          </w:p>
          <w:p>
            <w:pPr>
              <w:spacing w:line="360" w:lineRule="auto"/>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具体细目如下：</w:t>
            </w:r>
          </w:p>
          <w:tbl>
            <w:tblPr>
              <w:tblStyle w:val="42"/>
              <w:tblW w:w="9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558"/>
              <w:gridCol w:w="1727"/>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序号</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名           称</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金 额（元）</w:t>
                  </w: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1</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累计已完工程价款</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2</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累计已实际支付的工程价款</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本期间已完工程价款</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6</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本期间应支付的工程变更价款</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根据第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7</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本期间应支付的绿色施工安全防护措施费</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根据第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8</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根据第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9</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根据第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10</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根据第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11</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12</w:t>
                  </w: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4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本期间应支付的工程价款</w:t>
                  </w:r>
                </w:p>
              </w:tc>
              <w:tc>
                <w:tcPr>
                  <w:tcW w:w="17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lang w:eastAsia="zh-CN"/>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olor w:val="auto"/>
                      <w:highlight w:val="none"/>
                      <w:lang w:eastAsia="zh-CN"/>
                    </w:rPr>
                  </w:pPr>
                </w:p>
              </w:tc>
            </w:tr>
          </w:tbl>
          <w:p>
            <w:pPr>
              <w:tabs>
                <w:tab w:val="left" w:pos="6912"/>
              </w:tabs>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附：</w:t>
            </w:r>
          </w:p>
          <w:p>
            <w:pPr>
              <w:tabs>
                <w:tab w:val="left" w:pos="6912"/>
              </w:tabs>
              <w:spacing w:line="360" w:lineRule="auto"/>
              <w:ind w:left="420"/>
              <w:rPr>
                <w:rFonts w:ascii="仿宋" w:hAnsi="仿宋" w:eastAsia="仿宋"/>
                <w:color w:val="auto"/>
                <w:highlight w:val="none"/>
                <w:lang w:eastAsia="zh-CN"/>
              </w:rPr>
            </w:pPr>
            <w:r>
              <w:rPr>
                <w:rFonts w:hint="eastAsia" w:ascii="仿宋" w:hAnsi="仿宋" w:eastAsia="仿宋" w:cs="仿宋"/>
                <w:color w:val="auto"/>
                <w:highlight w:val="none"/>
                <w:lang w:eastAsia="zh-CN"/>
              </w:rPr>
              <w:t>1. 有关证明资料；</w:t>
            </w:r>
          </w:p>
          <w:p>
            <w:pPr>
              <w:tabs>
                <w:tab w:val="left" w:pos="6912"/>
              </w:tabs>
              <w:spacing w:line="360" w:lineRule="auto"/>
              <w:ind w:left="420"/>
              <w:rPr>
                <w:rFonts w:ascii="仿宋" w:hAnsi="仿宋" w:eastAsia="仿宋"/>
                <w:color w:val="auto"/>
                <w:highlight w:val="none"/>
                <w:lang w:eastAsia="zh-CN"/>
              </w:rPr>
            </w:pPr>
            <w:r>
              <w:rPr>
                <w:rFonts w:hint="eastAsia" w:ascii="仿宋" w:hAnsi="仿宋" w:eastAsia="仿宋" w:cs="仿宋"/>
                <w:color w:val="auto"/>
                <w:highlight w:val="none"/>
                <w:lang w:eastAsia="zh-CN"/>
              </w:rPr>
              <w:t>2. 计算过程及说明。</w:t>
            </w:r>
          </w:p>
          <w:p>
            <w:pPr>
              <w:tabs>
                <w:tab w:val="left" w:pos="6912"/>
              </w:tabs>
              <w:spacing w:line="360" w:lineRule="auto"/>
              <w:ind w:firstLine="6480" w:firstLineChars="2700"/>
              <w:rPr>
                <w:rFonts w:ascii="仿宋" w:hAnsi="仿宋" w:eastAsia="仿宋"/>
                <w:color w:val="auto"/>
                <w:highlight w:val="none"/>
                <w:u w:val="single"/>
              </w:rPr>
            </w:pPr>
            <w:r>
              <w:rPr>
                <w:rFonts w:hint="eastAsia" w:ascii="仿宋" w:hAnsi="仿宋" w:eastAsia="仿宋" w:cs="仿宋"/>
                <w:color w:val="auto"/>
                <w:highlight w:val="none"/>
              </w:rPr>
              <w:t>承　包　人（章）</w:t>
            </w:r>
          </w:p>
          <w:p>
            <w:pPr>
              <w:spacing w:line="360" w:lineRule="auto"/>
              <w:ind w:firstLine="6480" w:firstLineChars="2700"/>
              <w:rPr>
                <w:rFonts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480" w:firstLineChars="27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pStyle w:val="22"/>
        <w:adjustRightInd w:val="0"/>
        <w:snapToGrid w:val="0"/>
        <w:ind w:left="720" w:hanging="720" w:hangingChars="300"/>
        <w:rPr>
          <w:rFonts w:ascii="仿宋" w:hAnsi="仿宋" w:eastAsia="仿宋"/>
          <w:color w:val="auto"/>
          <w:kern w:val="2"/>
          <w:sz w:val="24"/>
          <w:szCs w:val="24"/>
          <w:highlight w:val="none"/>
        </w:rPr>
      </w:pPr>
      <w:r>
        <w:rPr>
          <w:rFonts w:hint="eastAsia" w:ascii="仿宋" w:hAnsi="仿宋" w:eastAsia="仿宋" w:cs="仿宋"/>
          <w:color w:val="auto"/>
          <w:sz w:val="24"/>
          <w:szCs w:val="24"/>
          <w:highlight w:val="none"/>
        </w:rPr>
        <w:t>说明：本表一式五份，由承包人填制，承包人、监理单位和造价咨询单位各存一份，发包人存二份。</w:t>
      </w:r>
    </w:p>
    <w:p>
      <w:pPr>
        <w:spacing w:line="360" w:lineRule="auto"/>
        <w:outlineLvl w:val="0"/>
        <w:rPr>
          <w:rFonts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1048" w:name="_Toc47694492"/>
      <w:bookmarkStart w:id="1049" w:name="_Toc20821"/>
      <w:bookmarkStart w:id="1050" w:name="_Toc31934"/>
      <w:r>
        <w:rPr>
          <w:rFonts w:hint="eastAsia" w:ascii="仿宋" w:hAnsi="仿宋" w:eastAsia="仿宋" w:cs="仿宋"/>
          <w:b/>
          <w:bCs/>
          <w:color w:val="auto"/>
          <w:highlight w:val="none"/>
          <w:lang w:eastAsia="zh-CN"/>
        </w:rPr>
        <w:t>格式</w:t>
      </w:r>
      <w:bookmarkEnd w:id="1048"/>
      <w:bookmarkEnd w:id="1049"/>
      <w:r>
        <w:rPr>
          <w:rFonts w:hint="eastAsia" w:ascii="仿宋" w:hAnsi="仿宋" w:eastAsia="仿宋" w:cs="仿宋"/>
          <w:b/>
          <w:bCs/>
          <w:color w:val="auto"/>
          <w:highlight w:val="none"/>
          <w:lang w:eastAsia="zh-CN"/>
        </w:rPr>
        <w:t>29</w:t>
      </w:r>
      <w:bookmarkEnd w:id="1050"/>
    </w:p>
    <w:p>
      <w:pPr>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支付证书</w:t>
      </w:r>
    </w:p>
    <w:p>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42"/>
        <w:tblW w:w="958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5"/>
        <w:gridCol w:w="4725"/>
        <w:gridCol w:w="1576"/>
        <w:gridCol w:w="23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8" w:hRule="atLeast"/>
          <w:jc w:val="center"/>
        </w:trPr>
        <w:tc>
          <w:tcPr>
            <w:tcW w:w="9587" w:type="dxa"/>
            <w:gridSpan w:val="4"/>
            <w:tcBorders>
              <w:top w:val="single" w:color="auto" w:sz="6" w:space="0"/>
              <w:left w:val="single" w:color="auto" w:sz="6" w:space="0"/>
              <w:bottom w:val="single" w:color="auto" w:sz="4" w:space="0"/>
              <w:right w:val="single" w:color="auto" w:sz="6" w:space="0"/>
            </w:tcBorders>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pPr>
              <w:ind w:left="-28"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的规定，经核实承包人提出的已完工程款额报告（编号   　 ）和支付申请报告（编号      　），于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期间,同意本期间支付工程款（大写）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）。请按合同规定时间内向承包人支付工程价款。其中：</w:t>
            </w:r>
          </w:p>
          <w:p>
            <w:pPr>
              <w:spacing w:line="360" w:lineRule="exact"/>
              <w:rPr>
                <w:rFonts w:ascii="仿宋" w:hAnsi="仿宋" w:eastAsia="仿宋"/>
                <w:color w:val="auto"/>
                <w:highlight w:val="none"/>
                <w:lang w:eastAsia="zh-CN"/>
              </w:rPr>
            </w:pPr>
            <w:r>
              <w:rPr>
                <w:rFonts w:hint="eastAsia" w:ascii="仿宋" w:hAnsi="仿宋" w:eastAsia="仿宋" w:cs="仿宋"/>
                <w:color w:val="auto"/>
                <w:highlight w:val="none"/>
                <w:lang w:eastAsia="zh-CN"/>
              </w:rPr>
              <w:t>１．承包人申报款为：</w:t>
            </w:r>
          </w:p>
          <w:p>
            <w:pPr>
              <w:spacing w:line="360" w:lineRule="exact"/>
              <w:rPr>
                <w:rFonts w:ascii="仿宋" w:hAnsi="仿宋" w:eastAsia="仿宋"/>
                <w:color w:val="auto"/>
                <w:highlight w:val="none"/>
                <w:lang w:eastAsia="zh-CN"/>
              </w:rPr>
            </w:pPr>
            <w:r>
              <w:rPr>
                <w:rFonts w:hint="eastAsia" w:ascii="仿宋" w:hAnsi="仿宋" w:eastAsia="仿宋" w:cs="仿宋"/>
                <w:color w:val="auto"/>
                <w:highlight w:val="none"/>
                <w:lang w:eastAsia="zh-CN"/>
              </w:rPr>
              <w:t>２．经复核承包人应得款为：</w:t>
            </w:r>
          </w:p>
          <w:p>
            <w:pPr>
              <w:spacing w:line="360" w:lineRule="exact"/>
              <w:rPr>
                <w:rFonts w:ascii="仿宋" w:hAnsi="仿宋" w:eastAsia="仿宋"/>
                <w:color w:val="auto"/>
                <w:highlight w:val="none"/>
                <w:lang w:eastAsia="zh-CN"/>
              </w:rPr>
            </w:pPr>
            <w:r>
              <w:rPr>
                <w:rFonts w:hint="eastAsia" w:ascii="仿宋" w:hAnsi="仿宋" w:eastAsia="仿宋" w:cs="仿宋"/>
                <w:color w:val="auto"/>
                <w:highlight w:val="none"/>
                <w:lang w:eastAsia="zh-CN"/>
              </w:rPr>
              <w:t>３．本期应扣款为：</w:t>
            </w:r>
          </w:p>
          <w:p>
            <w:pPr>
              <w:spacing w:line="360" w:lineRule="exact"/>
              <w:rPr>
                <w:rFonts w:ascii="仿宋" w:hAnsi="仿宋" w:eastAsia="仿宋"/>
                <w:color w:val="auto"/>
                <w:highlight w:val="none"/>
                <w:lang w:eastAsia="zh-CN"/>
              </w:rPr>
            </w:pPr>
            <w:r>
              <w:rPr>
                <w:rFonts w:hint="eastAsia" w:ascii="仿宋" w:hAnsi="仿宋" w:eastAsia="仿宋" w:cs="仿宋"/>
                <w:color w:val="auto"/>
                <w:highlight w:val="none"/>
                <w:lang w:eastAsia="zh-CN"/>
              </w:rPr>
              <w:t>４．本期应付款为：</w:t>
            </w:r>
          </w:p>
          <w:p>
            <w:pPr>
              <w:spacing w:line="360" w:lineRule="exact"/>
              <w:ind w:firstLine="506" w:firstLineChars="211"/>
              <w:rPr>
                <w:rFonts w:ascii="仿宋" w:hAnsi="仿宋" w:eastAsia="仿宋"/>
                <w:color w:val="auto"/>
                <w:highlight w:val="none"/>
                <w:u w:val="single"/>
              </w:rPr>
            </w:pPr>
            <w:r>
              <w:rPr>
                <w:rFonts w:hint="eastAsia" w:ascii="仿宋" w:hAnsi="仿宋" w:eastAsia="仿宋"/>
                <w:color w:val="auto"/>
                <w:highlight w:val="none"/>
                <w:lang w:eastAsia="zh-CN"/>
              </w:rPr>
              <w:t>具体细目如下</w:t>
            </w:r>
            <w:r>
              <w:rPr>
                <w:rFonts w:hint="eastAsia" w:ascii="仿宋" w:hAnsi="仿宋" w:eastAsia="仿宋" w:cs="仿宋"/>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945" w:type="dxa"/>
            <w:tcBorders>
              <w:top w:val="single" w:color="auto" w:sz="4" w:space="0"/>
              <w:left w:val="single" w:color="auto" w:sz="6" w:space="0"/>
              <w:bottom w:val="single" w:color="auto" w:sz="4" w:space="0"/>
              <w:right w:val="single" w:color="auto" w:sz="4" w:space="0"/>
            </w:tcBorders>
            <w:vAlign w:val="bottom"/>
          </w:tcPr>
          <w:p>
            <w:pPr>
              <w:tabs>
                <w:tab w:val="left" w:pos="6912"/>
              </w:tabs>
              <w:spacing w:line="360" w:lineRule="auto"/>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序号</w:t>
            </w:r>
          </w:p>
        </w:tc>
        <w:tc>
          <w:tcPr>
            <w:tcW w:w="4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名           称</w:t>
            </w:r>
          </w:p>
        </w:tc>
        <w:tc>
          <w:tcPr>
            <w:tcW w:w="15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金 额（元）</w:t>
            </w:r>
          </w:p>
        </w:tc>
        <w:tc>
          <w:tcPr>
            <w:tcW w:w="2341" w:type="dxa"/>
            <w:tcBorders>
              <w:top w:val="single" w:color="auto" w:sz="4" w:space="0"/>
              <w:left w:val="single" w:color="auto" w:sz="4" w:space="0"/>
              <w:bottom w:val="single" w:color="auto" w:sz="4" w:space="0"/>
              <w:right w:val="single" w:color="auto" w:sz="6"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       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1</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累计已完工程价款</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累计已实际支付的工程价款</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本期间已完工程价款</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4</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5</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6</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本期间应支付的工程变更价款</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   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7</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本期间应支付的绿色施工安全防护措施费</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      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8</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   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9</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    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10</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本期间应扣回的预付款</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   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11</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45" w:type="dxa"/>
            <w:tcBorders>
              <w:top w:val="single" w:color="auto" w:sz="4" w:space="0"/>
              <w:left w:val="single" w:color="auto" w:sz="6" w:space="0"/>
              <w:bottom w:val="single" w:color="auto" w:sz="4" w:space="0"/>
              <w:right w:val="single" w:color="auto" w:sz="4" w:space="0"/>
            </w:tcBorders>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12</w:t>
            </w:r>
          </w:p>
        </w:tc>
        <w:tc>
          <w:tcPr>
            <w:tcW w:w="472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57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color w:val="auto"/>
                <w:highlight w:val="none"/>
                <w:lang w:eastAsia="zh-CN"/>
              </w:rPr>
            </w:pPr>
          </w:p>
        </w:tc>
        <w:tc>
          <w:tcPr>
            <w:tcW w:w="2341" w:type="dxa"/>
            <w:tcBorders>
              <w:top w:val="single" w:color="auto" w:sz="4" w:space="0"/>
              <w:left w:val="single" w:color="auto" w:sz="4" w:space="0"/>
              <w:bottom w:val="single" w:color="auto" w:sz="4" w:space="0"/>
              <w:right w:val="single" w:color="auto" w:sz="6" w:space="0"/>
            </w:tcBorders>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11" w:hRule="atLeast"/>
          <w:jc w:val="center"/>
        </w:trPr>
        <w:tc>
          <w:tcPr>
            <w:tcW w:w="9587" w:type="dxa"/>
            <w:gridSpan w:val="4"/>
            <w:tcBorders>
              <w:top w:val="single" w:color="auto" w:sz="4" w:space="0"/>
              <w:left w:val="single" w:color="auto" w:sz="6" w:space="0"/>
              <w:bottom w:val="single" w:color="auto" w:sz="4" w:space="0"/>
              <w:right w:val="single" w:color="auto" w:sz="6" w:space="0"/>
            </w:tcBorders>
            <w:vAlign w:val="bottom"/>
          </w:tcPr>
          <w:p>
            <w:pPr>
              <w:tabs>
                <w:tab w:val="left" w:pos="6912"/>
              </w:tabs>
              <w:spacing w:line="360" w:lineRule="auto"/>
              <w:ind w:left="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附：</w:t>
            </w:r>
          </w:p>
          <w:p>
            <w:pPr>
              <w:tabs>
                <w:tab w:val="left" w:pos="6912"/>
              </w:tabs>
              <w:ind w:left="482"/>
              <w:rPr>
                <w:rFonts w:ascii="仿宋" w:hAnsi="仿宋" w:eastAsia="仿宋" w:cs="仿宋"/>
                <w:color w:val="auto"/>
                <w:highlight w:val="none"/>
                <w:lang w:eastAsia="zh-CN"/>
              </w:rPr>
            </w:pPr>
            <w:r>
              <w:rPr>
                <w:rFonts w:hint="eastAsia" w:ascii="仿宋" w:hAnsi="仿宋" w:eastAsia="仿宋" w:cs="仿宋"/>
                <w:color w:val="auto"/>
                <w:highlight w:val="none"/>
                <w:lang w:eastAsia="zh-CN"/>
              </w:rPr>
              <w:t>1. 已完工程款额明细审核表</w:t>
            </w:r>
          </w:p>
          <w:p>
            <w:pPr>
              <w:tabs>
                <w:tab w:val="left" w:pos="6912"/>
              </w:tabs>
              <w:ind w:left="482"/>
              <w:rPr>
                <w:rFonts w:ascii="仿宋" w:hAnsi="仿宋" w:eastAsia="仿宋"/>
                <w:color w:val="auto"/>
                <w:highlight w:val="none"/>
                <w:lang w:eastAsia="zh-CN"/>
              </w:rPr>
            </w:pPr>
            <w:r>
              <w:rPr>
                <w:rFonts w:hint="eastAsia" w:ascii="仿宋" w:hAnsi="仿宋" w:eastAsia="仿宋" w:cs="仿宋"/>
                <w:color w:val="auto"/>
                <w:highlight w:val="none"/>
                <w:lang w:eastAsia="zh-CN"/>
              </w:rPr>
              <w:t>2. 相关记录</w:t>
            </w:r>
          </w:p>
          <w:p>
            <w:pPr>
              <w:tabs>
                <w:tab w:val="left" w:pos="6912"/>
              </w:tabs>
              <w:spacing w:line="360" w:lineRule="auto"/>
              <w:ind w:firstLine="6000" w:firstLineChars="25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造价咨询人（章）           </w:t>
            </w:r>
          </w:p>
          <w:p>
            <w:pPr>
              <w:spacing w:line="360" w:lineRule="auto"/>
              <w:ind w:firstLine="6000"/>
              <w:rPr>
                <w:rFonts w:ascii="仿宋" w:hAnsi="仿宋" w:eastAsia="仿宋" w:cs="仿宋"/>
                <w:color w:val="auto"/>
                <w:highlight w:val="none"/>
                <w:u w:val="single"/>
              </w:rPr>
            </w:pPr>
            <w:r>
              <w:rPr>
                <w:rFonts w:hint="eastAsia" w:ascii="仿宋" w:hAnsi="仿宋" w:eastAsia="仿宋" w:cs="仿宋"/>
                <w:color w:val="auto"/>
                <w:highlight w:val="none"/>
              </w:rPr>
              <w:t>造价咨询人代表</w:t>
            </w:r>
            <w:r>
              <w:rPr>
                <w:rFonts w:hint="eastAsia" w:ascii="仿宋" w:hAnsi="仿宋" w:eastAsia="仿宋" w:cs="仿宋"/>
                <w:color w:val="auto"/>
                <w:highlight w:val="none"/>
                <w:u w:val="single"/>
              </w:rPr>
              <w:t xml:space="preserve">             </w:t>
            </w:r>
          </w:p>
          <w:p>
            <w:pPr>
              <w:tabs>
                <w:tab w:val="left" w:pos="7272"/>
              </w:tabs>
              <w:spacing w:line="360" w:lineRule="auto"/>
              <w:ind w:firstLine="6000"/>
              <w:rPr>
                <w:rFonts w:ascii="仿宋" w:hAnsi="仿宋" w:eastAsia="仿宋" w:cs="仿宋"/>
                <w:color w:val="auto"/>
                <w:highlight w:val="none"/>
                <w:lang w:eastAsia="zh-CN"/>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rPr>
              <w:t xml:space="preserve">      </w:t>
            </w:r>
          </w:p>
        </w:tc>
      </w:tr>
    </w:tbl>
    <w:p>
      <w:pPr>
        <w:pStyle w:val="22"/>
        <w:adjustRightInd w:val="0"/>
        <w:snapToGrid w:val="0"/>
        <w:ind w:left="674" w:leftChars="114" w:hanging="400" w:hangingChars="200"/>
        <w:rPr>
          <w:rFonts w:ascii="仿宋" w:hAnsi="仿宋" w:eastAsia="仿宋"/>
          <w:color w:val="auto"/>
          <w:kern w:val="2"/>
          <w:sz w:val="24"/>
          <w:szCs w:val="24"/>
          <w:highlight w:val="none"/>
        </w:rPr>
      </w:pPr>
      <w:r>
        <w:rPr>
          <w:rFonts w:hint="eastAsia" w:ascii="仿宋" w:hAnsi="仿宋" w:eastAsia="仿宋" w:cs="仿宋"/>
          <w:color w:val="auto"/>
          <w:highlight w:val="none"/>
        </w:rPr>
        <w:t>说明：本表一式四份，由造价咨询人填制，抄送承包人。发包人、监理人、造价咨询人和承包人各存一份</w:t>
      </w:r>
      <w:r>
        <w:rPr>
          <w:rFonts w:hint="eastAsia" w:ascii="仿宋" w:hAnsi="仿宋" w:eastAsia="仿宋" w:cs="仿宋"/>
          <w:color w:val="auto"/>
          <w:sz w:val="24"/>
          <w:szCs w:val="24"/>
          <w:highlight w:val="none"/>
        </w:rPr>
        <w:t>。</w:t>
      </w:r>
    </w:p>
    <w:p>
      <w:pPr>
        <w:spacing w:line="360" w:lineRule="auto"/>
        <w:outlineLvl w:val="0"/>
        <w:rPr>
          <w:rFonts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1051" w:name="_Toc19937"/>
      <w:bookmarkStart w:id="1052" w:name="_Toc47694493"/>
      <w:bookmarkStart w:id="1053" w:name="_Toc4955"/>
      <w:r>
        <w:rPr>
          <w:rFonts w:hint="eastAsia" w:ascii="仿宋" w:hAnsi="仿宋" w:eastAsia="仿宋" w:cs="仿宋"/>
          <w:b/>
          <w:bCs/>
          <w:color w:val="auto"/>
          <w:highlight w:val="none"/>
          <w:lang w:eastAsia="zh-CN"/>
        </w:rPr>
        <w:t>格式</w:t>
      </w:r>
      <w:bookmarkEnd w:id="1051"/>
      <w:bookmarkEnd w:id="1052"/>
      <w:r>
        <w:rPr>
          <w:rFonts w:hint="eastAsia" w:ascii="仿宋" w:hAnsi="仿宋" w:eastAsia="仿宋" w:cs="仿宋"/>
          <w:b/>
          <w:bCs/>
          <w:color w:val="auto"/>
          <w:highlight w:val="none"/>
          <w:lang w:eastAsia="zh-CN"/>
        </w:rPr>
        <w:t>30</w:t>
      </w:r>
      <w:bookmarkEnd w:id="1053"/>
    </w:p>
    <w:p>
      <w:pPr>
        <w:spacing w:before="240" w:beforeLines="100" w:after="240" w:afterLines="100" w:line="360" w:lineRule="auto"/>
        <w:jc w:val="center"/>
        <w:rPr>
          <w:rFonts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支付统计表</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工程名称：                                        编号：</w:t>
      </w:r>
    </w:p>
    <w:tbl>
      <w:tblPr>
        <w:tblStyle w:val="42"/>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962"/>
        <w:gridCol w:w="962"/>
        <w:gridCol w:w="963"/>
        <w:gridCol w:w="963"/>
        <w:gridCol w:w="963"/>
        <w:gridCol w:w="963"/>
        <w:gridCol w:w="963"/>
        <w:gridCol w:w="963"/>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jc w:val="center"/>
        </w:trPr>
        <w:tc>
          <w:tcPr>
            <w:tcW w:w="96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序号</w:t>
            </w:r>
          </w:p>
        </w:tc>
        <w:tc>
          <w:tcPr>
            <w:tcW w:w="96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支付证书编号</w:t>
            </w:r>
          </w:p>
        </w:tc>
        <w:tc>
          <w:tcPr>
            <w:tcW w:w="19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对应支付期间</w:t>
            </w:r>
          </w:p>
        </w:tc>
        <w:tc>
          <w:tcPr>
            <w:tcW w:w="192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期间已完工程</w:t>
            </w:r>
          </w:p>
        </w:tc>
        <w:tc>
          <w:tcPr>
            <w:tcW w:w="192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期间实际支付</w:t>
            </w:r>
          </w:p>
        </w:tc>
        <w:tc>
          <w:tcPr>
            <w:tcW w:w="96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已扣留的</w:t>
            </w:r>
          </w:p>
          <w:p>
            <w:pPr>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质量保证金（元）</w:t>
            </w:r>
          </w:p>
        </w:tc>
        <w:tc>
          <w:tcPr>
            <w:tcW w:w="96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96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auto"/>
                <w:highlight w:val="none"/>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开始日</w:t>
            </w:r>
          </w:p>
        </w:tc>
        <w:tc>
          <w:tcPr>
            <w:tcW w:w="96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截止日</w:t>
            </w:r>
          </w:p>
        </w:tc>
        <w:tc>
          <w:tcPr>
            <w:tcW w:w="96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金额（元）</w:t>
            </w:r>
          </w:p>
        </w:tc>
        <w:tc>
          <w:tcPr>
            <w:tcW w:w="96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最迟支付时间</w:t>
            </w:r>
          </w:p>
        </w:tc>
        <w:tc>
          <w:tcPr>
            <w:tcW w:w="96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金额 （元）</w:t>
            </w:r>
          </w:p>
        </w:tc>
        <w:tc>
          <w:tcPr>
            <w:tcW w:w="96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olor w:val="auto"/>
                <w:highlight w:val="none"/>
              </w:rPr>
            </w:pPr>
            <w:r>
              <w:rPr>
                <w:rFonts w:hint="eastAsia" w:ascii="仿宋" w:hAnsi="仿宋" w:eastAsia="仿宋" w:cs="仿宋"/>
                <w:color w:val="auto"/>
                <w:highlight w:val="none"/>
              </w:rPr>
              <w:t>时间</w:t>
            </w:r>
          </w:p>
        </w:tc>
        <w:tc>
          <w:tcPr>
            <w:tcW w:w="963"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auto"/>
                <w:highlight w:val="none"/>
              </w:rPr>
            </w:pPr>
          </w:p>
        </w:tc>
        <w:tc>
          <w:tcPr>
            <w:tcW w:w="963"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累计</w:t>
            </w:r>
          </w:p>
        </w:tc>
        <w:tc>
          <w:tcPr>
            <w:tcW w:w="962"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tcPr>
          <w:p>
            <w:pPr>
              <w:spacing w:line="360" w:lineRule="auto"/>
              <w:rPr>
                <w:rFonts w:ascii="仿宋" w:hAnsi="仿宋" w:eastAsia="仿宋"/>
                <w:color w:val="auto"/>
                <w:highlight w:val="none"/>
              </w:rPr>
            </w:pPr>
          </w:p>
        </w:tc>
      </w:tr>
    </w:tbl>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编制：                       复核：              编制日期：  　 年  　月　 日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说明：本表用于承包人、发包人的工程款额支付凭证统计和内部管理。</w:t>
      </w:r>
    </w:p>
    <w:bookmarkEnd w:id="682"/>
    <w:p>
      <w:pPr>
        <w:rPr>
          <w:color w:val="auto"/>
          <w:highlight w:val="none"/>
          <w:lang w:eastAsia="zh-CN"/>
        </w:rPr>
      </w:pPr>
    </w:p>
    <w:sectPr>
      <w:pgSz w:w="11906" w:h="16838"/>
      <w:pgMar w:top="1304" w:right="1304" w:bottom="1304" w:left="1304" w:header="794" w:footer="85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imSun-Identity-H">
    <w:altName w:val="黑体"/>
    <w:panose1 w:val="00000000000000000000"/>
    <w:charset w:val="86"/>
    <w:family w:val="auto"/>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lang w:eastAsia="zh-CN" w:bidi="ar-SA"/>
      </w:rPr>
      <mc:AlternateContent>
        <mc:Choice Requires="wps">
          <w:drawing>
            <wp:anchor distT="0" distB="0" distL="0" distR="0" simplePos="0" relativeHeight="251660288" behindDoc="1" locked="0" layoutInCell="1" allowOverlap="1">
              <wp:simplePos x="0" y="0"/>
              <wp:positionH relativeFrom="page">
                <wp:posOffset>3733800</wp:posOffset>
              </wp:positionH>
              <wp:positionV relativeFrom="page">
                <wp:posOffset>10066655</wp:posOffset>
              </wp:positionV>
              <wp:extent cx="48895" cy="85090"/>
              <wp:effectExtent l="0" t="0" r="0" b="0"/>
              <wp:wrapNone/>
              <wp:docPr id="449" name="Shape 5"/>
              <wp:cNvGraphicFramePr/>
              <a:graphic xmlns:a="http://schemas.openxmlformats.org/drawingml/2006/main">
                <a:graphicData uri="http://schemas.microsoft.com/office/word/2010/wordprocessingShape">
                  <wps:wsp>
                    <wps:cNvSpPr txBox="1"/>
                    <wps:spPr>
                      <a:xfrm>
                        <a:off x="0" y="0"/>
                        <a:ext cx="48895" cy="85090"/>
                      </a:xfrm>
                      <a:prstGeom prst="rect">
                        <a:avLst/>
                      </a:prstGeom>
                      <a:noFill/>
                    </wps:spPr>
                    <wps:txbx>
                      <w:txbxContent>
                        <w:p>
                          <w:pPr>
                            <w:pStyle w:val="168"/>
                            <w:rPr>
                              <w:sz w:val="18"/>
                              <w:szCs w:val="18"/>
                            </w:rPr>
                          </w:pPr>
                          <w:r>
                            <w:fldChar w:fldCharType="begin"/>
                          </w:r>
                          <w:r>
                            <w:instrText xml:space="preserve"> PAGE \* MERGEFORMAT </w:instrText>
                          </w:r>
                          <w:r>
                            <w:fldChar w:fldCharType="separate"/>
                          </w:r>
                          <w:r>
                            <w:rPr>
                              <w:rFonts w:ascii="Arial" w:hAnsi="Arial" w:eastAsia="Arial" w:cs="Arial"/>
                              <w:color w:val="000000"/>
                              <w:sz w:val="18"/>
                              <w:szCs w:val="18"/>
                            </w:rPr>
                            <w:t>8</w:t>
                          </w:r>
                          <w:r>
                            <w:rPr>
                              <w:rFonts w:ascii="Arial" w:hAnsi="Arial" w:eastAsia="Arial" w:cs="Arial"/>
                              <w:color w:val="000000"/>
                              <w:sz w:val="18"/>
                              <w:szCs w:val="18"/>
                            </w:rPr>
                            <w:fldChar w:fldCharType="end"/>
                          </w:r>
                        </w:p>
                      </w:txbxContent>
                    </wps:txbx>
                    <wps:bodyPr wrap="none" lIns="0" tIns="0" rIns="0" bIns="0">
                      <a:spAutoFit/>
                    </wps:bodyPr>
                  </wps:wsp>
                </a:graphicData>
              </a:graphic>
            </wp:anchor>
          </w:drawing>
        </mc:Choice>
        <mc:Fallback>
          <w:pict>
            <v:shape id="Shape 5" o:spid="_x0000_s1026" o:spt="202" type="#_x0000_t202" style="position:absolute;left:0pt;margin-left:294pt;margin-top:792.65pt;height:6.7pt;width:3.85pt;mso-position-horizontal-relative:page;mso-position-vertical-relative:page;mso-wrap-style:none;z-index:-251656192;mso-width-relative:page;mso-height-relative:page;" filled="f" stroked="f" coordsize="21600,21600" o:gfxdata="UEsDBAoAAAAAAIdO4kAAAAAAAAAAAAAAAAAEAAAAZHJzL1BLAwQUAAAACACHTuJA97hueNgAAAAN&#10;AQAADwAAAGRycy9kb3ducmV2LnhtbE2PwU7DMBBE70j8g7VI3KhTkImbxumhEhduFITEzY23cVR7&#10;HcVumvw97gmOOzOafVPvZu/YhGPsAylYrwpgSG0wPXUKvj7fniSwmDQZ7QKhggUj7Jr7u1pXJlzp&#10;A6dD6lguoVhpBTaloeI8tha9jqswIGXvFEavUz7HjptRX3O5d/y5KF651z3lD1YPuLfYng8Xr6Cc&#10;vwMOEff4c5ra0faLdO+LUo8P62ILLOGc/sJww8/o0GSmY7iQicwpEFLmLSkbQooXYDkiNqIEdrxJ&#10;G1kCb2r+f0XzC1BLAwQUAAAACACHTuJA5iVSZ64BAABvAwAADgAAAGRycy9lMm9Eb2MueG1srVPB&#10;btswDL0P2D8Iui92i2RIjDhFi6DDgGEb0O0DFFmKBUiiICqx8/ejZCcduksPu8g0ST++9yhvH0Zn&#10;2VlFNOBbfreoOVNeQmf8seW/fz1/WnOGSfhOWPCq5ReF/GH38cN2CI26hx5spyIjEI/NEFrepxSa&#10;qkLZKydwAUF5KmqITiR6jceqi2IgdGer+7r+XA0QuxBBKkTK7qcinxHjewBBayPVHuTJKZ8m1Kis&#10;SCQJexOQ7wpbrZVMP7RGlZhtOSlN5aQhFB/yWe22ojlGEXojZwriPRTeaHLCeBp6g9qLJNgpmn+g&#10;nJEREHRaSHDVJKQ4Qiru6jfevPQiqKKFrMZwMx3/H6z8fv4ZmelavlxuOPPC0crLXLbK5gwBG+p5&#10;CdSVxicY6cpc80jJrHnU0eUnqWFUJ2svN2vVmJik5HK93qw4k1RZr+pNMb56/TRETF8UOJaDlkfa&#10;W7FTnL9hIhrUem3Jkzw8G2tzPvObeOQojYdxJn2A7kKcB1ptyz3dZM7sV0/O5VtwDeI1OMxBBsfw&#10;eEo0oMzNqBPUPIz2UOjMdyYv+u/30vX6n+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e4bnjY&#10;AAAADQEAAA8AAAAAAAAAAQAgAAAAIgAAAGRycy9kb3ducmV2LnhtbFBLAQIUABQAAAAIAIdO4kDm&#10;JVJnrgEAAG8DAAAOAAAAAAAAAAEAIAAAACcBAABkcnMvZTJvRG9jLnhtbFBLBQYAAAAABgAGAFkB&#10;AABHBQAAAAA=&#10;">
              <v:fill on="f" focussize="0,0"/>
              <v:stroke on="f"/>
              <v:imagedata o:title=""/>
              <o:lock v:ext="edit" aspectratio="f"/>
              <v:textbox inset="0mm,0mm,0mm,0mm" style="mso-fit-shape-to-text:t;">
                <w:txbxContent>
                  <w:p>
                    <w:pPr>
                      <w:pStyle w:val="168"/>
                      <w:rPr>
                        <w:sz w:val="18"/>
                        <w:szCs w:val="18"/>
                      </w:rPr>
                    </w:pPr>
                    <w:r>
                      <w:fldChar w:fldCharType="begin"/>
                    </w:r>
                    <w:r>
                      <w:instrText xml:space="preserve"> PAGE \* MERGEFORMAT </w:instrText>
                    </w:r>
                    <w:r>
                      <w:fldChar w:fldCharType="separate"/>
                    </w:r>
                    <w:r>
                      <w:rPr>
                        <w:rFonts w:ascii="Arial" w:hAnsi="Arial" w:eastAsia="Arial" w:cs="Arial"/>
                        <w:color w:val="000000"/>
                        <w:sz w:val="18"/>
                        <w:szCs w:val="18"/>
                      </w:rPr>
                      <w:t>8</w:t>
                    </w:r>
                    <w:r>
                      <w:rPr>
                        <w:rFonts w:ascii="Arial" w:hAnsi="Arial" w:eastAsia="Arial" w:cs="Arial"/>
                        <w:color w:val="000000"/>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lang w:eastAsia="zh-CN" w:bidi="ar-SA"/>
      </w:rPr>
      <mc:AlternateContent>
        <mc:Choice Requires="wps">
          <w:drawing>
            <wp:anchor distT="0" distB="0" distL="0" distR="0" simplePos="0" relativeHeight="251659264" behindDoc="1" locked="0" layoutInCell="1" allowOverlap="1">
              <wp:simplePos x="0" y="0"/>
              <wp:positionH relativeFrom="page">
                <wp:posOffset>3742055</wp:posOffset>
              </wp:positionH>
              <wp:positionV relativeFrom="page">
                <wp:posOffset>10438765</wp:posOffset>
              </wp:positionV>
              <wp:extent cx="48895" cy="85090"/>
              <wp:effectExtent l="0" t="0" r="0" b="0"/>
              <wp:wrapNone/>
              <wp:docPr id="450" name="Shape 7"/>
              <wp:cNvGraphicFramePr/>
              <a:graphic xmlns:a="http://schemas.openxmlformats.org/drawingml/2006/main">
                <a:graphicData uri="http://schemas.microsoft.com/office/word/2010/wordprocessingShape">
                  <wps:wsp>
                    <wps:cNvSpPr txBox="1"/>
                    <wps:spPr>
                      <a:xfrm>
                        <a:off x="0" y="0"/>
                        <a:ext cx="48895" cy="85090"/>
                      </a:xfrm>
                      <a:prstGeom prst="rect">
                        <a:avLst/>
                      </a:prstGeom>
                      <a:noFill/>
                    </wps:spPr>
                    <wps:txbx>
                      <w:txbxContent>
                        <w:p>
                          <w:pPr>
                            <w:pStyle w:val="168"/>
                            <w:rPr>
                              <w:sz w:val="18"/>
                              <w:szCs w:val="18"/>
                            </w:rPr>
                          </w:pPr>
                          <w:r>
                            <w:fldChar w:fldCharType="begin"/>
                          </w:r>
                          <w:r>
                            <w:instrText xml:space="preserve"> PAGE \* MERGEFORMAT </w:instrText>
                          </w:r>
                          <w:r>
                            <w:fldChar w:fldCharType="separate"/>
                          </w:r>
                          <w:r>
                            <w:rPr>
                              <w:rFonts w:ascii="Arial" w:hAnsi="Arial" w:eastAsia="Arial" w:cs="Arial"/>
                              <w:color w:val="000000"/>
                              <w:sz w:val="18"/>
                              <w:szCs w:val="18"/>
                            </w:rPr>
                            <w:t>#</w:t>
                          </w:r>
                          <w:r>
                            <w:rPr>
                              <w:rFonts w:ascii="Arial" w:hAnsi="Arial" w:eastAsia="Arial" w:cs="Arial"/>
                              <w:color w:val="000000"/>
                              <w:sz w:val="18"/>
                              <w:szCs w:val="18"/>
                            </w:rPr>
                            <w:fldChar w:fldCharType="end"/>
                          </w:r>
                        </w:p>
                      </w:txbxContent>
                    </wps:txbx>
                    <wps:bodyPr wrap="none" lIns="0" tIns="0" rIns="0" bIns="0">
                      <a:spAutoFit/>
                    </wps:bodyPr>
                  </wps:wsp>
                </a:graphicData>
              </a:graphic>
            </wp:anchor>
          </w:drawing>
        </mc:Choice>
        <mc:Fallback>
          <w:pict>
            <v:shape id="Shape 7" o:spid="_x0000_s1026" o:spt="202" type="#_x0000_t202" style="position:absolute;left:0pt;margin-left:294.65pt;margin-top:821.95pt;height:6.7pt;width:3.85pt;mso-position-horizontal-relative:page;mso-position-vertical-relative:page;mso-wrap-style:none;z-index:-251657216;mso-width-relative:page;mso-height-relative:page;" filled="f" stroked="f" coordsize="21600,21600" o:gfxdata="UEsDBAoAAAAAAIdO4kAAAAAAAAAAAAAAAAAEAAAAZHJzL1BLAwQUAAAACACHTuJARf064tkAAAAN&#10;AQAADwAAAGRycy9kb3ducmV2LnhtbE2PS0/DMBCE70j8B2uRuFGnhDSPxumhEhdulAqJmxtv46h+&#10;RLGbJv+e7QmOO/NpdqbezdawCcfQeydgvUqAoWu96l0n4Pj1/lIAC1E6JY13KGDBALvm8aGWlfI3&#10;94nTIXaMQlyopAAd41BxHlqNVoaVH9CRd/ajlZHOseNqlDcKt4a/JsmGW9k7+qDlgHuN7eVwtQLy&#10;+dvjEHCPP+epHXW/FOZjEeL5aZ1sgUWc4x8M9/pUHRrqdPJXpwIzArKiTAklY/OWlsAIycqc5p3u&#10;UpanwJua/1/R/AJQSwMEFAAAAAgAh07iQCFzfuStAQAAbwMAAA4AAABkcnMvZTJvRG9jLnhtbK1T&#10;wW7bMAy9D+g/CLo3dotmS404xYagRYFhG9DtAxRZigVIoiAqsfP3o2QnLbpLD7vINEk/vvcorx9G&#10;Z9lRRTTgW36zqDlTXkJn/L7lf34/Xq84wyR8Jyx41fKTQv6wufq0HkKjbqEH26nICMRjM4SW9ymF&#10;pqpQ9soJXEBQnooaohOJXuO+6qIYCN3Z6rauP1cDxC5EkAqRstupyGfE+BFA0NpItQV5cMqnCTUq&#10;KxJJwt4E5JvCVmsl00+tUSVmW05KUzlpCMW7fFabtWj2UYTeyJmC+AiFd5qcMJ6GXqC2Igl2iOYf&#10;KGdkBASdFhJcNQkpjpCKm/qdNy+9CKpoIasxXEzH/wcrfxx/RWa6lt8tyRMvHK28zGVfsjlDwIZ6&#10;XgJ1pfEbjHRlznmkZNY86ujyk9QwqhPM6WKtGhOTlLxbre6XnEmqrJb1fTG+ev00RExPChzLQcsj&#10;7a3YKY7fMRENaj235EkeHo21OZ/5TTxylMbdOJPeQXcizgOttuWebjJn9tmTc/kWnIN4DnZzkMEx&#10;fD0kGlDmZtQJah5Geyh05juTF/32vXS9/ie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X9OuLZ&#10;AAAADQEAAA8AAAAAAAAAAQAgAAAAIgAAAGRycy9kb3ducmV2LnhtbFBLAQIUABQAAAAIAIdO4kAh&#10;c37krQEAAG8DAAAOAAAAAAAAAAEAIAAAACgBAABkcnMvZTJvRG9jLnhtbFBLBQYAAAAABgAGAFkB&#10;AABHBQAAAAA=&#10;">
              <v:fill on="f" focussize="0,0"/>
              <v:stroke on="f"/>
              <v:imagedata o:title=""/>
              <o:lock v:ext="edit" aspectratio="f"/>
              <v:textbox inset="0mm,0mm,0mm,0mm" style="mso-fit-shape-to-text:t;">
                <w:txbxContent>
                  <w:p>
                    <w:pPr>
                      <w:pStyle w:val="168"/>
                      <w:rPr>
                        <w:sz w:val="18"/>
                        <w:szCs w:val="18"/>
                      </w:rPr>
                    </w:pPr>
                    <w:r>
                      <w:fldChar w:fldCharType="begin"/>
                    </w:r>
                    <w:r>
                      <w:instrText xml:space="preserve"> PAGE \* MERGEFORMAT </w:instrText>
                    </w:r>
                    <w:r>
                      <w:fldChar w:fldCharType="separate"/>
                    </w:r>
                    <w:r>
                      <w:rPr>
                        <w:rFonts w:ascii="Arial" w:hAnsi="Arial" w:eastAsia="Arial" w:cs="Arial"/>
                        <w:color w:val="000000"/>
                        <w:sz w:val="18"/>
                        <w:szCs w:val="18"/>
                      </w:rPr>
                      <w:t>#</w:t>
                    </w:r>
                    <w:r>
                      <w:rPr>
                        <w:rFonts w:ascii="Arial" w:hAnsi="Arial" w:eastAsia="Arial" w:cs="Arial"/>
                        <w:color w:val="000000"/>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rPr>
      <w:t>221</w:t>
    </w:r>
    <w:r>
      <w:rPr>
        <w:rFonts w:ascii="仿宋" w:hAnsi="仿宋" w:eastAsia="仿宋"/>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fldChar w:fldCharType="begin"/>
    </w:r>
    <w:r>
      <w:instrText xml:space="preserve"> PAGE   \* MERGEFORMAT </w:instrText>
    </w:r>
    <w:r>
      <w:fldChar w:fldCharType="separate"/>
    </w:r>
    <w:r>
      <w:t>1</w:t>
    </w:r>
    <w:r>
      <w:fldChar w:fldCharType="end"/>
    </w:r>
  </w:p>
  <w:p>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fldChar w:fldCharType="begin"/>
    </w:r>
    <w:r>
      <w:instrText xml:space="preserve"> PAGE   \* MERGEFORMAT </w:instrText>
    </w:r>
    <w:r>
      <w:fldChar w:fldCharType="separate"/>
    </w:r>
    <w:r>
      <w:t>231</w:t>
    </w:r>
    <w:r>
      <w:fldChar w:fldCharType="end"/>
    </w:r>
  </w:p>
  <w:p>
    <w:pPr>
      <w:pStyle w:val="2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fldChar w:fldCharType="begin"/>
    </w:r>
    <w:r>
      <w:instrText xml:space="preserve"> PAGE   \* MERGEFORMAT </w:instrText>
    </w:r>
    <w:r>
      <w:fldChar w:fldCharType="separate"/>
    </w:r>
    <w:r>
      <w:t>274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98A3CA"/>
    <w:multiLevelType w:val="singleLevel"/>
    <w:tmpl w:val="CE98A3CA"/>
    <w:lvl w:ilvl="0" w:tentative="0">
      <w:start w:val="1"/>
      <w:numFmt w:val="decimal"/>
      <w:suff w:val="nothing"/>
      <w:lvlText w:val="（%1）"/>
      <w:lvlJc w:val="left"/>
    </w:lvl>
  </w:abstractNum>
  <w:abstractNum w:abstractNumId="1">
    <w:nsid w:val="ED1D6AC0"/>
    <w:multiLevelType w:val="singleLevel"/>
    <w:tmpl w:val="ED1D6AC0"/>
    <w:lvl w:ilvl="0" w:tentative="0">
      <w:start w:val="1"/>
      <w:numFmt w:val="decimal"/>
      <w:suff w:val="nothing"/>
      <w:lvlText w:val="%1、"/>
      <w:lvlJc w:val="left"/>
    </w:lvl>
  </w:abstractNum>
  <w:abstractNum w:abstractNumId="2">
    <w:nsid w:val="F22F589C"/>
    <w:multiLevelType w:val="singleLevel"/>
    <w:tmpl w:val="F22F589C"/>
    <w:lvl w:ilvl="0" w:tentative="0">
      <w:start w:val="1"/>
      <w:numFmt w:val="decimal"/>
      <w:suff w:val="nothing"/>
      <w:lvlText w:val="%1、"/>
      <w:lvlJc w:val="left"/>
    </w:lvl>
  </w:abstractNum>
  <w:abstractNum w:abstractNumId="3">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4">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1BF06CB"/>
    <w:multiLevelType w:val="singleLevel"/>
    <w:tmpl w:val="11BF06CB"/>
    <w:lvl w:ilvl="0" w:tentative="0">
      <w:start w:val="1"/>
      <w:numFmt w:val="decimal"/>
      <w:suff w:val="nothing"/>
      <w:lvlText w:val="%1、"/>
      <w:lvlJc w:val="left"/>
    </w:lvl>
  </w:abstractNum>
  <w:abstractNum w:abstractNumId="7">
    <w:nsid w:val="14430AFF"/>
    <w:multiLevelType w:val="multilevel"/>
    <w:tmpl w:val="14430AFF"/>
    <w:lvl w:ilvl="0" w:tentative="0">
      <w:start w:val="1"/>
      <w:numFmt w:val="decimal"/>
      <w:lvlText w:val="%1、"/>
      <w:lvlJc w:val="left"/>
      <w:pPr>
        <w:ind w:left="840" w:hanging="360"/>
      </w:pPr>
      <w:rPr>
        <w:rFonts w:hint="default" w:cs="仿宋"/>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25591801"/>
    <w:multiLevelType w:val="singleLevel"/>
    <w:tmpl w:val="25591801"/>
    <w:lvl w:ilvl="0" w:tentative="0">
      <w:start w:val="1"/>
      <w:numFmt w:val="decimal"/>
      <w:suff w:val="space"/>
      <w:lvlText w:val="%1．"/>
      <w:lvlJc w:val="left"/>
    </w:lvl>
  </w:abstractNum>
  <w:abstractNum w:abstractNumId="9">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4F0DD10"/>
    <w:multiLevelType w:val="singleLevel"/>
    <w:tmpl w:val="34F0DD10"/>
    <w:lvl w:ilvl="0" w:tentative="0">
      <w:start w:val="103"/>
      <w:numFmt w:val="decimal"/>
      <w:suff w:val="space"/>
      <w:lvlText w:val="%1."/>
      <w:lvlJc w:val="left"/>
    </w:lvl>
  </w:abstractNum>
  <w:abstractNum w:abstractNumId="13">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89A82ED"/>
    <w:multiLevelType w:val="singleLevel"/>
    <w:tmpl w:val="489A82ED"/>
    <w:lvl w:ilvl="0" w:tentative="0">
      <w:start w:val="2"/>
      <w:numFmt w:val="decimal"/>
      <w:suff w:val="nothing"/>
      <w:lvlText w:val="%1、"/>
      <w:lvlJc w:val="left"/>
    </w:lvl>
  </w:abstractNum>
  <w:abstractNum w:abstractNumId="18">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24">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27">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F9BDF5F"/>
    <w:multiLevelType w:val="multilevel"/>
    <w:tmpl w:val="7F9BDF5F"/>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8"/>
  </w:num>
  <w:num w:numId="2">
    <w:abstractNumId w:val="23"/>
  </w:num>
  <w:num w:numId="3">
    <w:abstractNumId w:val="15"/>
  </w:num>
  <w:num w:numId="4">
    <w:abstractNumId w:val="21"/>
  </w:num>
  <w:num w:numId="5">
    <w:abstractNumId w:val="10"/>
  </w:num>
  <w:num w:numId="6">
    <w:abstractNumId w:val="4"/>
  </w:num>
  <w:num w:numId="7">
    <w:abstractNumId w:val="3"/>
  </w:num>
  <w:num w:numId="8">
    <w:abstractNumId w:val="14"/>
  </w:num>
  <w:num w:numId="9">
    <w:abstractNumId w:val="5"/>
  </w:num>
  <w:num w:numId="10">
    <w:abstractNumId w:val="9"/>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4"/>
  </w:num>
  <w:num w:numId="14">
    <w:abstractNumId w:val="27"/>
  </w:num>
  <w:num w:numId="15">
    <w:abstractNumId w:val="11"/>
  </w:num>
  <w:num w:numId="16">
    <w:abstractNumId w:val="25"/>
  </w:num>
  <w:num w:numId="17">
    <w:abstractNumId w:val="20"/>
  </w:num>
  <w:num w:numId="18">
    <w:abstractNumId w:val="19"/>
  </w:num>
  <w:num w:numId="19">
    <w:abstractNumId w:val="22"/>
  </w:num>
  <w:num w:numId="20">
    <w:abstractNumId w:val="26"/>
  </w:num>
  <w:num w:numId="21">
    <w:abstractNumId w:val="8"/>
  </w:num>
  <w:num w:numId="22">
    <w:abstractNumId w:val="2"/>
  </w:num>
  <w:num w:numId="23">
    <w:abstractNumId w:val="7"/>
  </w:num>
  <w:num w:numId="24">
    <w:abstractNumId w:val="6"/>
  </w:num>
  <w:num w:numId="25">
    <w:abstractNumId w:val="0"/>
  </w:num>
  <w:num w:numId="26">
    <w:abstractNumId w:val="17"/>
  </w:num>
  <w:num w:numId="27">
    <w:abstractNumId w:val="1"/>
  </w:num>
  <w:num w:numId="28">
    <w:abstractNumId w:val="12"/>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0"/>
  <w:doNotHyphenateCaps/>
  <w:drawingGridHorizontalSpacing w:val="240"/>
  <w:drawingGridVerticalSpacing w:val="-7946"/>
  <w:noPunctuationKerning w:val="1"/>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g2M2M0NWU2YzQwMzEzOGNiNjQyNmMxODlkMzMyYmMifQ=="/>
  </w:docVars>
  <w:rsids>
    <w:rsidRoot w:val="008C4325"/>
    <w:rsid w:val="00000082"/>
    <w:rsid w:val="00000940"/>
    <w:rsid w:val="00000BF3"/>
    <w:rsid w:val="000013B6"/>
    <w:rsid w:val="00001A30"/>
    <w:rsid w:val="0000222A"/>
    <w:rsid w:val="0000264A"/>
    <w:rsid w:val="0000294B"/>
    <w:rsid w:val="00002BBE"/>
    <w:rsid w:val="000031C6"/>
    <w:rsid w:val="00003415"/>
    <w:rsid w:val="00003B5F"/>
    <w:rsid w:val="00003C47"/>
    <w:rsid w:val="00003CF8"/>
    <w:rsid w:val="00004CBF"/>
    <w:rsid w:val="0000503E"/>
    <w:rsid w:val="0000553E"/>
    <w:rsid w:val="000055DE"/>
    <w:rsid w:val="00005974"/>
    <w:rsid w:val="00005A6D"/>
    <w:rsid w:val="00005A7F"/>
    <w:rsid w:val="00005FD6"/>
    <w:rsid w:val="000068CA"/>
    <w:rsid w:val="00006B46"/>
    <w:rsid w:val="00006CD8"/>
    <w:rsid w:val="00006F52"/>
    <w:rsid w:val="00007153"/>
    <w:rsid w:val="000071AE"/>
    <w:rsid w:val="000075AB"/>
    <w:rsid w:val="00010CAC"/>
    <w:rsid w:val="00010FE2"/>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52C"/>
    <w:rsid w:val="0002462F"/>
    <w:rsid w:val="0002560B"/>
    <w:rsid w:val="00025CE4"/>
    <w:rsid w:val="00025E1E"/>
    <w:rsid w:val="000261E1"/>
    <w:rsid w:val="0002707E"/>
    <w:rsid w:val="00027124"/>
    <w:rsid w:val="00027289"/>
    <w:rsid w:val="000275B9"/>
    <w:rsid w:val="00027885"/>
    <w:rsid w:val="0002790B"/>
    <w:rsid w:val="00027EB2"/>
    <w:rsid w:val="0003070A"/>
    <w:rsid w:val="00030770"/>
    <w:rsid w:val="000309E0"/>
    <w:rsid w:val="00030B6F"/>
    <w:rsid w:val="00031472"/>
    <w:rsid w:val="000315EB"/>
    <w:rsid w:val="00031684"/>
    <w:rsid w:val="00031D33"/>
    <w:rsid w:val="00031FE3"/>
    <w:rsid w:val="000321F9"/>
    <w:rsid w:val="0003223F"/>
    <w:rsid w:val="00033457"/>
    <w:rsid w:val="00033500"/>
    <w:rsid w:val="000335D6"/>
    <w:rsid w:val="00034193"/>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706"/>
    <w:rsid w:val="00042951"/>
    <w:rsid w:val="00042B23"/>
    <w:rsid w:val="0004302B"/>
    <w:rsid w:val="00043142"/>
    <w:rsid w:val="00043242"/>
    <w:rsid w:val="00043292"/>
    <w:rsid w:val="000435BA"/>
    <w:rsid w:val="000437A8"/>
    <w:rsid w:val="00044086"/>
    <w:rsid w:val="000440FE"/>
    <w:rsid w:val="00044BB1"/>
    <w:rsid w:val="00044E36"/>
    <w:rsid w:val="00044E3E"/>
    <w:rsid w:val="000453A7"/>
    <w:rsid w:val="00045756"/>
    <w:rsid w:val="00045847"/>
    <w:rsid w:val="000459FB"/>
    <w:rsid w:val="00045CD0"/>
    <w:rsid w:val="00045FD2"/>
    <w:rsid w:val="000467DD"/>
    <w:rsid w:val="00046AF7"/>
    <w:rsid w:val="00046CF7"/>
    <w:rsid w:val="000475F6"/>
    <w:rsid w:val="000479C6"/>
    <w:rsid w:val="00050049"/>
    <w:rsid w:val="000504C0"/>
    <w:rsid w:val="00050C40"/>
    <w:rsid w:val="0005122D"/>
    <w:rsid w:val="000513FB"/>
    <w:rsid w:val="000516B6"/>
    <w:rsid w:val="00051C57"/>
    <w:rsid w:val="00051FB2"/>
    <w:rsid w:val="00052769"/>
    <w:rsid w:val="000529E7"/>
    <w:rsid w:val="00053269"/>
    <w:rsid w:val="0005332E"/>
    <w:rsid w:val="00053590"/>
    <w:rsid w:val="000553EE"/>
    <w:rsid w:val="000554B4"/>
    <w:rsid w:val="0005568B"/>
    <w:rsid w:val="00055A11"/>
    <w:rsid w:val="00055BE7"/>
    <w:rsid w:val="00055C2D"/>
    <w:rsid w:val="00056002"/>
    <w:rsid w:val="000561E7"/>
    <w:rsid w:val="00056639"/>
    <w:rsid w:val="000567B5"/>
    <w:rsid w:val="00056AFE"/>
    <w:rsid w:val="00056E82"/>
    <w:rsid w:val="00056EDA"/>
    <w:rsid w:val="00057515"/>
    <w:rsid w:val="000576F8"/>
    <w:rsid w:val="000578CD"/>
    <w:rsid w:val="00057B53"/>
    <w:rsid w:val="00057E49"/>
    <w:rsid w:val="000603C8"/>
    <w:rsid w:val="00060416"/>
    <w:rsid w:val="0006058F"/>
    <w:rsid w:val="00060841"/>
    <w:rsid w:val="00061052"/>
    <w:rsid w:val="00061A94"/>
    <w:rsid w:val="00061CED"/>
    <w:rsid w:val="00062043"/>
    <w:rsid w:val="000621B6"/>
    <w:rsid w:val="0006349F"/>
    <w:rsid w:val="0006386A"/>
    <w:rsid w:val="00063E33"/>
    <w:rsid w:val="0006403A"/>
    <w:rsid w:val="00064068"/>
    <w:rsid w:val="000641FA"/>
    <w:rsid w:val="00064CFF"/>
    <w:rsid w:val="000652A4"/>
    <w:rsid w:val="000653F5"/>
    <w:rsid w:val="00065E73"/>
    <w:rsid w:val="00066031"/>
    <w:rsid w:val="000661CC"/>
    <w:rsid w:val="000664D3"/>
    <w:rsid w:val="0006662A"/>
    <w:rsid w:val="000672CD"/>
    <w:rsid w:val="000673CE"/>
    <w:rsid w:val="00067839"/>
    <w:rsid w:val="00067B5F"/>
    <w:rsid w:val="00070661"/>
    <w:rsid w:val="00070FC5"/>
    <w:rsid w:val="00070FF1"/>
    <w:rsid w:val="00071970"/>
    <w:rsid w:val="00071E3C"/>
    <w:rsid w:val="000722CA"/>
    <w:rsid w:val="000727B9"/>
    <w:rsid w:val="000727F0"/>
    <w:rsid w:val="00072C02"/>
    <w:rsid w:val="00073074"/>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4DA"/>
    <w:rsid w:val="000777EA"/>
    <w:rsid w:val="000779E9"/>
    <w:rsid w:val="00077D53"/>
    <w:rsid w:val="00080000"/>
    <w:rsid w:val="000805B1"/>
    <w:rsid w:val="0008082D"/>
    <w:rsid w:val="0008159E"/>
    <w:rsid w:val="00081DA8"/>
    <w:rsid w:val="00081F9C"/>
    <w:rsid w:val="00082503"/>
    <w:rsid w:val="0008287D"/>
    <w:rsid w:val="000829B7"/>
    <w:rsid w:val="00082F12"/>
    <w:rsid w:val="00083138"/>
    <w:rsid w:val="00083CB2"/>
    <w:rsid w:val="000845C1"/>
    <w:rsid w:val="00084C02"/>
    <w:rsid w:val="00086102"/>
    <w:rsid w:val="0008635E"/>
    <w:rsid w:val="00086807"/>
    <w:rsid w:val="000869BE"/>
    <w:rsid w:val="00086B27"/>
    <w:rsid w:val="0008762E"/>
    <w:rsid w:val="0008789C"/>
    <w:rsid w:val="000879A0"/>
    <w:rsid w:val="000879A8"/>
    <w:rsid w:val="00087AE0"/>
    <w:rsid w:val="00087C36"/>
    <w:rsid w:val="00087E7C"/>
    <w:rsid w:val="00087F62"/>
    <w:rsid w:val="000901B6"/>
    <w:rsid w:val="00090B05"/>
    <w:rsid w:val="00090DB4"/>
    <w:rsid w:val="000911CC"/>
    <w:rsid w:val="000913DC"/>
    <w:rsid w:val="00091B01"/>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65B4"/>
    <w:rsid w:val="000978C8"/>
    <w:rsid w:val="00097917"/>
    <w:rsid w:val="000A00D8"/>
    <w:rsid w:val="000A09A1"/>
    <w:rsid w:val="000A0AF4"/>
    <w:rsid w:val="000A2183"/>
    <w:rsid w:val="000A24C8"/>
    <w:rsid w:val="000A29B9"/>
    <w:rsid w:val="000A4CFD"/>
    <w:rsid w:val="000A53A9"/>
    <w:rsid w:val="000A5591"/>
    <w:rsid w:val="000A564E"/>
    <w:rsid w:val="000A5B27"/>
    <w:rsid w:val="000A5B9B"/>
    <w:rsid w:val="000A5EE6"/>
    <w:rsid w:val="000A66A2"/>
    <w:rsid w:val="000A66C3"/>
    <w:rsid w:val="000A6A56"/>
    <w:rsid w:val="000A6DA0"/>
    <w:rsid w:val="000A6DAD"/>
    <w:rsid w:val="000A7319"/>
    <w:rsid w:val="000A7B57"/>
    <w:rsid w:val="000B081C"/>
    <w:rsid w:val="000B09DA"/>
    <w:rsid w:val="000B1143"/>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1B3"/>
    <w:rsid w:val="000C2514"/>
    <w:rsid w:val="000C2CA1"/>
    <w:rsid w:val="000C3301"/>
    <w:rsid w:val="000C3D54"/>
    <w:rsid w:val="000C49A6"/>
    <w:rsid w:val="000C53D1"/>
    <w:rsid w:val="000C6441"/>
    <w:rsid w:val="000C67E7"/>
    <w:rsid w:val="000C69FD"/>
    <w:rsid w:val="000C6C05"/>
    <w:rsid w:val="000C6C9F"/>
    <w:rsid w:val="000C7896"/>
    <w:rsid w:val="000C7D19"/>
    <w:rsid w:val="000D00EE"/>
    <w:rsid w:val="000D02C8"/>
    <w:rsid w:val="000D05A2"/>
    <w:rsid w:val="000D072D"/>
    <w:rsid w:val="000D07DC"/>
    <w:rsid w:val="000D1087"/>
    <w:rsid w:val="000D11A7"/>
    <w:rsid w:val="000D1414"/>
    <w:rsid w:val="000D185D"/>
    <w:rsid w:val="000D1F3E"/>
    <w:rsid w:val="000D1F92"/>
    <w:rsid w:val="000D208D"/>
    <w:rsid w:val="000D2835"/>
    <w:rsid w:val="000D2E73"/>
    <w:rsid w:val="000D301F"/>
    <w:rsid w:val="000D30E5"/>
    <w:rsid w:val="000D333C"/>
    <w:rsid w:val="000D3488"/>
    <w:rsid w:val="000D3614"/>
    <w:rsid w:val="000D47D4"/>
    <w:rsid w:val="000D53B4"/>
    <w:rsid w:val="000D57CC"/>
    <w:rsid w:val="000D5B28"/>
    <w:rsid w:val="000D60A0"/>
    <w:rsid w:val="000D65D9"/>
    <w:rsid w:val="000D7617"/>
    <w:rsid w:val="000E0220"/>
    <w:rsid w:val="000E02AD"/>
    <w:rsid w:val="000E0437"/>
    <w:rsid w:val="000E0535"/>
    <w:rsid w:val="000E0688"/>
    <w:rsid w:val="000E08D6"/>
    <w:rsid w:val="000E0AB7"/>
    <w:rsid w:val="000E0C6E"/>
    <w:rsid w:val="000E12D6"/>
    <w:rsid w:val="000E1496"/>
    <w:rsid w:val="000E18F2"/>
    <w:rsid w:val="000E232E"/>
    <w:rsid w:val="000E2E53"/>
    <w:rsid w:val="000E2F05"/>
    <w:rsid w:val="000E2F5F"/>
    <w:rsid w:val="000E32C8"/>
    <w:rsid w:val="000E3331"/>
    <w:rsid w:val="000E35C2"/>
    <w:rsid w:val="000E3942"/>
    <w:rsid w:val="000E4BE6"/>
    <w:rsid w:val="000E5645"/>
    <w:rsid w:val="000E57D0"/>
    <w:rsid w:val="000E5D2D"/>
    <w:rsid w:val="000E6ACF"/>
    <w:rsid w:val="000E6BCC"/>
    <w:rsid w:val="000E754F"/>
    <w:rsid w:val="000E792C"/>
    <w:rsid w:val="000E7ACF"/>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AD9"/>
    <w:rsid w:val="000F6B0D"/>
    <w:rsid w:val="000F6EC0"/>
    <w:rsid w:val="000F70D8"/>
    <w:rsid w:val="000F77A9"/>
    <w:rsid w:val="000F7B35"/>
    <w:rsid w:val="000F7B8A"/>
    <w:rsid w:val="001005C5"/>
    <w:rsid w:val="001010EB"/>
    <w:rsid w:val="0010112D"/>
    <w:rsid w:val="00101547"/>
    <w:rsid w:val="0010185E"/>
    <w:rsid w:val="00101994"/>
    <w:rsid w:val="00101D72"/>
    <w:rsid w:val="00102863"/>
    <w:rsid w:val="001028F5"/>
    <w:rsid w:val="00102E17"/>
    <w:rsid w:val="00102ECB"/>
    <w:rsid w:val="0010311E"/>
    <w:rsid w:val="00103377"/>
    <w:rsid w:val="00103E03"/>
    <w:rsid w:val="00104AEE"/>
    <w:rsid w:val="0010510D"/>
    <w:rsid w:val="001053AA"/>
    <w:rsid w:val="0010580C"/>
    <w:rsid w:val="00105C96"/>
    <w:rsid w:val="00105DE3"/>
    <w:rsid w:val="001064E4"/>
    <w:rsid w:val="00107060"/>
    <w:rsid w:val="00107113"/>
    <w:rsid w:val="001074DB"/>
    <w:rsid w:val="00107506"/>
    <w:rsid w:val="00110D52"/>
    <w:rsid w:val="00111B42"/>
    <w:rsid w:val="00111CDA"/>
    <w:rsid w:val="0011200C"/>
    <w:rsid w:val="00112571"/>
    <w:rsid w:val="00112690"/>
    <w:rsid w:val="0011276C"/>
    <w:rsid w:val="00112AC4"/>
    <w:rsid w:val="00112ED0"/>
    <w:rsid w:val="00112EFA"/>
    <w:rsid w:val="001133C6"/>
    <w:rsid w:val="001135DF"/>
    <w:rsid w:val="0011384F"/>
    <w:rsid w:val="0011399B"/>
    <w:rsid w:val="00114090"/>
    <w:rsid w:val="00114148"/>
    <w:rsid w:val="0011421F"/>
    <w:rsid w:val="001144F1"/>
    <w:rsid w:val="001146D5"/>
    <w:rsid w:val="00114708"/>
    <w:rsid w:val="00115A30"/>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30A"/>
    <w:rsid w:val="0012370B"/>
    <w:rsid w:val="0012408C"/>
    <w:rsid w:val="00124B22"/>
    <w:rsid w:val="00124BA0"/>
    <w:rsid w:val="00125007"/>
    <w:rsid w:val="001253CD"/>
    <w:rsid w:val="00125D4B"/>
    <w:rsid w:val="001264DE"/>
    <w:rsid w:val="00126858"/>
    <w:rsid w:val="001268A2"/>
    <w:rsid w:val="00126E42"/>
    <w:rsid w:val="00126F14"/>
    <w:rsid w:val="0012749B"/>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A5D"/>
    <w:rsid w:val="00140AB0"/>
    <w:rsid w:val="00140C56"/>
    <w:rsid w:val="00140CD7"/>
    <w:rsid w:val="00141071"/>
    <w:rsid w:val="00141497"/>
    <w:rsid w:val="001414C6"/>
    <w:rsid w:val="00141A32"/>
    <w:rsid w:val="00142198"/>
    <w:rsid w:val="0014227F"/>
    <w:rsid w:val="00142BEF"/>
    <w:rsid w:val="00143139"/>
    <w:rsid w:val="00143295"/>
    <w:rsid w:val="001434E7"/>
    <w:rsid w:val="0014353D"/>
    <w:rsid w:val="00143FDC"/>
    <w:rsid w:val="00144047"/>
    <w:rsid w:val="00144769"/>
    <w:rsid w:val="0014498A"/>
    <w:rsid w:val="00144B68"/>
    <w:rsid w:val="00145102"/>
    <w:rsid w:val="0014562B"/>
    <w:rsid w:val="00146639"/>
    <w:rsid w:val="0014699C"/>
    <w:rsid w:val="00146FF4"/>
    <w:rsid w:val="0014732A"/>
    <w:rsid w:val="00147437"/>
    <w:rsid w:val="00147AAC"/>
    <w:rsid w:val="00147E3D"/>
    <w:rsid w:val="001503E0"/>
    <w:rsid w:val="0015061C"/>
    <w:rsid w:val="00150754"/>
    <w:rsid w:val="00150BFA"/>
    <w:rsid w:val="00150D30"/>
    <w:rsid w:val="001511CB"/>
    <w:rsid w:val="001516B7"/>
    <w:rsid w:val="001516D1"/>
    <w:rsid w:val="00151BA9"/>
    <w:rsid w:val="0015202F"/>
    <w:rsid w:val="001521FF"/>
    <w:rsid w:val="00152317"/>
    <w:rsid w:val="00152630"/>
    <w:rsid w:val="00152B0B"/>
    <w:rsid w:val="00152B93"/>
    <w:rsid w:val="00152DFC"/>
    <w:rsid w:val="00152F96"/>
    <w:rsid w:val="001533D1"/>
    <w:rsid w:val="001533E5"/>
    <w:rsid w:val="001536AB"/>
    <w:rsid w:val="0015391C"/>
    <w:rsid w:val="00153C38"/>
    <w:rsid w:val="00154029"/>
    <w:rsid w:val="0015409F"/>
    <w:rsid w:val="0015431C"/>
    <w:rsid w:val="001546A3"/>
    <w:rsid w:val="00154B52"/>
    <w:rsid w:val="00154CF4"/>
    <w:rsid w:val="0015551F"/>
    <w:rsid w:val="00155560"/>
    <w:rsid w:val="00155621"/>
    <w:rsid w:val="00155ACA"/>
    <w:rsid w:val="00155B54"/>
    <w:rsid w:val="00155C4B"/>
    <w:rsid w:val="0015609B"/>
    <w:rsid w:val="00156FE6"/>
    <w:rsid w:val="00157229"/>
    <w:rsid w:val="0015722A"/>
    <w:rsid w:val="0015768D"/>
    <w:rsid w:val="001601A5"/>
    <w:rsid w:val="001604C1"/>
    <w:rsid w:val="001604FE"/>
    <w:rsid w:val="001607D3"/>
    <w:rsid w:val="00160AD7"/>
    <w:rsid w:val="00163186"/>
    <w:rsid w:val="0016320A"/>
    <w:rsid w:val="0016374F"/>
    <w:rsid w:val="001653BD"/>
    <w:rsid w:val="001653EC"/>
    <w:rsid w:val="0016552B"/>
    <w:rsid w:val="001655AC"/>
    <w:rsid w:val="0016572E"/>
    <w:rsid w:val="00165737"/>
    <w:rsid w:val="00166025"/>
    <w:rsid w:val="00166382"/>
    <w:rsid w:val="001666F8"/>
    <w:rsid w:val="001669A1"/>
    <w:rsid w:val="00166A96"/>
    <w:rsid w:val="00166D59"/>
    <w:rsid w:val="00167C6E"/>
    <w:rsid w:val="0017019E"/>
    <w:rsid w:val="00170C7E"/>
    <w:rsid w:val="00170CE2"/>
    <w:rsid w:val="0017204A"/>
    <w:rsid w:val="0017229E"/>
    <w:rsid w:val="00172B21"/>
    <w:rsid w:val="00172D87"/>
    <w:rsid w:val="00173554"/>
    <w:rsid w:val="001738D6"/>
    <w:rsid w:val="00174143"/>
    <w:rsid w:val="00174A0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AB5"/>
    <w:rsid w:val="00180B8E"/>
    <w:rsid w:val="001811AB"/>
    <w:rsid w:val="001811D2"/>
    <w:rsid w:val="00181546"/>
    <w:rsid w:val="0018158E"/>
    <w:rsid w:val="001816B3"/>
    <w:rsid w:val="0018185E"/>
    <w:rsid w:val="001818B1"/>
    <w:rsid w:val="001819D4"/>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987"/>
    <w:rsid w:val="00184C14"/>
    <w:rsid w:val="00184C5D"/>
    <w:rsid w:val="00184E27"/>
    <w:rsid w:val="00185062"/>
    <w:rsid w:val="001852D7"/>
    <w:rsid w:val="001855D6"/>
    <w:rsid w:val="0018646E"/>
    <w:rsid w:val="001864BE"/>
    <w:rsid w:val="00186B55"/>
    <w:rsid w:val="00186EEE"/>
    <w:rsid w:val="00186F18"/>
    <w:rsid w:val="00187213"/>
    <w:rsid w:val="00187A11"/>
    <w:rsid w:val="00187A1B"/>
    <w:rsid w:val="00187A89"/>
    <w:rsid w:val="00187E38"/>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8AB"/>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4AC4"/>
    <w:rsid w:val="001A5194"/>
    <w:rsid w:val="001A68B4"/>
    <w:rsid w:val="001A799A"/>
    <w:rsid w:val="001A7E6E"/>
    <w:rsid w:val="001B02C0"/>
    <w:rsid w:val="001B0B29"/>
    <w:rsid w:val="001B0C0D"/>
    <w:rsid w:val="001B0DAF"/>
    <w:rsid w:val="001B0E77"/>
    <w:rsid w:val="001B174B"/>
    <w:rsid w:val="001B1ECC"/>
    <w:rsid w:val="001B3173"/>
    <w:rsid w:val="001B3592"/>
    <w:rsid w:val="001B3BAC"/>
    <w:rsid w:val="001B4CBA"/>
    <w:rsid w:val="001B4D07"/>
    <w:rsid w:val="001B56A8"/>
    <w:rsid w:val="001B5880"/>
    <w:rsid w:val="001B5BEA"/>
    <w:rsid w:val="001B5CED"/>
    <w:rsid w:val="001B6240"/>
    <w:rsid w:val="001B69E8"/>
    <w:rsid w:val="001B6B29"/>
    <w:rsid w:val="001B6C71"/>
    <w:rsid w:val="001B74F3"/>
    <w:rsid w:val="001B759B"/>
    <w:rsid w:val="001B791A"/>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20CC"/>
    <w:rsid w:val="001D21C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66"/>
    <w:rsid w:val="001E1C40"/>
    <w:rsid w:val="001E20B0"/>
    <w:rsid w:val="001E21EA"/>
    <w:rsid w:val="001E3612"/>
    <w:rsid w:val="001E40DE"/>
    <w:rsid w:val="001E413E"/>
    <w:rsid w:val="001E4338"/>
    <w:rsid w:val="001E4467"/>
    <w:rsid w:val="001E4BDE"/>
    <w:rsid w:val="001E5073"/>
    <w:rsid w:val="001E55C4"/>
    <w:rsid w:val="001E5B63"/>
    <w:rsid w:val="001E62B5"/>
    <w:rsid w:val="001E67F1"/>
    <w:rsid w:val="001E6E95"/>
    <w:rsid w:val="001E6EAB"/>
    <w:rsid w:val="001E72BC"/>
    <w:rsid w:val="001E7692"/>
    <w:rsid w:val="001E7A5A"/>
    <w:rsid w:val="001F0162"/>
    <w:rsid w:val="001F020C"/>
    <w:rsid w:val="001F074A"/>
    <w:rsid w:val="001F0F7D"/>
    <w:rsid w:val="001F0F89"/>
    <w:rsid w:val="001F2540"/>
    <w:rsid w:val="001F262F"/>
    <w:rsid w:val="001F2FE8"/>
    <w:rsid w:val="001F30A2"/>
    <w:rsid w:val="001F3C61"/>
    <w:rsid w:val="001F3D0D"/>
    <w:rsid w:val="001F4068"/>
    <w:rsid w:val="001F4529"/>
    <w:rsid w:val="001F49AE"/>
    <w:rsid w:val="001F50EE"/>
    <w:rsid w:val="001F5797"/>
    <w:rsid w:val="001F57FE"/>
    <w:rsid w:val="001F6F9D"/>
    <w:rsid w:val="001F6FCC"/>
    <w:rsid w:val="001F7089"/>
    <w:rsid w:val="001F710F"/>
    <w:rsid w:val="001F71FA"/>
    <w:rsid w:val="001F793E"/>
    <w:rsid w:val="002000EB"/>
    <w:rsid w:val="00200171"/>
    <w:rsid w:val="002008FA"/>
    <w:rsid w:val="00200B47"/>
    <w:rsid w:val="0020139B"/>
    <w:rsid w:val="00201DA2"/>
    <w:rsid w:val="0020209F"/>
    <w:rsid w:val="002020F5"/>
    <w:rsid w:val="00202A2E"/>
    <w:rsid w:val="002033CB"/>
    <w:rsid w:val="00203623"/>
    <w:rsid w:val="00203725"/>
    <w:rsid w:val="002039FD"/>
    <w:rsid w:val="002040F3"/>
    <w:rsid w:val="002049FD"/>
    <w:rsid w:val="00204E2F"/>
    <w:rsid w:val="00205028"/>
    <w:rsid w:val="002055BD"/>
    <w:rsid w:val="002055C6"/>
    <w:rsid w:val="002057DA"/>
    <w:rsid w:val="002058DE"/>
    <w:rsid w:val="0020603C"/>
    <w:rsid w:val="0020688C"/>
    <w:rsid w:val="00206C01"/>
    <w:rsid w:val="002075C9"/>
    <w:rsid w:val="00207600"/>
    <w:rsid w:val="00207F01"/>
    <w:rsid w:val="0021017D"/>
    <w:rsid w:val="0021032B"/>
    <w:rsid w:val="00210B3A"/>
    <w:rsid w:val="00211663"/>
    <w:rsid w:val="0021201B"/>
    <w:rsid w:val="00212154"/>
    <w:rsid w:val="00212176"/>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C8"/>
    <w:rsid w:val="0023357A"/>
    <w:rsid w:val="00233A84"/>
    <w:rsid w:val="0023405D"/>
    <w:rsid w:val="00235198"/>
    <w:rsid w:val="002353E4"/>
    <w:rsid w:val="00235B34"/>
    <w:rsid w:val="002361C2"/>
    <w:rsid w:val="0023727F"/>
    <w:rsid w:val="00237A6E"/>
    <w:rsid w:val="00240136"/>
    <w:rsid w:val="0024046A"/>
    <w:rsid w:val="002405C6"/>
    <w:rsid w:val="00240B78"/>
    <w:rsid w:val="00240DFB"/>
    <w:rsid w:val="00240E5F"/>
    <w:rsid w:val="002411E3"/>
    <w:rsid w:val="00241410"/>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E04"/>
    <w:rsid w:val="00247F2D"/>
    <w:rsid w:val="00250CFE"/>
    <w:rsid w:val="00250D38"/>
    <w:rsid w:val="0025107E"/>
    <w:rsid w:val="00251380"/>
    <w:rsid w:val="0025257E"/>
    <w:rsid w:val="002528FB"/>
    <w:rsid w:val="00252BEB"/>
    <w:rsid w:val="00252ED8"/>
    <w:rsid w:val="0025302D"/>
    <w:rsid w:val="0025354C"/>
    <w:rsid w:val="002537B5"/>
    <w:rsid w:val="0025522D"/>
    <w:rsid w:val="0025531A"/>
    <w:rsid w:val="002560E6"/>
    <w:rsid w:val="00257BC7"/>
    <w:rsid w:val="00257DDC"/>
    <w:rsid w:val="00261FDE"/>
    <w:rsid w:val="0026216A"/>
    <w:rsid w:val="002625B2"/>
    <w:rsid w:val="00262780"/>
    <w:rsid w:val="00262810"/>
    <w:rsid w:val="0026303C"/>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0CD"/>
    <w:rsid w:val="002731D6"/>
    <w:rsid w:val="00273798"/>
    <w:rsid w:val="002740B0"/>
    <w:rsid w:val="00274842"/>
    <w:rsid w:val="002753BE"/>
    <w:rsid w:val="002753D7"/>
    <w:rsid w:val="00275E23"/>
    <w:rsid w:val="00275F94"/>
    <w:rsid w:val="0027693F"/>
    <w:rsid w:val="00276B16"/>
    <w:rsid w:val="00276DBC"/>
    <w:rsid w:val="00276F0F"/>
    <w:rsid w:val="0027734B"/>
    <w:rsid w:val="002775E4"/>
    <w:rsid w:val="002778B3"/>
    <w:rsid w:val="00277BE2"/>
    <w:rsid w:val="002800AD"/>
    <w:rsid w:val="00280F73"/>
    <w:rsid w:val="00281241"/>
    <w:rsid w:val="0028130D"/>
    <w:rsid w:val="0028160E"/>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8B9"/>
    <w:rsid w:val="002879B3"/>
    <w:rsid w:val="00287C2C"/>
    <w:rsid w:val="00287E76"/>
    <w:rsid w:val="00287EFD"/>
    <w:rsid w:val="00290DB2"/>
    <w:rsid w:val="00290E42"/>
    <w:rsid w:val="00290FB8"/>
    <w:rsid w:val="00291058"/>
    <w:rsid w:val="002912EB"/>
    <w:rsid w:val="00291305"/>
    <w:rsid w:val="0029161C"/>
    <w:rsid w:val="00291B11"/>
    <w:rsid w:val="00292773"/>
    <w:rsid w:val="0029336E"/>
    <w:rsid w:val="0029348A"/>
    <w:rsid w:val="002935FD"/>
    <w:rsid w:val="002936CB"/>
    <w:rsid w:val="0029370B"/>
    <w:rsid w:val="0029385A"/>
    <w:rsid w:val="002947A0"/>
    <w:rsid w:val="00294A98"/>
    <w:rsid w:val="00295D7D"/>
    <w:rsid w:val="002978C2"/>
    <w:rsid w:val="00297E72"/>
    <w:rsid w:val="00297F7A"/>
    <w:rsid w:val="002A06A7"/>
    <w:rsid w:val="002A120E"/>
    <w:rsid w:val="002A1581"/>
    <w:rsid w:val="002A24CC"/>
    <w:rsid w:val="002A25EC"/>
    <w:rsid w:val="002A2AB3"/>
    <w:rsid w:val="002A2DF1"/>
    <w:rsid w:val="002A3481"/>
    <w:rsid w:val="002A38FB"/>
    <w:rsid w:val="002A391D"/>
    <w:rsid w:val="002A437B"/>
    <w:rsid w:val="002A5064"/>
    <w:rsid w:val="002A52C9"/>
    <w:rsid w:val="002A5533"/>
    <w:rsid w:val="002A5E08"/>
    <w:rsid w:val="002A6FCE"/>
    <w:rsid w:val="002A7798"/>
    <w:rsid w:val="002B06FF"/>
    <w:rsid w:val="002B0777"/>
    <w:rsid w:val="002B14CA"/>
    <w:rsid w:val="002B1972"/>
    <w:rsid w:val="002B1B96"/>
    <w:rsid w:val="002B26F1"/>
    <w:rsid w:val="002B27A8"/>
    <w:rsid w:val="002B27EB"/>
    <w:rsid w:val="002B2A9B"/>
    <w:rsid w:val="002B31EA"/>
    <w:rsid w:val="002B34AD"/>
    <w:rsid w:val="002B37C8"/>
    <w:rsid w:val="002B39D2"/>
    <w:rsid w:val="002B3BE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737"/>
    <w:rsid w:val="002C5A32"/>
    <w:rsid w:val="002C5DF1"/>
    <w:rsid w:val="002C610F"/>
    <w:rsid w:val="002C6231"/>
    <w:rsid w:val="002C6305"/>
    <w:rsid w:val="002C637A"/>
    <w:rsid w:val="002C6C6B"/>
    <w:rsid w:val="002C761F"/>
    <w:rsid w:val="002C792F"/>
    <w:rsid w:val="002D0D5F"/>
    <w:rsid w:val="002D101E"/>
    <w:rsid w:val="002D112B"/>
    <w:rsid w:val="002D11FE"/>
    <w:rsid w:val="002D1291"/>
    <w:rsid w:val="002D3190"/>
    <w:rsid w:val="002D36FB"/>
    <w:rsid w:val="002D3746"/>
    <w:rsid w:val="002D37AE"/>
    <w:rsid w:val="002D3907"/>
    <w:rsid w:val="002D394A"/>
    <w:rsid w:val="002D480C"/>
    <w:rsid w:val="002D574A"/>
    <w:rsid w:val="002D61D8"/>
    <w:rsid w:val="002D6339"/>
    <w:rsid w:val="002D6564"/>
    <w:rsid w:val="002D6940"/>
    <w:rsid w:val="002D6B14"/>
    <w:rsid w:val="002D6F9F"/>
    <w:rsid w:val="002D773F"/>
    <w:rsid w:val="002D7E62"/>
    <w:rsid w:val="002E061A"/>
    <w:rsid w:val="002E105F"/>
    <w:rsid w:val="002E141A"/>
    <w:rsid w:val="002E1AE7"/>
    <w:rsid w:val="002E2B6F"/>
    <w:rsid w:val="002E2EBF"/>
    <w:rsid w:val="002E33F1"/>
    <w:rsid w:val="002E3516"/>
    <w:rsid w:val="002E37CC"/>
    <w:rsid w:val="002E3C98"/>
    <w:rsid w:val="002E3EB2"/>
    <w:rsid w:val="002E4A12"/>
    <w:rsid w:val="002E4A2C"/>
    <w:rsid w:val="002E4DD5"/>
    <w:rsid w:val="002E5072"/>
    <w:rsid w:val="002E5A9B"/>
    <w:rsid w:val="002E60B4"/>
    <w:rsid w:val="002E64AA"/>
    <w:rsid w:val="002E6849"/>
    <w:rsid w:val="002E714A"/>
    <w:rsid w:val="002E7D86"/>
    <w:rsid w:val="002F0106"/>
    <w:rsid w:val="002F07A3"/>
    <w:rsid w:val="002F0C0E"/>
    <w:rsid w:val="002F0E03"/>
    <w:rsid w:val="002F10C0"/>
    <w:rsid w:val="002F1B26"/>
    <w:rsid w:val="002F1B68"/>
    <w:rsid w:val="002F1CB3"/>
    <w:rsid w:val="002F2203"/>
    <w:rsid w:val="002F23A3"/>
    <w:rsid w:val="002F23F9"/>
    <w:rsid w:val="002F25A6"/>
    <w:rsid w:val="002F2724"/>
    <w:rsid w:val="002F3550"/>
    <w:rsid w:val="002F3625"/>
    <w:rsid w:val="002F3C6D"/>
    <w:rsid w:val="002F3EE3"/>
    <w:rsid w:val="002F3F31"/>
    <w:rsid w:val="002F4442"/>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15E9"/>
    <w:rsid w:val="00301DEB"/>
    <w:rsid w:val="003021CE"/>
    <w:rsid w:val="00302D75"/>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E6C"/>
    <w:rsid w:val="00315F1D"/>
    <w:rsid w:val="003165D3"/>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90A"/>
    <w:rsid w:val="00324A83"/>
    <w:rsid w:val="00324AC5"/>
    <w:rsid w:val="00324C39"/>
    <w:rsid w:val="003251F9"/>
    <w:rsid w:val="0032559F"/>
    <w:rsid w:val="00325802"/>
    <w:rsid w:val="0032581C"/>
    <w:rsid w:val="00325949"/>
    <w:rsid w:val="00325C82"/>
    <w:rsid w:val="00325E97"/>
    <w:rsid w:val="00325EE7"/>
    <w:rsid w:val="00325F85"/>
    <w:rsid w:val="003266A8"/>
    <w:rsid w:val="00326C3A"/>
    <w:rsid w:val="00326C48"/>
    <w:rsid w:val="003270C5"/>
    <w:rsid w:val="0032710C"/>
    <w:rsid w:val="00327141"/>
    <w:rsid w:val="0032782B"/>
    <w:rsid w:val="00327BC2"/>
    <w:rsid w:val="00330505"/>
    <w:rsid w:val="0033060C"/>
    <w:rsid w:val="00330779"/>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62D"/>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CFC"/>
    <w:rsid w:val="00344F2A"/>
    <w:rsid w:val="0034522E"/>
    <w:rsid w:val="0034529E"/>
    <w:rsid w:val="00345545"/>
    <w:rsid w:val="00347131"/>
    <w:rsid w:val="003471D1"/>
    <w:rsid w:val="00347344"/>
    <w:rsid w:val="00347387"/>
    <w:rsid w:val="003479E0"/>
    <w:rsid w:val="00347BAB"/>
    <w:rsid w:val="003501D5"/>
    <w:rsid w:val="00350453"/>
    <w:rsid w:val="0035075D"/>
    <w:rsid w:val="00350814"/>
    <w:rsid w:val="0035089A"/>
    <w:rsid w:val="00350949"/>
    <w:rsid w:val="00350B3F"/>
    <w:rsid w:val="003511C5"/>
    <w:rsid w:val="003516FB"/>
    <w:rsid w:val="0035223E"/>
    <w:rsid w:val="003523A4"/>
    <w:rsid w:val="00353FAD"/>
    <w:rsid w:val="0035415F"/>
    <w:rsid w:val="00354B48"/>
    <w:rsid w:val="00354B4E"/>
    <w:rsid w:val="00354CDE"/>
    <w:rsid w:val="00354F8F"/>
    <w:rsid w:val="00355140"/>
    <w:rsid w:val="003553C7"/>
    <w:rsid w:val="003556B3"/>
    <w:rsid w:val="003557CA"/>
    <w:rsid w:val="00355AD9"/>
    <w:rsid w:val="003560A4"/>
    <w:rsid w:val="00356951"/>
    <w:rsid w:val="00356FF2"/>
    <w:rsid w:val="0035760E"/>
    <w:rsid w:val="00357898"/>
    <w:rsid w:val="00357946"/>
    <w:rsid w:val="0036011C"/>
    <w:rsid w:val="00360398"/>
    <w:rsid w:val="003606AA"/>
    <w:rsid w:val="00360751"/>
    <w:rsid w:val="00361E2F"/>
    <w:rsid w:val="00363000"/>
    <w:rsid w:val="00363DE2"/>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63"/>
    <w:rsid w:val="00372BF9"/>
    <w:rsid w:val="00372E58"/>
    <w:rsid w:val="00372EE4"/>
    <w:rsid w:val="00372FD6"/>
    <w:rsid w:val="0037404D"/>
    <w:rsid w:val="00374799"/>
    <w:rsid w:val="00374A23"/>
    <w:rsid w:val="00375434"/>
    <w:rsid w:val="0037562C"/>
    <w:rsid w:val="00375760"/>
    <w:rsid w:val="00375DCD"/>
    <w:rsid w:val="003763B3"/>
    <w:rsid w:val="003766CF"/>
    <w:rsid w:val="00377115"/>
    <w:rsid w:val="00377B37"/>
    <w:rsid w:val="0038005A"/>
    <w:rsid w:val="00381323"/>
    <w:rsid w:val="00382E5E"/>
    <w:rsid w:val="00383077"/>
    <w:rsid w:val="003833A8"/>
    <w:rsid w:val="003833BB"/>
    <w:rsid w:val="00383D05"/>
    <w:rsid w:val="00383E23"/>
    <w:rsid w:val="0038482E"/>
    <w:rsid w:val="00384FAD"/>
    <w:rsid w:val="0038533F"/>
    <w:rsid w:val="00385457"/>
    <w:rsid w:val="00385790"/>
    <w:rsid w:val="003857C3"/>
    <w:rsid w:val="00385BB3"/>
    <w:rsid w:val="00386096"/>
    <w:rsid w:val="0038642E"/>
    <w:rsid w:val="00386669"/>
    <w:rsid w:val="003873F4"/>
    <w:rsid w:val="003878BE"/>
    <w:rsid w:val="00387A74"/>
    <w:rsid w:val="00387C8C"/>
    <w:rsid w:val="00390521"/>
    <w:rsid w:val="00390AC9"/>
    <w:rsid w:val="00391120"/>
    <w:rsid w:val="00391190"/>
    <w:rsid w:val="00391851"/>
    <w:rsid w:val="0039195E"/>
    <w:rsid w:val="00392072"/>
    <w:rsid w:val="0039267E"/>
    <w:rsid w:val="00392A21"/>
    <w:rsid w:val="003932B3"/>
    <w:rsid w:val="0039355E"/>
    <w:rsid w:val="003937BB"/>
    <w:rsid w:val="003937EC"/>
    <w:rsid w:val="00393828"/>
    <w:rsid w:val="00393B2D"/>
    <w:rsid w:val="00393B6E"/>
    <w:rsid w:val="00393B70"/>
    <w:rsid w:val="0039440E"/>
    <w:rsid w:val="0039460F"/>
    <w:rsid w:val="00394D97"/>
    <w:rsid w:val="00394F77"/>
    <w:rsid w:val="003950E4"/>
    <w:rsid w:val="003951AD"/>
    <w:rsid w:val="00395625"/>
    <w:rsid w:val="00395FA9"/>
    <w:rsid w:val="00396015"/>
    <w:rsid w:val="003960C5"/>
    <w:rsid w:val="00396115"/>
    <w:rsid w:val="0039661E"/>
    <w:rsid w:val="00397B28"/>
    <w:rsid w:val="003A0706"/>
    <w:rsid w:val="003A07DD"/>
    <w:rsid w:val="003A0A51"/>
    <w:rsid w:val="003A12B0"/>
    <w:rsid w:val="003A193E"/>
    <w:rsid w:val="003A1991"/>
    <w:rsid w:val="003A1DE3"/>
    <w:rsid w:val="003A21FF"/>
    <w:rsid w:val="003A2EC1"/>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A789A"/>
    <w:rsid w:val="003B0104"/>
    <w:rsid w:val="003B03E6"/>
    <w:rsid w:val="003B03F1"/>
    <w:rsid w:val="003B1342"/>
    <w:rsid w:val="003B188E"/>
    <w:rsid w:val="003B2406"/>
    <w:rsid w:val="003B2B85"/>
    <w:rsid w:val="003B34DE"/>
    <w:rsid w:val="003B3B12"/>
    <w:rsid w:val="003B42E0"/>
    <w:rsid w:val="003B4DBC"/>
    <w:rsid w:val="003B4F24"/>
    <w:rsid w:val="003B518E"/>
    <w:rsid w:val="003B5A52"/>
    <w:rsid w:val="003B5A6C"/>
    <w:rsid w:val="003B5E7C"/>
    <w:rsid w:val="003B60EA"/>
    <w:rsid w:val="003B646B"/>
    <w:rsid w:val="003B6714"/>
    <w:rsid w:val="003B74A5"/>
    <w:rsid w:val="003B7EE4"/>
    <w:rsid w:val="003B7EE8"/>
    <w:rsid w:val="003B7F77"/>
    <w:rsid w:val="003C013E"/>
    <w:rsid w:val="003C0E14"/>
    <w:rsid w:val="003C1601"/>
    <w:rsid w:val="003C1A30"/>
    <w:rsid w:val="003C1D0B"/>
    <w:rsid w:val="003C1FF1"/>
    <w:rsid w:val="003C2395"/>
    <w:rsid w:val="003C29F5"/>
    <w:rsid w:val="003C3326"/>
    <w:rsid w:val="003C40E4"/>
    <w:rsid w:val="003C481B"/>
    <w:rsid w:val="003C4F65"/>
    <w:rsid w:val="003C4F98"/>
    <w:rsid w:val="003C5303"/>
    <w:rsid w:val="003C540F"/>
    <w:rsid w:val="003C63D5"/>
    <w:rsid w:val="003C67B4"/>
    <w:rsid w:val="003D028F"/>
    <w:rsid w:val="003D0337"/>
    <w:rsid w:val="003D0899"/>
    <w:rsid w:val="003D0FDB"/>
    <w:rsid w:val="003D12D4"/>
    <w:rsid w:val="003D184A"/>
    <w:rsid w:val="003D1EC5"/>
    <w:rsid w:val="003D2196"/>
    <w:rsid w:val="003D2510"/>
    <w:rsid w:val="003D2B40"/>
    <w:rsid w:val="003D3A42"/>
    <w:rsid w:val="003D3E6B"/>
    <w:rsid w:val="003D44B3"/>
    <w:rsid w:val="003D47AB"/>
    <w:rsid w:val="003D5109"/>
    <w:rsid w:val="003D530F"/>
    <w:rsid w:val="003D54AC"/>
    <w:rsid w:val="003D5890"/>
    <w:rsid w:val="003D5971"/>
    <w:rsid w:val="003D604E"/>
    <w:rsid w:val="003D642A"/>
    <w:rsid w:val="003D6A30"/>
    <w:rsid w:val="003D741B"/>
    <w:rsid w:val="003E0150"/>
    <w:rsid w:val="003E0E98"/>
    <w:rsid w:val="003E0F89"/>
    <w:rsid w:val="003E118B"/>
    <w:rsid w:val="003E163E"/>
    <w:rsid w:val="003E2389"/>
    <w:rsid w:val="003E275F"/>
    <w:rsid w:val="003E2F98"/>
    <w:rsid w:val="003E3277"/>
    <w:rsid w:val="003E33D3"/>
    <w:rsid w:val="003E3A9E"/>
    <w:rsid w:val="003E42CC"/>
    <w:rsid w:val="003E461E"/>
    <w:rsid w:val="003E5A8B"/>
    <w:rsid w:val="003E6743"/>
    <w:rsid w:val="003E6870"/>
    <w:rsid w:val="003E68DB"/>
    <w:rsid w:val="003E6D20"/>
    <w:rsid w:val="003E753F"/>
    <w:rsid w:val="003E7750"/>
    <w:rsid w:val="003E796C"/>
    <w:rsid w:val="003E7A15"/>
    <w:rsid w:val="003E7A64"/>
    <w:rsid w:val="003E7EEA"/>
    <w:rsid w:val="003F0A33"/>
    <w:rsid w:val="003F0B55"/>
    <w:rsid w:val="003F0D8D"/>
    <w:rsid w:val="003F142A"/>
    <w:rsid w:val="003F1A04"/>
    <w:rsid w:val="003F1C35"/>
    <w:rsid w:val="003F26FD"/>
    <w:rsid w:val="003F27D9"/>
    <w:rsid w:val="003F28BE"/>
    <w:rsid w:val="003F2E8C"/>
    <w:rsid w:val="003F3D80"/>
    <w:rsid w:val="003F41C9"/>
    <w:rsid w:val="003F42CA"/>
    <w:rsid w:val="003F44FF"/>
    <w:rsid w:val="003F478C"/>
    <w:rsid w:val="003F4D3B"/>
    <w:rsid w:val="003F4DB4"/>
    <w:rsid w:val="003F4DBE"/>
    <w:rsid w:val="003F4EC7"/>
    <w:rsid w:val="003F541B"/>
    <w:rsid w:val="003F54C8"/>
    <w:rsid w:val="003F55B7"/>
    <w:rsid w:val="003F560F"/>
    <w:rsid w:val="003F5C87"/>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752"/>
    <w:rsid w:val="004038A2"/>
    <w:rsid w:val="00403A51"/>
    <w:rsid w:val="00403C76"/>
    <w:rsid w:val="004041FE"/>
    <w:rsid w:val="00404717"/>
    <w:rsid w:val="00405221"/>
    <w:rsid w:val="00405441"/>
    <w:rsid w:val="004059BB"/>
    <w:rsid w:val="00405B34"/>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3F11"/>
    <w:rsid w:val="004144F4"/>
    <w:rsid w:val="00414741"/>
    <w:rsid w:val="00414986"/>
    <w:rsid w:val="00415987"/>
    <w:rsid w:val="00415B69"/>
    <w:rsid w:val="0041602B"/>
    <w:rsid w:val="0041637C"/>
    <w:rsid w:val="004165E8"/>
    <w:rsid w:val="004168F2"/>
    <w:rsid w:val="00416DA1"/>
    <w:rsid w:val="00420AF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3C5"/>
    <w:rsid w:val="00426CD4"/>
    <w:rsid w:val="004273B9"/>
    <w:rsid w:val="00427A7F"/>
    <w:rsid w:val="00427B93"/>
    <w:rsid w:val="00431E58"/>
    <w:rsid w:val="004327DF"/>
    <w:rsid w:val="004329DF"/>
    <w:rsid w:val="00432DE8"/>
    <w:rsid w:val="004332C2"/>
    <w:rsid w:val="00433AAB"/>
    <w:rsid w:val="00433D96"/>
    <w:rsid w:val="00434353"/>
    <w:rsid w:val="0043491C"/>
    <w:rsid w:val="00435077"/>
    <w:rsid w:val="00435260"/>
    <w:rsid w:val="00435E9B"/>
    <w:rsid w:val="0043604C"/>
    <w:rsid w:val="004362D4"/>
    <w:rsid w:val="00436365"/>
    <w:rsid w:val="00436538"/>
    <w:rsid w:val="004366FF"/>
    <w:rsid w:val="00436A66"/>
    <w:rsid w:val="00436AA1"/>
    <w:rsid w:val="00436C83"/>
    <w:rsid w:val="00437684"/>
    <w:rsid w:val="00437973"/>
    <w:rsid w:val="00440675"/>
    <w:rsid w:val="004418B9"/>
    <w:rsid w:val="00441A89"/>
    <w:rsid w:val="00441B2A"/>
    <w:rsid w:val="00441C1E"/>
    <w:rsid w:val="00441CEA"/>
    <w:rsid w:val="00441D7C"/>
    <w:rsid w:val="004421B3"/>
    <w:rsid w:val="00442435"/>
    <w:rsid w:val="00442586"/>
    <w:rsid w:val="0044287B"/>
    <w:rsid w:val="00443253"/>
    <w:rsid w:val="00443D32"/>
    <w:rsid w:val="00443D97"/>
    <w:rsid w:val="00444385"/>
    <w:rsid w:val="00444921"/>
    <w:rsid w:val="00444955"/>
    <w:rsid w:val="00444B1D"/>
    <w:rsid w:val="00444DD9"/>
    <w:rsid w:val="0044536E"/>
    <w:rsid w:val="004454C8"/>
    <w:rsid w:val="004454E3"/>
    <w:rsid w:val="004457B6"/>
    <w:rsid w:val="004459EB"/>
    <w:rsid w:val="00445C79"/>
    <w:rsid w:val="0044692E"/>
    <w:rsid w:val="0044694D"/>
    <w:rsid w:val="00447399"/>
    <w:rsid w:val="00447AC4"/>
    <w:rsid w:val="00447BAC"/>
    <w:rsid w:val="00447CA9"/>
    <w:rsid w:val="00447E8B"/>
    <w:rsid w:val="004506D5"/>
    <w:rsid w:val="00451672"/>
    <w:rsid w:val="004529B7"/>
    <w:rsid w:val="00452A0B"/>
    <w:rsid w:val="00452B5C"/>
    <w:rsid w:val="00452DDA"/>
    <w:rsid w:val="00453950"/>
    <w:rsid w:val="004540F5"/>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36A"/>
    <w:rsid w:val="00460506"/>
    <w:rsid w:val="00460B9D"/>
    <w:rsid w:val="00461164"/>
    <w:rsid w:val="00461BA3"/>
    <w:rsid w:val="00461F1A"/>
    <w:rsid w:val="004620C5"/>
    <w:rsid w:val="00462314"/>
    <w:rsid w:val="0046248C"/>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AE0"/>
    <w:rsid w:val="00475B08"/>
    <w:rsid w:val="00476A95"/>
    <w:rsid w:val="00476EE3"/>
    <w:rsid w:val="00476EF2"/>
    <w:rsid w:val="00476F99"/>
    <w:rsid w:val="004772B8"/>
    <w:rsid w:val="004773BC"/>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A75"/>
    <w:rsid w:val="00485B32"/>
    <w:rsid w:val="00485D7C"/>
    <w:rsid w:val="004860F6"/>
    <w:rsid w:val="004863A4"/>
    <w:rsid w:val="004863F2"/>
    <w:rsid w:val="00486516"/>
    <w:rsid w:val="00486823"/>
    <w:rsid w:val="004878A7"/>
    <w:rsid w:val="00487E4D"/>
    <w:rsid w:val="00490115"/>
    <w:rsid w:val="004907F0"/>
    <w:rsid w:val="0049082D"/>
    <w:rsid w:val="004908DB"/>
    <w:rsid w:val="004909CC"/>
    <w:rsid w:val="00490C57"/>
    <w:rsid w:val="00490D15"/>
    <w:rsid w:val="00490E79"/>
    <w:rsid w:val="004939D9"/>
    <w:rsid w:val="004943A0"/>
    <w:rsid w:val="00494BB1"/>
    <w:rsid w:val="00495434"/>
    <w:rsid w:val="004959B1"/>
    <w:rsid w:val="00495E0C"/>
    <w:rsid w:val="00495F0F"/>
    <w:rsid w:val="00496208"/>
    <w:rsid w:val="00496CB2"/>
    <w:rsid w:val="00496EE6"/>
    <w:rsid w:val="0049726C"/>
    <w:rsid w:val="00497DCD"/>
    <w:rsid w:val="004A06CE"/>
    <w:rsid w:val="004A09FA"/>
    <w:rsid w:val="004A104A"/>
    <w:rsid w:val="004A14C6"/>
    <w:rsid w:val="004A1515"/>
    <w:rsid w:val="004A2093"/>
    <w:rsid w:val="004A2608"/>
    <w:rsid w:val="004A282C"/>
    <w:rsid w:val="004A2A97"/>
    <w:rsid w:val="004A2D39"/>
    <w:rsid w:val="004A359E"/>
    <w:rsid w:val="004A3870"/>
    <w:rsid w:val="004A3BF5"/>
    <w:rsid w:val="004A3C60"/>
    <w:rsid w:val="004A42FF"/>
    <w:rsid w:val="004A4C92"/>
    <w:rsid w:val="004A547D"/>
    <w:rsid w:val="004A559D"/>
    <w:rsid w:val="004A5AEB"/>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5D"/>
    <w:rsid w:val="004B56EF"/>
    <w:rsid w:val="004B5A30"/>
    <w:rsid w:val="004B5B9C"/>
    <w:rsid w:val="004B60F7"/>
    <w:rsid w:val="004B6EBB"/>
    <w:rsid w:val="004B7223"/>
    <w:rsid w:val="004B7B7D"/>
    <w:rsid w:val="004B7E5D"/>
    <w:rsid w:val="004B7E89"/>
    <w:rsid w:val="004B7F57"/>
    <w:rsid w:val="004B7F8F"/>
    <w:rsid w:val="004C09F7"/>
    <w:rsid w:val="004C0C6F"/>
    <w:rsid w:val="004C1261"/>
    <w:rsid w:val="004C19CA"/>
    <w:rsid w:val="004C1B40"/>
    <w:rsid w:val="004C1D5B"/>
    <w:rsid w:val="004C2376"/>
    <w:rsid w:val="004C2C11"/>
    <w:rsid w:val="004C2C1F"/>
    <w:rsid w:val="004C2C45"/>
    <w:rsid w:val="004C2E15"/>
    <w:rsid w:val="004C2F16"/>
    <w:rsid w:val="004C3114"/>
    <w:rsid w:val="004C3BCE"/>
    <w:rsid w:val="004C4F8E"/>
    <w:rsid w:val="004C510E"/>
    <w:rsid w:val="004C5666"/>
    <w:rsid w:val="004C5B0C"/>
    <w:rsid w:val="004C5CB9"/>
    <w:rsid w:val="004C5EA7"/>
    <w:rsid w:val="004C6678"/>
    <w:rsid w:val="004C6C77"/>
    <w:rsid w:val="004C6EC7"/>
    <w:rsid w:val="004C6FE4"/>
    <w:rsid w:val="004C733A"/>
    <w:rsid w:val="004C7481"/>
    <w:rsid w:val="004C74A5"/>
    <w:rsid w:val="004C7706"/>
    <w:rsid w:val="004C7834"/>
    <w:rsid w:val="004D0656"/>
    <w:rsid w:val="004D0667"/>
    <w:rsid w:val="004D0FB4"/>
    <w:rsid w:val="004D1106"/>
    <w:rsid w:val="004D1835"/>
    <w:rsid w:val="004D20CF"/>
    <w:rsid w:val="004D237A"/>
    <w:rsid w:val="004D2CC4"/>
    <w:rsid w:val="004D2E8F"/>
    <w:rsid w:val="004D3123"/>
    <w:rsid w:val="004D3272"/>
    <w:rsid w:val="004D32E8"/>
    <w:rsid w:val="004D3CE7"/>
    <w:rsid w:val="004D4108"/>
    <w:rsid w:val="004D45A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BA3"/>
    <w:rsid w:val="004E2EA2"/>
    <w:rsid w:val="004E3016"/>
    <w:rsid w:val="004E39D7"/>
    <w:rsid w:val="004E43ED"/>
    <w:rsid w:val="004E4730"/>
    <w:rsid w:val="004E4DBC"/>
    <w:rsid w:val="004E4FED"/>
    <w:rsid w:val="004E502B"/>
    <w:rsid w:val="004E5454"/>
    <w:rsid w:val="004E54B8"/>
    <w:rsid w:val="004E5EEC"/>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3821"/>
    <w:rsid w:val="00503F08"/>
    <w:rsid w:val="00504270"/>
    <w:rsid w:val="005044E1"/>
    <w:rsid w:val="0050479E"/>
    <w:rsid w:val="005049B4"/>
    <w:rsid w:val="00504BE5"/>
    <w:rsid w:val="005057FB"/>
    <w:rsid w:val="00505918"/>
    <w:rsid w:val="00505B6C"/>
    <w:rsid w:val="005063F9"/>
    <w:rsid w:val="00506AC1"/>
    <w:rsid w:val="00507258"/>
    <w:rsid w:val="005073BC"/>
    <w:rsid w:val="00507935"/>
    <w:rsid w:val="0051019E"/>
    <w:rsid w:val="00510642"/>
    <w:rsid w:val="00510AC6"/>
    <w:rsid w:val="00510B56"/>
    <w:rsid w:val="00510D19"/>
    <w:rsid w:val="005113F5"/>
    <w:rsid w:val="00512080"/>
    <w:rsid w:val="005122E8"/>
    <w:rsid w:val="0051232A"/>
    <w:rsid w:val="00512332"/>
    <w:rsid w:val="00512541"/>
    <w:rsid w:val="00512D62"/>
    <w:rsid w:val="0051322F"/>
    <w:rsid w:val="00513826"/>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8C"/>
    <w:rsid w:val="00524C9B"/>
    <w:rsid w:val="00525019"/>
    <w:rsid w:val="005252B2"/>
    <w:rsid w:val="00526720"/>
    <w:rsid w:val="00526BF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C15"/>
    <w:rsid w:val="00536F70"/>
    <w:rsid w:val="00536FC6"/>
    <w:rsid w:val="00537B59"/>
    <w:rsid w:val="00537E5C"/>
    <w:rsid w:val="00537FBB"/>
    <w:rsid w:val="0054031E"/>
    <w:rsid w:val="005405CB"/>
    <w:rsid w:val="00540A69"/>
    <w:rsid w:val="00540CDE"/>
    <w:rsid w:val="00540F7D"/>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56E"/>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308"/>
    <w:rsid w:val="0056631A"/>
    <w:rsid w:val="00566604"/>
    <w:rsid w:val="005669FD"/>
    <w:rsid w:val="00566B0A"/>
    <w:rsid w:val="00566C35"/>
    <w:rsid w:val="00566EC6"/>
    <w:rsid w:val="00567793"/>
    <w:rsid w:val="00567799"/>
    <w:rsid w:val="00570592"/>
    <w:rsid w:val="00570874"/>
    <w:rsid w:val="00570E7B"/>
    <w:rsid w:val="00570F2D"/>
    <w:rsid w:val="00570F2E"/>
    <w:rsid w:val="00571265"/>
    <w:rsid w:val="0057159D"/>
    <w:rsid w:val="005715FC"/>
    <w:rsid w:val="00571E91"/>
    <w:rsid w:val="005727C2"/>
    <w:rsid w:val="00572B6E"/>
    <w:rsid w:val="005734DF"/>
    <w:rsid w:val="0057383D"/>
    <w:rsid w:val="00573AA9"/>
    <w:rsid w:val="00573FBD"/>
    <w:rsid w:val="00574CC9"/>
    <w:rsid w:val="00575747"/>
    <w:rsid w:val="0057588D"/>
    <w:rsid w:val="00575F60"/>
    <w:rsid w:val="00575F87"/>
    <w:rsid w:val="00575FB8"/>
    <w:rsid w:val="00576178"/>
    <w:rsid w:val="005773FB"/>
    <w:rsid w:val="0057759F"/>
    <w:rsid w:val="0057775F"/>
    <w:rsid w:val="00577978"/>
    <w:rsid w:val="00577FA9"/>
    <w:rsid w:val="00580296"/>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1E"/>
    <w:rsid w:val="00594721"/>
    <w:rsid w:val="005949C4"/>
    <w:rsid w:val="005950A4"/>
    <w:rsid w:val="005951B3"/>
    <w:rsid w:val="005952E2"/>
    <w:rsid w:val="0059569C"/>
    <w:rsid w:val="00595A54"/>
    <w:rsid w:val="00595D26"/>
    <w:rsid w:val="005963D9"/>
    <w:rsid w:val="00596837"/>
    <w:rsid w:val="00596BD2"/>
    <w:rsid w:val="00596FEA"/>
    <w:rsid w:val="00597524"/>
    <w:rsid w:val="005A0CFD"/>
    <w:rsid w:val="005A18A9"/>
    <w:rsid w:val="005A1AA6"/>
    <w:rsid w:val="005A2705"/>
    <w:rsid w:val="005A3049"/>
    <w:rsid w:val="005A35B0"/>
    <w:rsid w:val="005A3789"/>
    <w:rsid w:val="005A3898"/>
    <w:rsid w:val="005A3A17"/>
    <w:rsid w:val="005A3A6F"/>
    <w:rsid w:val="005A3D15"/>
    <w:rsid w:val="005A3DA1"/>
    <w:rsid w:val="005A4E10"/>
    <w:rsid w:val="005A5079"/>
    <w:rsid w:val="005A6416"/>
    <w:rsid w:val="005A65ED"/>
    <w:rsid w:val="005A7132"/>
    <w:rsid w:val="005A72D2"/>
    <w:rsid w:val="005A743F"/>
    <w:rsid w:val="005A7656"/>
    <w:rsid w:val="005A7833"/>
    <w:rsid w:val="005A7C0C"/>
    <w:rsid w:val="005A7C98"/>
    <w:rsid w:val="005A7D8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C6F"/>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353D"/>
    <w:rsid w:val="005C4226"/>
    <w:rsid w:val="005C4C87"/>
    <w:rsid w:val="005C4D56"/>
    <w:rsid w:val="005C4DD9"/>
    <w:rsid w:val="005C5100"/>
    <w:rsid w:val="005C5757"/>
    <w:rsid w:val="005C5E70"/>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2003"/>
    <w:rsid w:val="005D217C"/>
    <w:rsid w:val="005D2184"/>
    <w:rsid w:val="005D2501"/>
    <w:rsid w:val="005D2C2F"/>
    <w:rsid w:val="005D3612"/>
    <w:rsid w:val="005D37D5"/>
    <w:rsid w:val="005D4196"/>
    <w:rsid w:val="005D4656"/>
    <w:rsid w:val="005D485F"/>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24C"/>
    <w:rsid w:val="005E3289"/>
    <w:rsid w:val="005E3A16"/>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1E13"/>
    <w:rsid w:val="005F25FB"/>
    <w:rsid w:val="005F2FD9"/>
    <w:rsid w:val="005F359D"/>
    <w:rsid w:val="005F3C73"/>
    <w:rsid w:val="005F3D7D"/>
    <w:rsid w:val="005F3F71"/>
    <w:rsid w:val="005F4919"/>
    <w:rsid w:val="005F4C98"/>
    <w:rsid w:val="005F50A5"/>
    <w:rsid w:val="005F562D"/>
    <w:rsid w:val="005F6625"/>
    <w:rsid w:val="005F6986"/>
    <w:rsid w:val="005F72F6"/>
    <w:rsid w:val="005F770C"/>
    <w:rsid w:val="006006B5"/>
    <w:rsid w:val="00600791"/>
    <w:rsid w:val="00600888"/>
    <w:rsid w:val="00600956"/>
    <w:rsid w:val="00600AB4"/>
    <w:rsid w:val="00600BF7"/>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342"/>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329"/>
    <w:rsid w:val="00613542"/>
    <w:rsid w:val="006139AC"/>
    <w:rsid w:val="00613A53"/>
    <w:rsid w:val="00614E9E"/>
    <w:rsid w:val="006158AE"/>
    <w:rsid w:val="00615A4F"/>
    <w:rsid w:val="00615EC1"/>
    <w:rsid w:val="00616273"/>
    <w:rsid w:val="0061666A"/>
    <w:rsid w:val="00616E0A"/>
    <w:rsid w:val="006170DD"/>
    <w:rsid w:val="006178C2"/>
    <w:rsid w:val="006179DE"/>
    <w:rsid w:val="00617E15"/>
    <w:rsid w:val="006201AD"/>
    <w:rsid w:val="00620334"/>
    <w:rsid w:val="006207D8"/>
    <w:rsid w:val="00620875"/>
    <w:rsid w:val="00620E8A"/>
    <w:rsid w:val="00621BA1"/>
    <w:rsid w:val="00622067"/>
    <w:rsid w:val="00622BFF"/>
    <w:rsid w:val="00622C5A"/>
    <w:rsid w:val="00622E3D"/>
    <w:rsid w:val="0062324E"/>
    <w:rsid w:val="0062382C"/>
    <w:rsid w:val="006238A0"/>
    <w:rsid w:val="006238DB"/>
    <w:rsid w:val="006239F6"/>
    <w:rsid w:val="0062492C"/>
    <w:rsid w:val="00624B81"/>
    <w:rsid w:val="00624FFC"/>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BC3"/>
    <w:rsid w:val="00630CE4"/>
    <w:rsid w:val="00630F50"/>
    <w:rsid w:val="00631023"/>
    <w:rsid w:val="00632400"/>
    <w:rsid w:val="00632522"/>
    <w:rsid w:val="0063277F"/>
    <w:rsid w:val="00633E63"/>
    <w:rsid w:val="006340BB"/>
    <w:rsid w:val="00634246"/>
    <w:rsid w:val="006344B2"/>
    <w:rsid w:val="00634526"/>
    <w:rsid w:val="0063460B"/>
    <w:rsid w:val="00634FB1"/>
    <w:rsid w:val="006360C1"/>
    <w:rsid w:val="0063653A"/>
    <w:rsid w:val="006371F4"/>
    <w:rsid w:val="006377BF"/>
    <w:rsid w:val="00640233"/>
    <w:rsid w:val="006402C8"/>
    <w:rsid w:val="006406EB"/>
    <w:rsid w:val="00640EF0"/>
    <w:rsid w:val="0064106A"/>
    <w:rsid w:val="00641081"/>
    <w:rsid w:val="00641643"/>
    <w:rsid w:val="00641879"/>
    <w:rsid w:val="0064254B"/>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D8A"/>
    <w:rsid w:val="00646E3D"/>
    <w:rsid w:val="00646FC6"/>
    <w:rsid w:val="00647372"/>
    <w:rsid w:val="00647527"/>
    <w:rsid w:val="00647DE0"/>
    <w:rsid w:val="00647EF8"/>
    <w:rsid w:val="006500B4"/>
    <w:rsid w:val="00650300"/>
    <w:rsid w:val="00650BFB"/>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168B"/>
    <w:rsid w:val="0066175A"/>
    <w:rsid w:val="00661A64"/>
    <w:rsid w:val="00662444"/>
    <w:rsid w:val="00662828"/>
    <w:rsid w:val="00662906"/>
    <w:rsid w:val="00662F54"/>
    <w:rsid w:val="006639A5"/>
    <w:rsid w:val="0066464F"/>
    <w:rsid w:val="00665088"/>
    <w:rsid w:val="00665C65"/>
    <w:rsid w:val="00665DA7"/>
    <w:rsid w:val="00665F44"/>
    <w:rsid w:val="00666022"/>
    <w:rsid w:val="00666A94"/>
    <w:rsid w:val="00666B39"/>
    <w:rsid w:val="006670EE"/>
    <w:rsid w:val="00667391"/>
    <w:rsid w:val="00667597"/>
    <w:rsid w:val="00667D42"/>
    <w:rsid w:val="00670981"/>
    <w:rsid w:val="00671014"/>
    <w:rsid w:val="00671114"/>
    <w:rsid w:val="00671375"/>
    <w:rsid w:val="00671C87"/>
    <w:rsid w:val="00671D7B"/>
    <w:rsid w:val="0067221C"/>
    <w:rsid w:val="00672986"/>
    <w:rsid w:val="00672BFD"/>
    <w:rsid w:val="00672C71"/>
    <w:rsid w:val="00672D03"/>
    <w:rsid w:val="00672FDB"/>
    <w:rsid w:val="00673191"/>
    <w:rsid w:val="00673314"/>
    <w:rsid w:val="0067359C"/>
    <w:rsid w:val="00673703"/>
    <w:rsid w:val="006737B2"/>
    <w:rsid w:val="0067384C"/>
    <w:rsid w:val="00673A1E"/>
    <w:rsid w:val="006745F5"/>
    <w:rsid w:val="006747A6"/>
    <w:rsid w:val="00674A7A"/>
    <w:rsid w:val="00674CB6"/>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8F0"/>
    <w:rsid w:val="00682962"/>
    <w:rsid w:val="006829EC"/>
    <w:rsid w:val="00682A4D"/>
    <w:rsid w:val="0068335E"/>
    <w:rsid w:val="006834EE"/>
    <w:rsid w:val="00683C93"/>
    <w:rsid w:val="00683CFD"/>
    <w:rsid w:val="00683ED5"/>
    <w:rsid w:val="00684187"/>
    <w:rsid w:val="00684385"/>
    <w:rsid w:val="00684850"/>
    <w:rsid w:val="006852F0"/>
    <w:rsid w:val="0068568D"/>
    <w:rsid w:val="006861EC"/>
    <w:rsid w:val="0068664E"/>
    <w:rsid w:val="00686C61"/>
    <w:rsid w:val="0068712A"/>
    <w:rsid w:val="0068739E"/>
    <w:rsid w:val="00690093"/>
    <w:rsid w:val="0069050F"/>
    <w:rsid w:val="0069134E"/>
    <w:rsid w:val="0069204D"/>
    <w:rsid w:val="00693063"/>
    <w:rsid w:val="00693662"/>
    <w:rsid w:val="00694EFB"/>
    <w:rsid w:val="0069564C"/>
    <w:rsid w:val="00695693"/>
    <w:rsid w:val="006957D4"/>
    <w:rsid w:val="00695D9B"/>
    <w:rsid w:val="00696228"/>
    <w:rsid w:val="006962A4"/>
    <w:rsid w:val="00696A76"/>
    <w:rsid w:val="00696F0C"/>
    <w:rsid w:val="0069721E"/>
    <w:rsid w:val="0069798F"/>
    <w:rsid w:val="00697D30"/>
    <w:rsid w:val="006A02C0"/>
    <w:rsid w:val="006A0328"/>
    <w:rsid w:val="006A0E7E"/>
    <w:rsid w:val="006A1121"/>
    <w:rsid w:val="006A15C7"/>
    <w:rsid w:val="006A1AFE"/>
    <w:rsid w:val="006A24F4"/>
    <w:rsid w:val="006A2604"/>
    <w:rsid w:val="006A2CF3"/>
    <w:rsid w:val="006A30F8"/>
    <w:rsid w:val="006A338D"/>
    <w:rsid w:val="006A3550"/>
    <w:rsid w:val="006A3860"/>
    <w:rsid w:val="006A4152"/>
    <w:rsid w:val="006A41D5"/>
    <w:rsid w:val="006A42AD"/>
    <w:rsid w:val="006A4CF2"/>
    <w:rsid w:val="006A5124"/>
    <w:rsid w:val="006A5AD4"/>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B3D"/>
    <w:rsid w:val="006B3DD9"/>
    <w:rsid w:val="006B40B5"/>
    <w:rsid w:val="006B4833"/>
    <w:rsid w:val="006B4D5C"/>
    <w:rsid w:val="006B5871"/>
    <w:rsid w:val="006B5B8C"/>
    <w:rsid w:val="006B5E4D"/>
    <w:rsid w:val="006B5F75"/>
    <w:rsid w:val="006B63D0"/>
    <w:rsid w:val="006B6ADA"/>
    <w:rsid w:val="006B72CA"/>
    <w:rsid w:val="006B74C0"/>
    <w:rsid w:val="006B798C"/>
    <w:rsid w:val="006C087D"/>
    <w:rsid w:val="006C0BB1"/>
    <w:rsid w:val="006C10F4"/>
    <w:rsid w:val="006C1298"/>
    <w:rsid w:val="006C1AA2"/>
    <w:rsid w:val="006C2514"/>
    <w:rsid w:val="006C2681"/>
    <w:rsid w:val="006C3578"/>
    <w:rsid w:val="006C397A"/>
    <w:rsid w:val="006C399C"/>
    <w:rsid w:val="006C3F0F"/>
    <w:rsid w:val="006C435E"/>
    <w:rsid w:val="006C43EA"/>
    <w:rsid w:val="006C4585"/>
    <w:rsid w:val="006C4A1D"/>
    <w:rsid w:val="006C4B5E"/>
    <w:rsid w:val="006C629A"/>
    <w:rsid w:val="006C659A"/>
    <w:rsid w:val="006C65F2"/>
    <w:rsid w:val="006C67E7"/>
    <w:rsid w:val="006C6800"/>
    <w:rsid w:val="006C6D7A"/>
    <w:rsid w:val="006C704E"/>
    <w:rsid w:val="006C77BA"/>
    <w:rsid w:val="006C78D1"/>
    <w:rsid w:val="006C7B07"/>
    <w:rsid w:val="006D0705"/>
    <w:rsid w:val="006D0D99"/>
    <w:rsid w:val="006D1601"/>
    <w:rsid w:val="006D16F2"/>
    <w:rsid w:val="006D1C6A"/>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8A5"/>
    <w:rsid w:val="006D6A54"/>
    <w:rsid w:val="006D6B5B"/>
    <w:rsid w:val="006D72F8"/>
    <w:rsid w:val="006D7A83"/>
    <w:rsid w:val="006D7AFA"/>
    <w:rsid w:val="006D7F2D"/>
    <w:rsid w:val="006E060B"/>
    <w:rsid w:val="006E1858"/>
    <w:rsid w:val="006E1C67"/>
    <w:rsid w:val="006E1F50"/>
    <w:rsid w:val="006E236B"/>
    <w:rsid w:val="006E24E8"/>
    <w:rsid w:val="006E28D2"/>
    <w:rsid w:val="006E2AC3"/>
    <w:rsid w:val="006E30E4"/>
    <w:rsid w:val="006E345F"/>
    <w:rsid w:val="006E37D4"/>
    <w:rsid w:val="006E3DEF"/>
    <w:rsid w:val="006E447F"/>
    <w:rsid w:val="006E4845"/>
    <w:rsid w:val="006E48F7"/>
    <w:rsid w:val="006E4A0A"/>
    <w:rsid w:val="006E4DFC"/>
    <w:rsid w:val="006E4EA0"/>
    <w:rsid w:val="006E587A"/>
    <w:rsid w:val="006E598E"/>
    <w:rsid w:val="006E6BE9"/>
    <w:rsid w:val="006F0065"/>
    <w:rsid w:val="006F0C5F"/>
    <w:rsid w:val="006F140A"/>
    <w:rsid w:val="006F19A0"/>
    <w:rsid w:val="006F1B9A"/>
    <w:rsid w:val="006F1E4A"/>
    <w:rsid w:val="006F2527"/>
    <w:rsid w:val="006F26A9"/>
    <w:rsid w:val="006F2913"/>
    <w:rsid w:val="006F2DD2"/>
    <w:rsid w:val="006F2F10"/>
    <w:rsid w:val="006F387D"/>
    <w:rsid w:val="006F3983"/>
    <w:rsid w:val="006F4066"/>
    <w:rsid w:val="006F4223"/>
    <w:rsid w:val="006F4E9C"/>
    <w:rsid w:val="006F556B"/>
    <w:rsid w:val="006F5638"/>
    <w:rsid w:val="006F58F8"/>
    <w:rsid w:val="006F5915"/>
    <w:rsid w:val="006F614B"/>
    <w:rsid w:val="006F66C7"/>
    <w:rsid w:val="006F6A52"/>
    <w:rsid w:val="006F6F59"/>
    <w:rsid w:val="006F72D9"/>
    <w:rsid w:val="006F7741"/>
    <w:rsid w:val="007000C1"/>
    <w:rsid w:val="00700B1C"/>
    <w:rsid w:val="00701159"/>
    <w:rsid w:val="00701C8C"/>
    <w:rsid w:val="007023DB"/>
    <w:rsid w:val="007026BC"/>
    <w:rsid w:val="00702A6A"/>
    <w:rsid w:val="00703A9E"/>
    <w:rsid w:val="00703DB1"/>
    <w:rsid w:val="0070430E"/>
    <w:rsid w:val="007045AE"/>
    <w:rsid w:val="00704623"/>
    <w:rsid w:val="00704B0E"/>
    <w:rsid w:val="0070535A"/>
    <w:rsid w:val="00705CB9"/>
    <w:rsid w:val="00706291"/>
    <w:rsid w:val="00707044"/>
    <w:rsid w:val="0070740B"/>
    <w:rsid w:val="00707468"/>
    <w:rsid w:val="00707562"/>
    <w:rsid w:val="00710082"/>
    <w:rsid w:val="00710BC0"/>
    <w:rsid w:val="00710F7D"/>
    <w:rsid w:val="00711168"/>
    <w:rsid w:val="007115CF"/>
    <w:rsid w:val="007117EC"/>
    <w:rsid w:val="00711947"/>
    <w:rsid w:val="00711BE4"/>
    <w:rsid w:val="0071224C"/>
    <w:rsid w:val="00712540"/>
    <w:rsid w:val="0071279D"/>
    <w:rsid w:val="00713A7B"/>
    <w:rsid w:val="00713C5A"/>
    <w:rsid w:val="007141CA"/>
    <w:rsid w:val="00714CE7"/>
    <w:rsid w:val="00714EF0"/>
    <w:rsid w:val="00715127"/>
    <w:rsid w:val="0071577D"/>
    <w:rsid w:val="0071597F"/>
    <w:rsid w:val="00716068"/>
    <w:rsid w:val="00716C8C"/>
    <w:rsid w:val="00716F34"/>
    <w:rsid w:val="0071707B"/>
    <w:rsid w:val="00717229"/>
    <w:rsid w:val="007178D2"/>
    <w:rsid w:val="00720124"/>
    <w:rsid w:val="00720B83"/>
    <w:rsid w:val="00720F7B"/>
    <w:rsid w:val="00721272"/>
    <w:rsid w:val="00721325"/>
    <w:rsid w:val="007214CE"/>
    <w:rsid w:val="00721521"/>
    <w:rsid w:val="00721C48"/>
    <w:rsid w:val="0072237E"/>
    <w:rsid w:val="00723B26"/>
    <w:rsid w:val="0072415A"/>
    <w:rsid w:val="00724388"/>
    <w:rsid w:val="007245ED"/>
    <w:rsid w:val="00724CCE"/>
    <w:rsid w:val="00725104"/>
    <w:rsid w:val="0072528F"/>
    <w:rsid w:val="007253E4"/>
    <w:rsid w:val="0072554A"/>
    <w:rsid w:val="0072582C"/>
    <w:rsid w:val="00725C81"/>
    <w:rsid w:val="0072634A"/>
    <w:rsid w:val="00730181"/>
    <w:rsid w:val="00730271"/>
    <w:rsid w:val="00730789"/>
    <w:rsid w:val="00730E36"/>
    <w:rsid w:val="007318A8"/>
    <w:rsid w:val="00731C22"/>
    <w:rsid w:val="007323C6"/>
    <w:rsid w:val="007325C8"/>
    <w:rsid w:val="007333F7"/>
    <w:rsid w:val="00733464"/>
    <w:rsid w:val="00733EF1"/>
    <w:rsid w:val="007341D9"/>
    <w:rsid w:val="007350C4"/>
    <w:rsid w:val="00735592"/>
    <w:rsid w:val="007357A5"/>
    <w:rsid w:val="00735E8E"/>
    <w:rsid w:val="00735F7D"/>
    <w:rsid w:val="007365F3"/>
    <w:rsid w:val="00736C5B"/>
    <w:rsid w:val="00736F3A"/>
    <w:rsid w:val="007376FB"/>
    <w:rsid w:val="00737AD8"/>
    <w:rsid w:val="00737BCE"/>
    <w:rsid w:val="00737CB8"/>
    <w:rsid w:val="007403B8"/>
    <w:rsid w:val="00740593"/>
    <w:rsid w:val="0074106C"/>
    <w:rsid w:val="0074124E"/>
    <w:rsid w:val="007413DE"/>
    <w:rsid w:val="007416B0"/>
    <w:rsid w:val="00741B03"/>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2CB"/>
    <w:rsid w:val="007504B0"/>
    <w:rsid w:val="007506BB"/>
    <w:rsid w:val="00750780"/>
    <w:rsid w:val="007508FA"/>
    <w:rsid w:val="00750984"/>
    <w:rsid w:val="00751C3E"/>
    <w:rsid w:val="00751D5E"/>
    <w:rsid w:val="00751DB9"/>
    <w:rsid w:val="00751E5B"/>
    <w:rsid w:val="00752855"/>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9B5"/>
    <w:rsid w:val="00761BE3"/>
    <w:rsid w:val="00762376"/>
    <w:rsid w:val="0076288F"/>
    <w:rsid w:val="00762A10"/>
    <w:rsid w:val="00762B16"/>
    <w:rsid w:val="00763518"/>
    <w:rsid w:val="0076374E"/>
    <w:rsid w:val="00763A03"/>
    <w:rsid w:val="00763F93"/>
    <w:rsid w:val="00764169"/>
    <w:rsid w:val="00764283"/>
    <w:rsid w:val="00764391"/>
    <w:rsid w:val="0076463D"/>
    <w:rsid w:val="00764701"/>
    <w:rsid w:val="00764C8F"/>
    <w:rsid w:val="00765B42"/>
    <w:rsid w:val="00765E73"/>
    <w:rsid w:val="0076650E"/>
    <w:rsid w:val="00767319"/>
    <w:rsid w:val="00767367"/>
    <w:rsid w:val="007679D5"/>
    <w:rsid w:val="00770089"/>
    <w:rsid w:val="0077088A"/>
    <w:rsid w:val="00770C3A"/>
    <w:rsid w:val="00771055"/>
    <w:rsid w:val="00771B46"/>
    <w:rsid w:val="00771FEB"/>
    <w:rsid w:val="0077230B"/>
    <w:rsid w:val="007724B4"/>
    <w:rsid w:val="007724B7"/>
    <w:rsid w:val="0077288F"/>
    <w:rsid w:val="00772920"/>
    <w:rsid w:val="00772C8D"/>
    <w:rsid w:val="00772DC2"/>
    <w:rsid w:val="00772E53"/>
    <w:rsid w:val="00773239"/>
    <w:rsid w:val="007737FA"/>
    <w:rsid w:val="007742D7"/>
    <w:rsid w:val="00774304"/>
    <w:rsid w:val="00775119"/>
    <w:rsid w:val="0077525E"/>
    <w:rsid w:val="007755E3"/>
    <w:rsid w:val="00775797"/>
    <w:rsid w:val="00775C5E"/>
    <w:rsid w:val="00775CC0"/>
    <w:rsid w:val="00775DFB"/>
    <w:rsid w:val="00776109"/>
    <w:rsid w:val="00776827"/>
    <w:rsid w:val="00776AD7"/>
    <w:rsid w:val="0077723A"/>
    <w:rsid w:val="007802BA"/>
    <w:rsid w:val="00780510"/>
    <w:rsid w:val="00780CC3"/>
    <w:rsid w:val="00780ED4"/>
    <w:rsid w:val="00780F99"/>
    <w:rsid w:val="0078102F"/>
    <w:rsid w:val="00781242"/>
    <w:rsid w:val="007813E1"/>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260"/>
    <w:rsid w:val="0079136E"/>
    <w:rsid w:val="00791459"/>
    <w:rsid w:val="00791A0C"/>
    <w:rsid w:val="00791AAC"/>
    <w:rsid w:val="00792C8B"/>
    <w:rsid w:val="007930B0"/>
    <w:rsid w:val="00793335"/>
    <w:rsid w:val="007936A2"/>
    <w:rsid w:val="00793F9A"/>
    <w:rsid w:val="007940A6"/>
    <w:rsid w:val="0079436E"/>
    <w:rsid w:val="007947AC"/>
    <w:rsid w:val="00794A1C"/>
    <w:rsid w:val="00795561"/>
    <w:rsid w:val="00795A5B"/>
    <w:rsid w:val="00795CE5"/>
    <w:rsid w:val="00796484"/>
    <w:rsid w:val="00796974"/>
    <w:rsid w:val="0079698B"/>
    <w:rsid w:val="00796993"/>
    <w:rsid w:val="00796A81"/>
    <w:rsid w:val="00796CF7"/>
    <w:rsid w:val="007973E9"/>
    <w:rsid w:val="00797B48"/>
    <w:rsid w:val="00797B6C"/>
    <w:rsid w:val="007A032B"/>
    <w:rsid w:val="007A041B"/>
    <w:rsid w:val="007A043B"/>
    <w:rsid w:val="007A10A6"/>
    <w:rsid w:val="007A1A4D"/>
    <w:rsid w:val="007A1F8C"/>
    <w:rsid w:val="007A2149"/>
    <w:rsid w:val="007A2207"/>
    <w:rsid w:val="007A26E8"/>
    <w:rsid w:val="007A2C0B"/>
    <w:rsid w:val="007A2C28"/>
    <w:rsid w:val="007A2C9D"/>
    <w:rsid w:val="007A2CFA"/>
    <w:rsid w:val="007A2DBA"/>
    <w:rsid w:val="007A307F"/>
    <w:rsid w:val="007A35F6"/>
    <w:rsid w:val="007A3808"/>
    <w:rsid w:val="007A3E20"/>
    <w:rsid w:val="007A4882"/>
    <w:rsid w:val="007A49A5"/>
    <w:rsid w:val="007A5C54"/>
    <w:rsid w:val="007A5F2A"/>
    <w:rsid w:val="007A5F89"/>
    <w:rsid w:val="007A705A"/>
    <w:rsid w:val="007A72B0"/>
    <w:rsid w:val="007A7401"/>
    <w:rsid w:val="007A764A"/>
    <w:rsid w:val="007A7B2D"/>
    <w:rsid w:val="007A7D42"/>
    <w:rsid w:val="007B0912"/>
    <w:rsid w:val="007B0BAE"/>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BF7"/>
    <w:rsid w:val="007C1224"/>
    <w:rsid w:val="007C2863"/>
    <w:rsid w:val="007C2D87"/>
    <w:rsid w:val="007C2EE9"/>
    <w:rsid w:val="007C3657"/>
    <w:rsid w:val="007C3C5F"/>
    <w:rsid w:val="007C4544"/>
    <w:rsid w:val="007C4725"/>
    <w:rsid w:val="007C47D7"/>
    <w:rsid w:val="007C4896"/>
    <w:rsid w:val="007C49C7"/>
    <w:rsid w:val="007C4A64"/>
    <w:rsid w:val="007C50F4"/>
    <w:rsid w:val="007C57D9"/>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447"/>
    <w:rsid w:val="007E1608"/>
    <w:rsid w:val="007E1840"/>
    <w:rsid w:val="007E1C3A"/>
    <w:rsid w:val="007E1DCB"/>
    <w:rsid w:val="007E293D"/>
    <w:rsid w:val="007E36AF"/>
    <w:rsid w:val="007E3CBB"/>
    <w:rsid w:val="007E46F4"/>
    <w:rsid w:val="007E4888"/>
    <w:rsid w:val="007E4E75"/>
    <w:rsid w:val="007E4FA3"/>
    <w:rsid w:val="007E59AE"/>
    <w:rsid w:val="007E6509"/>
    <w:rsid w:val="007E65F9"/>
    <w:rsid w:val="007E673C"/>
    <w:rsid w:val="007E6C57"/>
    <w:rsid w:val="007E7D68"/>
    <w:rsid w:val="007E7F27"/>
    <w:rsid w:val="007F02CD"/>
    <w:rsid w:val="007F05FE"/>
    <w:rsid w:val="007F0918"/>
    <w:rsid w:val="007F0C33"/>
    <w:rsid w:val="007F131D"/>
    <w:rsid w:val="007F132B"/>
    <w:rsid w:val="007F14FB"/>
    <w:rsid w:val="007F154F"/>
    <w:rsid w:val="007F16EB"/>
    <w:rsid w:val="007F1971"/>
    <w:rsid w:val="007F1B80"/>
    <w:rsid w:val="007F210D"/>
    <w:rsid w:val="007F21AD"/>
    <w:rsid w:val="007F223D"/>
    <w:rsid w:val="007F2470"/>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7F7FF7"/>
    <w:rsid w:val="00800022"/>
    <w:rsid w:val="00800E85"/>
    <w:rsid w:val="0080159D"/>
    <w:rsid w:val="00801D35"/>
    <w:rsid w:val="00801E66"/>
    <w:rsid w:val="00801EC2"/>
    <w:rsid w:val="0080265D"/>
    <w:rsid w:val="00802943"/>
    <w:rsid w:val="0080342F"/>
    <w:rsid w:val="008041DC"/>
    <w:rsid w:val="008043E6"/>
    <w:rsid w:val="00804ABD"/>
    <w:rsid w:val="00804BE8"/>
    <w:rsid w:val="0080548D"/>
    <w:rsid w:val="008059DA"/>
    <w:rsid w:val="008062FE"/>
    <w:rsid w:val="008064E9"/>
    <w:rsid w:val="008065BF"/>
    <w:rsid w:val="008072C9"/>
    <w:rsid w:val="00807834"/>
    <w:rsid w:val="00807B02"/>
    <w:rsid w:val="00807BEA"/>
    <w:rsid w:val="00807C2C"/>
    <w:rsid w:val="00807CE1"/>
    <w:rsid w:val="00807E8D"/>
    <w:rsid w:val="00807FAF"/>
    <w:rsid w:val="0081002F"/>
    <w:rsid w:val="008101DA"/>
    <w:rsid w:val="008102D9"/>
    <w:rsid w:val="00810962"/>
    <w:rsid w:val="008112E4"/>
    <w:rsid w:val="00811450"/>
    <w:rsid w:val="008114B0"/>
    <w:rsid w:val="008119F9"/>
    <w:rsid w:val="00811C3C"/>
    <w:rsid w:val="00811E30"/>
    <w:rsid w:val="0081287F"/>
    <w:rsid w:val="00812D6C"/>
    <w:rsid w:val="008130D8"/>
    <w:rsid w:val="008132CD"/>
    <w:rsid w:val="0081389B"/>
    <w:rsid w:val="008138AE"/>
    <w:rsid w:val="00813979"/>
    <w:rsid w:val="00813AFB"/>
    <w:rsid w:val="008149EC"/>
    <w:rsid w:val="00814C54"/>
    <w:rsid w:val="00815200"/>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7D5"/>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4EEC"/>
    <w:rsid w:val="00825791"/>
    <w:rsid w:val="00825903"/>
    <w:rsid w:val="00825A32"/>
    <w:rsid w:val="00826161"/>
    <w:rsid w:val="00826834"/>
    <w:rsid w:val="008269F7"/>
    <w:rsid w:val="0082774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AFA"/>
    <w:rsid w:val="00837D1A"/>
    <w:rsid w:val="00837FAF"/>
    <w:rsid w:val="008401C9"/>
    <w:rsid w:val="008403FF"/>
    <w:rsid w:val="00840BD6"/>
    <w:rsid w:val="0084188C"/>
    <w:rsid w:val="00842759"/>
    <w:rsid w:val="00842E0F"/>
    <w:rsid w:val="008432E9"/>
    <w:rsid w:val="0084331D"/>
    <w:rsid w:val="00843502"/>
    <w:rsid w:val="00843B45"/>
    <w:rsid w:val="00843EAA"/>
    <w:rsid w:val="0084411B"/>
    <w:rsid w:val="008442AB"/>
    <w:rsid w:val="008444FF"/>
    <w:rsid w:val="008453D9"/>
    <w:rsid w:val="008458D2"/>
    <w:rsid w:val="00846439"/>
    <w:rsid w:val="00846B05"/>
    <w:rsid w:val="00846BCB"/>
    <w:rsid w:val="008479A8"/>
    <w:rsid w:val="00847C61"/>
    <w:rsid w:val="00847C7C"/>
    <w:rsid w:val="00847E41"/>
    <w:rsid w:val="00847E8D"/>
    <w:rsid w:val="00850001"/>
    <w:rsid w:val="00850341"/>
    <w:rsid w:val="00850375"/>
    <w:rsid w:val="00851045"/>
    <w:rsid w:val="00851059"/>
    <w:rsid w:val="0085115A"/>
    <w:rsid w:val="00851184"/>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0B8"/>
    <w:rsid w:val="008572A6"/>
    <w:rsid w:val="008575D0"/>
    <w:rsid w:val="0085762B"/>
    <w:rsid w:val="0086022A"/>
    <w:rsid w:val="00860321"/>
    <w:rsid w:val="008607DB"/>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4A2"/>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80470"/>
    <w:rsid w:val="008808BB"/>
    <w:rsid w:val="0088094D"/>
    <w:rsid w:val="00880DA5"/>
    <w:rsid w:val="0088124B"/>
    <w:rsid w:val="008816E6"/>
    <w:rsid w:val="00881A57"/>
    <w:rsid w:val="0088275B"/>
    <w:rsid w:val="00882D3F"/>
    <w:rsid w:val="00882E3B"/>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667"/>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B6"/>
    <w:rsid w:val="008966EA"/>
    <w:rsid w:val="00896A1F"/>
    <w:rsid w:val="00897904"/>
    <w:rsid w:val="00897A48"/>
    <w:rsid w:val="008A0397"/>
    <w:rsid w:val="008A11BD"/>
    <w:rsid w:val="008A12AA"/>
    <w:rsid w:val="008A1750"/>
    <w:rsid w:val="008A1A74"/>
    <w:rsid w:val="008A203F"/>
    <w:rsid w:val="008A25CD"/>
    <w:rsid w:val="008A2D00"/>
    <w:rsid w:val="008A2FBA"/>
    <w:rsid w:val="008A30D7"/>
    <w:rsid w:val="008A33A8"/>
    <w:rsid w:val="008A33C8"/>
    <w:rsid w:val="008A3A0B"/>
    <w:rsid w:val="008A4A64"/>
    <w:rsid w:val="008A4B1D"/>
    <w:rsid w:val="008A5075"/>
    <w:rsid w:val="008A5866"/>
    <w:rsid w:val="008A5CF0"/>
    <w:rsid w:val="008A5FC7"/>
    <w:rsid w:val="008A627B"/>
    <w:rsid w:val="008A6726"/>
    <w:rsid w:val="008A6A00"/>
    <w:rsid w:val="008A6A6E"/>
    <w:rsid w:val="008A7388"/>
    <w:rsid w:val="008A73F5"/>
    <w:rsid w:val="008A7E32"/>
    <w:rsid w:val="008A7FA2"/>
    <w:rsid w:val="008B0214"/>
    <w:rsid w:val="008B05E8"/>
    <w:rsid w:val="008B0750"/>
    <w:rsid w:val="008B14EB"/>
    <w:rsid w:val="008B1AE7"/>
    <w:rsid w:val="008B1E70"/>
    <w:rsid w:val="008B1FEA"/>
    <w:rsid w:val="008B2142"/>
    <w:rsid w:val="008B21A7"/>
    <w:rsid w:val="008B2A4B"/>
    <w:rsid w:val="008B318C"/>
    <w:rsid w:val="008B334B"/>
    <w:rsid w:val="008B37C1"/>
    <w:rsid w:val="008B3B34"/>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731"/>
    <w:rsid w:val="008C173A"/>
    <w:rsid w:val="008C1788"/>
    <w:rsid w:val="008C19F8"/>
    <w:rsid w:val="008C1AA5"/>
    <w:rsid w:val="008C23CC"/>
    <w:rsid w:val="008C2DC1"/>
    <w:rsid w:val="008C2E33"/>
    <w:rsid w:val="008C33B0"/>
    <w:rsid w:val="008C340C"/>
    <w:rsid w:val="008C4325"/>
    <w:rsid w:val="008C434A"/>
    <w:rsid w:val="008C4551"/>
    <w:rsid w:val="008C494D"/>
    <w:rsid w:val="008C5F3D"/>
    <w:rsid w:val="008C61AC"/>
    <w:rsid w:val="008C63B1"/>
    <w:rsid w:val="008C63BE"/>
    <w:rsid w:val="008C667C"/>
    <w:rsid w:val="008C6A78"/>
    <w:rsid w:val="008C7998"/>
    <w:rsid w:val="008C7AD3"/>
    <w:rsid w:val="008D002A"/>
    <w:rsid w:val="008D014B"/>
    <w:rsid w:val="008D041A"/>
    <w:rsid w:val="008D05E3"/>
    <w:rsid w:val="008D134B"/>
    <w:rsid w:val="008D164D"/>
    <w:rsid w:val="008D1956"/>
    <w:rsid w:val="008D1BFD"/>
    <w:rsid w:val="008D1D70"/>
    <w:rsid w:val="008D21CF"/>
    <w:rsid w:val="008D2413"/>
    <w:rsid w:val="008D242F"/>
    <w:rsid w:val="008D290A"/>
    <w:rsid w:val="008D2CE0"/>
    <w:rsid w:val="008D2D74"/>
    <w:rsid w:val="008D2EE6"/>
    <w:rsid w:val="008D3B0D"/>
    <w:rsid w:val="008D3D81"/>
    <w:rsid w:val="008D4615"/>
    <w:rsid w:val="008D491C"/>
    <w:rsid w:val="008D4CE8"/>
    <w:rsid w:val="008D5DC7"/>
    <w:rsid w:val="008D6049"/>
    <w:rsid w:val="008D63EB"/>
    <w:rsid w:val="008D64C2"/>
    <w:rsid w:val="008D67B5"/>
    <w:rsid w:val="008D6A36"/>
    <w:rsid w:val="008D6ABB"/>
    <w:rsid w:val="008D7A93"/>
    <w:rsid w:val="008D7EF4"/>
    <w:rsid w:val="008E01DF"/>
    <w:rsid w:val="008E0ADA"/>
    <w:rsid w:val="008E124C"/>
    <w:rsid w:val="008E1D06"/>
    <w:rsid w:val="008E2282"/>
    <w:rsid w:val="008E29FF"/>
    <w:rsid w:val="008E309A"/>
    <w:rsid w:val="008E37CD"/>
    <w:rsid w:val="008E3E35"/>
    <w:rsid w:val="008E3EBC"/>
    <w:rsid w:val="008E4BA9"/>
    <w:rsid w:val="008E5831"/>
    <w:rsid w:val="008E58C0"/>
    <w:rsid w:val="008E59AB"/>
    <w:rsid w:val="008E5BE5"/>
    <w:rsid w:val="008E6781"/>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348A"/>
    <w:rsid w:val="008F4002"/>
    <w:rsid w:val="008F466C"/>
    <w:rsid w:val="008F496E"/>
    <w:rsid w:val="008F4BBC"/>
    <w:rsid w:val="008F4D6A"/>
    <w:rsid w:val="008F5108"/>
    <w:rsid w:val="008F5514"/>
    <w:rsid w:val="008F5C0A"/>
    <w:rsid w:val="008F6154"/>
    <w:rsid w:val="008F6E7D"/>
    <w:rsid w:val="008F6F53"/>
    <w:rsid w:val="008F6F6E"/>
    <w:rsid w:val="008F7119"/>
    <w:rsid w:val="008F7FD1"/>
    <w:rsid w:val="00900966"/>
    <w:rsid w:val="009011C4"/>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E31"/>
    <w:rsid w:val="009121B8"/>
    <w:rsid w:val="00912B88"/>
    <w:rsid w:val="00912D38"/>
    <w:rsid w:val="00912E77"/>
    <w:rsid w:val="00913630"/>
    <w:rsid w:val="00913971"/>
    <w:rsid w:val="0091459C"/>
    <w:rsid w:val="00914804"/>
    <w:rsid w:val="00914A4C"/>
    <w:rsid w:val="00915572"/>
    <w:rsid w:val="00915838"/>
    <w:rsid w:val="0091584B"/>
    <w:rsid w:val="00915C65"/>
    <w:rsid w:val="00916C5B"/>
    <w:rsid w:val="009170F2"/>
    <w:rsid w:val="00917171"/>
    <w:rsid w:val="00917B0C"/>
    <w:rsid w:val="00917B32"/>
    <w:rsid w:val="00920236"/>
    <w:rsid w:val="00920A29"/>
    <w:rsid w:val="00920BAC"/>
    <w:rsid w:val="00920D5F"/>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627"/>
    <w:rsid w:val="00934724"/>
    <w:rsid w:val="0093569C"/>
    <w:rsid w:val="00935793"/>
    <w:rsid w:val="009357DF"/>
    <w:rsid w:val="009359AC"/>
    <w:rsid w:val="009362F2"/>
    <w:rsid w:val="00936498"/>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696"/>
    <w:rsid w:val="00943981"/>
    <w:rsid w:val="00943A1F"/>
    <w:rsid w:val="00943AC4"/>
    <w:rsid w:val="00943BDF"/>
    <w:rsid w:val="00944287"/>
    <w:rsid w:val="00944AAC"/>
    <w:rsid w:val="00944E95"/>
    <w:rsid w:val="00944FFB"/>
    <w:rsid w:val="00945181"/>
    <w:rsid w:val="009454D9"/>
    <w:rsid w:val="009456E7"/>
    <w:rsid w:val="0094625D"/>
    <w:rsid w:val="00946C0E"/>
    <w:rsid w:val="0094724A"/>
    <w:rsid w:val="00947581"/>
    <w:rsid w:val="009475FB"/>
    <w:rsid w:val="00947C2B"/>
    <w:rsid w:val="00947C9F"/>
    <w:rsid w:val="009504DF"/>
    <w:rsid w:val="00950683"/>
    <w:rsid w:val="009507FE"/>
    <w:rsid w:val="00950C07"/>
    <w:rsid w:val="0095156E"/>
    <w:rsid w:val="0095179C"/>
    <w:rsid w:val="00951D25"/>
    <w:rsid w:val="00952336"/>
    <w:rsid w:val="0095237C"/>
    <w:rsid w:val="00952569"/>
    <w:rsid w:val="00952E06"/>
    <w:rsid w:val="00953053"/>
    <w:rsid w:val="00953390"/>
    <w:rsid w:val="0095361B"/>
    <w:rsid w:val="00953A6A"/>
    <w:rsid w:val="0095456F"/>
    <w:rsid w:val="00954603"/>
    <w:rsid w:val="00954637"/>
    <w:rsid w:val="0095470C"/>
    <w:rsid w:val="009547B5"/>
    <w:rsid w:val="009548E3"/>
    <w:rsid w:val="00954BF4"/>
    <w:rsid w:val="00954DDF"/>
    <w:rsid w:val="00955192"/>
    <w:rsid w:val="00955D95"/>
    <w:rsid w:val="00955DB1"/>
    <w:rsid w:val="00956135"/>
    <w:rsid w:val="0095687D"/>
    <w:rsid w:val="00956B48"/>
    <w:rsid w:val="00956F84"/>
    <w:rsid w:val="0095792D"/>
    <w:rsid w:val="00957ED7"/>
    <w:rsid w:val="009601F3"/>
    <w:rsid w:val="009602AE"/>
    <w:rsid w:val="0096045A"/>
    <w:rsid w:val="0096084C"/>
    <w:rsid w:val="00960F5E"/>
    <w:rsid w:val="00960FC5"/>
    <w:rsid w:val="00961348"/>
    <w:rsid w:val="00961570"/>
    <w:rsid w:val="00961D90"/>
    <w:rsid w:val="009621FF"/>
    <w:rsid w:val="00962449"/>
    <w:rsid w:val="0096291A"/>
    <w:rsid w:val="00962A8B"/>
    <w:rsid w:val="009634B8"/>
    <w:rsid w:val="009635C4"/>
    <w:rsid w:val="00963BE6"/>
    <w:rsid w:val="00964145"/>
    <w:rsid w:val="0096440D"/>
    <w:rsid w:val="0096451E"/>
    <w:rsid w:val="00964D2E"/>
    <w:rsid w:val="00965073"/>
    <w:rsid w:val="0096581F"/>
    <w:rsid w:val="009658EF"/>
    <w:rsid w:val="00965D10"/>
    <w:rsid w:val="00966285"/>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30"/>
    <w:rsid w:val="009778BD"/>
    <w:rsid w:val="00977BE1"/>
    <w:rsid w:val="00977DBA"/>
    <w:rsid w:val="00980035"/>
    <w:rsid w:val="0098026A"/>
    <w:rsid w:val="0098027A"/>
    <w:rsid w:val="00980DD4"/>
    <w:rsid w:val="0098114A"/>
    <w:rsid w:val="00981438"/>
    <w:rsid w:val="009814BC"/>
    <w:rsid w:val="0098180D"/>
    <w:rsid w:val="0098240F"/>
    <w:rsid w:val="00982EBC"/>
    <w:rsid w:val="00982FBE"/>
    <w:rsid w:val="0098303B"/>
    <w:rsid w:val="009831E0"/>
    <w:rsid w:val="0098356C"/>
    <w:rsid w:val="0098357C"/>
    <w:rsid w:val="00983C33"/>
    <w:rsid w:val="00983DE3"/>
    <w:rsid w:val="009842DF"/>
    <w:rsid w:val="0098430D"/>
    <w:rsid w:val="0098493D"/>
    <w:rsid w:val="00984A54"/>
    <w:rsid w:val="0098500D"/>
    <w:rsid w:val="00985581"/>
    <w:rsid w:val="009858EF"/>
    <w:rsid w:val="00986A3F"/>
    <w:rsid w:val="00986BD7"/>
    <w:rsid w:val="009909D0"/>
    <w:rsid w:val="00990B87"/>
    <w:rsid w:val="009910F2"/>
    <w:rsid w:val="0099130E"/>
    <w:rsid w:val="00991702"/>
    <w:rsid w:val="00991CBE"/>
    <w:rsid w:val="00991D0D"/>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3B"/>
    <w:rsid w:val="00997680"/>
    <w:rsid w:val="00997B12"/>
    <w:rsid w:val="009A05C4"/>
    <w:rsid w:val="009A0808"/>
    <w:rsid w:val="009A1136"/>
    <w:rsid w:val="009A14F9"/>
    <w:rsid w:val="009A15B1"/>
    <w:rsid w:val="009A15BD"/>
    <w:rsid w:val="009A1751"/>
    <w:rsid w:val="009A1BC2"/>
    <w:rsid w:val="009A2432"/>
    <w:rsid w:val="009A245B"/>
    <w:rsid w:val="009A250F"/>
    <w:rsid w:val="009A385F"/>
    <w:rsid w:val="009A386A"/>
    <w:rsid w:val="009A3B03"/>
    <w:rsid w:val="009A3B59"/>
    <w:rsid w:val="009A3E8E"/>
    <w:rsid w:val="009A42D3"/>
    <w:rsid w:val="009A479D"/>
    <w:rsid w:val="009A4DCE"/>
    <w:rsid w:val="009A5126"/>
    <w:rsid w:val="009A5142"/>
    <w:rsid w:val="009A52EE"/>
    <w:rsid w:val="009A561E"/>
    <w:rsid w:val="009A618A"/>
    <w:rsid w:val="009A62BB"/>
    <w:rsid w:val="009A6920"/>
    <w:rsid w:val="009A6CDD"/>
    <w:rsid w:val="009A7374"/>
    <w:rsid w:val="009A741B"/>
    <w:rsid w:val="009B032A"/>
    <w:rsid w:val="009B0AFB"/>
    <w:rsid w:val="009B0C69"/>
    <w:rsid w:val="009B0EF8"/>
    <w:rsid w:val="009B1055"/>
    <w:rsid w:val="009B1503"/>
    <w:rsid w:val="009B1A87"/>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6F41"/>
    <w:rsid w:val="009B7811"/>
    <w:rsid w:val="009B7F90"/>
    <w:rsid w:val="009C026E"/>
    <w:rsid w:val="009C08BF"/>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A8B"/>
    <w:rsid w:val="009D2CE2"/>
    <w:rsid w:val="009D3149"/>
    <w:rsid w:val="009D3359"/>
    <w:rsid w:val="009D37DB"/>
    <w:rsid w:val="009D3B76"/>
    <w:rsid w:val="009D3F7D"/>
    <w:rsid w:val="009D4323"/>
    <w:rsid w:val="009D44DD"/>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5E82"/>
    <w:rsid w:val="009E6325"/>
    <w:rsid w:val="009E6461"/>
    <w:rsid w:val="009E6937"/>
    <w:rsid w:val="009E6DA9"/>
    <w:rsid w:val="009E71BF"/>
    <w:rsid w:val="009E745F"/>
    <w:rsid w:val="009E7725"/>
    <w:rsid w:val="009E79EC"/>
    <w:rsid w:val="009E7C29"/>
    <w:rsid w:val="009F0149"/>
    <w:rsid w:val="009F1D8A"/>
    <w:rsid w:val="009F1D9A"/>
    <w:rsid w:val="009F2B8F"/>
    <w:rsid w:val="009F2E1B"/>
    <w:rsid w:val="009F3155"/>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3F2"/>
    <w:rsid w:val="009F7844"/>
    <w:rsid w:val="009F7C66"/>
    <w:rsid w:val="00A01090"/>
    <w:rsid w:val="00A01381"/>
    <w:rsid w:val="00A013D6"/>
    <w:rsid w:val="00A0141C"/>
    <w:rsid w:val="00A0276D"/>
    <w:rsid w:val="00A038F1"/>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25C"/>
    <w:rsid w:val="00A074ED"/>
    <w:rsid w:val="00A07614"/>
    <w:rsid w:val="00A07BF5"/>
    <w:rsid w:val="00A07E9D"/>
    <w:rsid w:val="00A103BA"/>
    <w:rsid w:val="00A10705"/>
    <w:rsid w:val="00A11213"/>
    <w:rsid w:val="00A11598"/>
    <w:rsid w:val="00A11C54"/>
    <w:rsid w:val="00A11CAF"/>
    <w:rsid w:val="00A12155"/>
    <w:rsid w:val="00A1292D"/>
    <w:rsid w:val="00A13641"/>
    <w:rsid w:val="00A13930"/>
    <w:rsid w:val="00A1393A"/>
    <w:rsid w:val="00A14D5D"/>
    <w:rsid w:val="00A14D92"/>
    <w:rsid w:val="00A14FFA"/>
    <w:rsid w:val="00A1531B"/>
    <w:rsid w:val="00A15620"/>
    <w:rsid w:val="00A15C1C"/>
    <w:rsid w:val="00A15E73"/>
    <w:rsid w:val="00A161BB"/>
    <w:rsid w:val="00A16279"/>
    <w:rsid w:val="00A167A7"/>
    <w:rsid w:val="00A168F5"/>
    <w:rsid w:val="00A16962"/>
    <w:rsid w:val="00A17336"/>
    <w:rsid w:val="00A17843"/>
    <w:rsid w:val="00A17C74"/>
    <w:rsid w:val="00A20402"/>
    <w:rsid w:val="00A214D6"/>
    <w:rsid w:val="00A2259A"/>
    <w:rsid w:val="00A226A0"/>
    <w:rsid w:val="00A22795"/>
    <w:rsid w:val="00A227BD"/>
    <w:rsid w:val="00A22EC8"/>
    <w:rsid w:val="00A23289"/>
    <w:rsid w:val="00A237F3"/>
    <w:rsid w:val="00A23817"/>
    <w:rsid w:val="00A24EA1"/>
    <w:rsid w:val="00A2513D"/>
    <w:rsid w:val="00A2532E"/>
    <w:rsid w:val="00A25575"/>
    <w:rsid w:val="00A26428"/>
    <w:rsid w:val="00A2645A"/>
    <w:rsid w:val="00A266D4"/>
    <w:rsid w:val="00A269E4"/>
    <w:rsid w:val="00A2713C"/>
    <w:rsid w:val="00A274DC"/>
    <w:rsid w:val="00A275F9"/>
    <w:rsid w:val="00A27E2E"/>
    <w:rsid w:val="00A301BF"/>
    <w:rsid w:val="00A303C2"/>
    <w:rsid w:val="00A30608"/>
    <w:rsid w:val="00A30850"/>
    <w:rsid w:val="00A30B36"/>
    <w:rsid w:val="00A30EF1"/>
    <w:rsid w:val="00A31775"/>
    <w:rsid w:val="00A31DEE"/>
    <w:rsid w:val="00A3322C"/>
    <w:rsid w:val="00A33AE2"/>
    <w:rsid w:val="00A33CAC"/>
    <w:rsid w:val="00A341A4"/>
    <w:rsid w:val="00A34228"/>
    <w:rsid w:val="00A344E3"/>
    <w:rsid w:val="00A34533"/>
    <w:rsid w:val="00A34DB7"/>
    <w:rsid w:val="00A357BF"/>
    <w:rsid w:val="00A36046"/>
    <w:rsid w:val="00A360E6"/>
    <w:rsid w:val="00A364B4"/>
    <w:rsid w:val="00A368C1"/>
    <w:rsid w:val="00A36989"/>
    <w:rsid w:val="00A36E65"/>
    <w:rsid w:val="00A37581"/>
    <w:rsid w:val="00A37886"/>
    <w:rsid w:val="00A37A6F"/>
    <w:rsid w:val="00A37B36"/>
    <w:rsid w:val="00A37EB5"/>
    <w:rsid w:val="00A408F4"/>
    <w:rsid w:val="00A410C9"/>
    <w:rsid w:val="00A41107"/>
    <w:rsid w:val="00A41CE8"/>
    <w:rsid w:val="00A42019"/>
    <w:rsid w:val="00A4202C"/>
    <w:rsid w:val="00A42288"/>
    <w:rsid w:val="00A42455"/>
    <w:rsid w:val="00A4260E"/>
    <w:rsid w:val="00A42ABC"/>
    <w:rsid w:val="00A42DE3"/>
    <w:rsid w:val="00A42FF9"/>
    <w:rsid w:val="00A43121"/>
    <w:rsid w:val="00A43390"/>
    <w:rsid w:val="00A435E8"/>
    <w:rsid w:val="00A43818"/>
    <w:rsid w:val="00A43990"/>
    <w:rsid w:val="00A440B1"/>
    <w:rsid w:val="00A44C43"/>
    <w:rsid w:val="00A44D6A"/>
    <w:rsid w:val="00A45028"/>
    <w:rsid w:val="00A451F1"/>
    <w:rsid w:val="00A454B1"/>
    <w:rsid w:val="00A45CCC"/>
    <w:rsid w:val="00A4620D"/>
    <w:rsid w:val="00A4694E"/>
    <w:rsid w:val="00A47687"/>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2B2D"/>
    <w:rsid w:val="00A547D7"/>
    <w:rsid w:val="00A549CB"/>
    <w:rsid w:val="00A549FF"/>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BF5"/>
    <w:rsid w:val="00A61D01"/>
    <w:rsid w:val="00A6212C"/>
    <w:rsid w:val="00A62254"/>
    <w:rsid w:val="00A623BF"/>
    <w:rsid w:val="00A6252F"/>
    <w:rsid w:val="00A62CE7"/>
    <w:rsid w:val="00A62EFB"/>
    <w:rsid w:val="00A632D5"/>
    <w:rsid w:val="00A6333B"/>
    <w:rsid w:val="00A63513"/>
    <w:rsid w:val="00A64700"/>
    <w:rsid w:val="00A6487C"/>
    <w:rsid w:val="00A64E60"/>
    <w:rsid w:val="00A652CB"/>
    <w:rsid w:val="00A6539E"/>
    <w:rsid w:val="00A6584B"/>
    <w:rsid w:val="00A658A6"/>
    <w:rsid w:val="00A658FB"/>
    <w:rsid w:val="00A65E45"/>
    <w:rsid w:val="00A662F9"/>
    <w:rsid w:val="00A6692F"/>
    <w:rsid w:val="00A66988"/>
    <w:rsid w:val="00A66D7E"/>
    <w:rsid w:val="00A67409"/>
    <w:rsid w:val="00A67772"/>
    <w:rsid w:val="00A67C31"/>
    <w:rsid w:val="00A67F54"/>
    <w:rsid w:val="00A700B4"/>
    <w:rsid w:val="00A70A85"/>
    <w:rsid w:val="00A70D46"/>
    <w:rsid w:val="00A70D79"/>
    <w:rsid w:val="00A71C0E"/>
    <w:rsid w:val="00A72B95"/>
    <w:rsid w:val="00A72BAD"/>
    <w:rsid w:val="00A72EF9"/>
    <w:rsid w:val="00A73383"/>
    <w:rsid w:val="00A73E7E"/>
    <w:rsid w:val="00A74284"/>
    <w:rsid w:val="00A746C1"/>
    <w:rsid w:val="00A7476A"/>
    <w:rsid w:val="00A747B0"/>
    <w:rsid w:val="00A7482C"/>
    <w:rsid w:val="00A74DA0"/>
    <w:rsid w:val="00A751AD"/>
    <w:rsid w:val="00A75209"/>
    <w:rsid w:val="00A75577"/>
    <w:rsid w:val="00A7580F"/>
    <w:rsid w:val="00A764AC"/>
    <w:rsid w:val="00A7655A"/>
    <w:rsid w:val="00A76939"/>
    <w:rsid w:val="00A76EAE"/>
    <w:rsid w:val="00A771B7"/>
    <w:rsid w:val="00A7734A"/>
    <w:rsid w:val="00A7742D"/>
    <w:rsid w:val="00A7747F"/>
    <w:rsid w:val="00A800F9"/>
    <w:rsid w:val="00A80475"/>
    <w:rsid w:val="00A8047C"/>
    <w:rsid w:val="00A80974"/>
    <w:rsid w:val="00A80C1E"/>
    <w:rsid w:val="00A81CAD"/>
    <w:rsid w:val="00A8201C"/>
    <w:rsid w:val="00A82190"/>
    <w:rsid w:val="00A82484"/>
    <w:rsid w:val="00A82CA2"/>
    <w:rsid w:val="00A834B4"/>
    <w:rsid w:val="00A83745"/>
    <w:rsid w:val="00A83A5D"/>
    <w:rsid w:val="00A846E7"/>
    <w:rsid w:val="00A84B3B"/>
    <w:rsid w:val="00A84DC6"/>
    <w:rsid w:val="00A857C2"/>
    <w:rsid w:val="00A864B3"/>
    <w:rsid w:val="00A86713"/>
    <w:rsid w:val="00A86AC3"/>
    <w:rsid w:val="00A86D25"/>
    <w:rsid w:val="00A874B1"/>
    <w:rsid w:val="00A87544"/>
    <w:rsid w:val="00A900D9"/>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A0C"/>
    <w:rsid w:val="00A94E4A"/>
    <w:rsid w:val="00A94FC0"/>
    <w:rsid w:val="00A9612A"/>
    <w:rsid w:val="00A9693D"/>
    <w:rsid w:val="00A96C14"/>
    <w:rsid w:val="00A97397"/>
    <w:rsid w:val="00A9778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F6"/>
    <w:rsid w:val="00AA4E11"/>
    <w:rsid w:val="00AA4F73"/>
    <w:rsid w:val="00AA51F5"/>
    <w:rsid w:val="00AA577A"/>
    <w:rsid w:val="00AA57A4"/>
    <w:rsid w:val="00AA5832"/>
    <w:rsid w:val="00AA5F13"/>
    <w:rsid w:val="00AA69AF"/>
    <w:rsid w:val="00AA6BF2"/>
    <w:rsid w:val="00AA6F85"/>
    <w:rsid w:val="00AA7043"/>
    <w:rsid w:val="00AA70A5"/>
    <w:rsid w:val="00AA71EA"/>
    <w:rsid w:val="00AA72B5"/>
    <w:rsid w:val="00AA7A75"/>
    <w:rsid w:val="00AA7E4C"/>
    <w:rsid w:val="00AA7E9B"/>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59E9"/>
    <w:rsid w:val="00AB6343"/>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81F"/>
    <w:rsid w:val="00AC3C0C"/>
    <w:rsid w:val="00AC3C78"/>
    <w:rsid w:val="00AC3CAD"/>
    <w:rsid w:val="00AC4253"/>
    <w:rsid w:val="00AC477C"/>
    <w:rsid w:val="00AC47A6"/>
    <w:rsid w:val="00AC4C68"/>
    <w:rsid w:val="00AC4EAD"/>
    <w:rsid w:val="00AC5689"/>
    <w:rsid w:val="00AC699B"/>
    <w:rsid w:val="00AC6E2C"/>
    <w:rsid w:val="00AC7074"/>
    <w:rsid w:val="00AC7187"/>
    <w:rsid w:val="00AC74F0"/>
    <w:rsid w:val="00AC7FC8"/>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6E7"/>
    <w:rsid w:val="00AE09D3"/>
    <w:rsid w:val="00AE0BF8"/>
    <w:rsid w:val="00AE0FC5"/>
    <w:rsid w:val="00AE14C5"/>
    <w:rsid w:val="00AE1C23"/>
    <w:rsid w:val="00AE1EEB"/>
    <w:rsid w:val="00AE1FDA"/>
    <w:rsid w:val="00AE26D6"/>
    <w:rsid w:val="00AE33D9"/>
    <w:rsid w:val="00AE3555"/>
    <w:rsid w:val="00AE35E4"/>
    <w:rsid w:val="00AE419F"/>
    <w:rsid w:val="00AE41AC"/>
    <w:rsid w:val="00AE429B"/>
    <w:rsid w:val="00AE4521"/>
    <w:rsid w:val="00AE472B"/>
    <w:rsid w:val="00AE49A0"/>
    <w:rsid w:val="00AE4CC6"/>
    <w:rsid w:val="00AE4E9A"/>
    <w:rsid w:val="00AE517F"/>
    <w:rsid w:val="00AE5208"/>
    <w:rsid w:val="00AE55C8"/>
    <w:rsid w:val="00AE5A17"/>
    <w:rsid w:val="00AE60E6"/>
    <w:rsid w:val="00AE6173"/>
    <w:rsid w:val="00AE67B6"/>
    <w:rsid w:val="00AE6F87"/>
    <w:rsid w:val="00AE7440"/>
    <w:rsid w:val="00AE75A2"/>
    <w:rsid w:val="00AE7C15"/>
    <w:rsid w:val="00AF077A"/>
    <w:rsid w:val="00AF0AFA"/>
    <w:rsid w:val="00AF0EA5"/>
    <w:rsid w:val="00AF17EB"/>
    <w:rsid w:val="00AF19E8"/>
    <w:rsid w:val="00AF1B7C"/>
    <w:rsid w:val="00AF1FF5"/>
    <w:rsid w:val="00AF3395"/>
    <w:rsid w:val="00AF5A20"/>
    <w:rsid w:val="00AF5DDC"/>
    <w:rsid w:val="00AF6303"/>
    <w:rsid w:val="00AF6530"/>
    <w:rsid w:val="00AF66F0"/>
    <w:rsid w:val="00AF79E8"/>
    <w:rsid w:val="00AF7FA8"/>
    <w:rsid w:val="00B000FF"/>
    <w:rsid w:val="00B0086C"/>
    <w:rsid w:val="00B00ABD"/>
    <w:rsid w:val="00B00F28"/>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F41"/>
    <w:rsid w:val="00B0765F"/>
    <w:rsid w:val="00B07A3C"/>
    <w:rsid w:val="00B07BA8"/>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F58"/>
    <w:rsid w:val="00B152C5"/>
    <w:rsid w:val="00B152E0"/>
    <w:rsid w:val="00B1573F"/>
    <w:rsid w:val="00B15AEC"/>
    <w:rsid w:val="00B15EB5"/>
    <w:rsid w:val="00B16142"/>
    <w:rsid w:val="00B1662E"/>
    <w:rsid w:val="00B16C84"/>
    <w:rsid w:val="00B170D9"/>
    <w:rsid w:val="00B172B4"/>
    <w:rsid w:val="00B173CE"/>
    <w:rsid w:val="00B17D8A"/>
    <w:rsid w:val="00B20201"/>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3011"/>
    <w:rsid w:val="00B234EB"/>
    <w:rsid w:val="00B2391E"/>
    <w:rsid w:val="00B23D27"/>
    <w:rsid w:val="00B23E7D"/>
    <w:rsid w:val="00B24823"/>
    <w:rsid w:val="00B24E53"/>
    <w:rsid w:val="00B25481"/>
    <w:rsid w:val="00B254BA"/>
    <w:rsid w:val="00B25828"/>
    <w:rsid w:val="00B265B1"/>
    <w:rsid w:val="00B2674E"/>
    <w:rsid w:val="00B26B54"/>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4B2C"/>
    <w:rsid w:val="00B35349"/>
    <w:rsid w:val="00B355B6"/>
    <w:rsid w:val="00B355D8"/>
    <w:rsid w:val="00B359CF"/>
    <w:rsid w:val="00B35C86"/>
    <w:rsid w:val="00B36A87"/>
    <w:rsid w:val="00B36AD8"/>
    <w:rsid w:val="00B36ED9"/>
    <w:rsid w:val="00B36F52"/>
    <w:rsid w:val="00B37318"/>
    <w:rsid w:val="00B37FB9"/>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6CF"/>
    <w:rsid w:val="00B43A85"/>
    <w:rsid w:val="00B43D26"/>
    <w:rsid w:val="00B440C4"/>
    <w:rsid w:val="00B4422D"/>
    <w:rsid w:val="00B44A32"/>
    <w:rsid w:val="00B44F15"/>
    <w:rsid w:val="00B4512F"/>
    <w:rsid w:val="00B455B0"/>
    <w:rsid w:val="00B456F2"/>
    <w:rsid w:val="00B46192"/>
    <w:rsid w:val="00B46266"/>
    <w:rsid w:val="00B46546"/>
    <w:rsid w:val="00B46591"/>
    <w:rsid w:val="00B466C0"/>
    <w:rsid w:val="00B467FE"/>
    <w:rsid w:val="00B4688F"/>
    <w:rsid w:val="00B46B30"/>
    <w:rsid w:val="00B47D8E"/>
    <w:rsid w:val="00B47DB2"/>
    <w:rsid w:val="00B50328"/>
    <w:rsid w:val="00B50444"/>
    <w:rsid w:val="00B50C1A"/>
    <w:rsid w:val="00B50C5D"/>
    <w:rsid w:val="00B50E5E"/>
    <w:rsid w:val="00B51336"/>
    <w:rsid w:val="00B518E7"/>
    <w:rsid w:val="00B51D43"/>
    <w:rsid w:val="00B52BA8"/>
    <w:rsid w:val="00B52BE6"/>
    <w:rsid w:val="00B53957"/>
    <w:rsid w:val="00B53E0B"/>
    <w:rsid w:val="00B5415D"/>
    <w:rsid w:val="00B5480B"/>
    <w:rsid w:val="00B54E5D"/>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89"/>
    <w:rsid w:val="00B6333E"/>
    <w:rsid w:val="00B636F4"/>
    <w:rsid w:val="00B63A4F"/>
    <w:rsid w:val="00B64636"/>
    <w:rsid w:val="00B649F0"/>
    <w:rsid w:val="00B64C6D"/>
    <w:rsid w:val="00B64C91"/>
    <w:rsid w:val="00B65123"/>
    <w:rsid w:val="00B6532E"/>
    <w:rsid w:val="00B65533"/>
    <w:rsid w:val="00B65C7A"/>
    <w:rsid w:val="00B65FE7"/>
    <w:rsid w:val="00B666F4"/>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25DE"/>
    <w:rsid w:val="00B72F28"/>
    <w:rsid w:val="00B73629"/>
    <w:rsid w:val="00B738EC"/>
    <w:rsid w:val="00B73A0A"/>
    <w:rsid w:val="00B73AD5"/>
    <w:rsid w:val="00B74064"/>
    <w:rsid w:val="00B753CE"/>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022"/>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AAA"/>
    <w:rsid w:val="00B95ABF"/>
    <w:rsid w:val="00B95BB5"/>
    <w:rsid w:val="00B95C9C"/>
    <w:rsid w:val="00B95DE4"/>
    <w:rsid w:val="00B96042"/>
    <w:rsid w:val="00B966A8"/>
    <w:rsid w:val="00B96C24"/>
    <w:rsid w:val="00B96DC3"/>
    <w:rsid w:val="00B973B3"/>
    <w:rsid w:val="00B97A7B"/>
    <w:rsid w:val="00B97D1B"/>
    <w:rsid w:val="00B97DCF"/>
    <w:rsid w:val="00B97F86"/>
    <w:rsid w:val="00BA0D4E"/>
    <w:rsid w:val="00BA15A2"/>
    <w:rsid w:val="00BA1D20"/>
    <w:rsid w:val="00BA1FE8"/>
    <w:rsid w:val="00BA1FE9"/>
    <w:rsid w:val="00BA23A9"/>
    <w:rsid w:val="00BA3054"/>
    <w:rsid w:val="00BA3462"/>
    <w:rsid w:val="00BA34D5"/>
    <w:rsid w:val="00BA3547"/>
    <w:rsid w:val="00BA36B5"/>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A7CDD"/>
    <w:rsid w:val="00BB043F"/>
    <w:rsid w:val="00BB066C"/>
    <w:rsid w:val="00BB1F9D"/>
    <w:rsid w:val="00BB2050"/>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4E"/>
    <w:rsid w:val="00BB7EDF"/>
    <w:rsid w:val="00BC009B"/>
    <w:rsid w:val="00BC07F6"/>
    <w:rsid w:val="00BC09DF"/>
    <w:rsid w:val="00BC0D0F"/>
    <w:rsid w:val="00BC13C9"/>
    <w:rsid w:val="00BC2248"/>
    <w:rsid w:val="00BC22CD"/>
    <w:rsid w:val="00BC273E"/>
    <w:rsid w:val="00BC2C5B"/>
    <w:rsid w:val="00BC2CF3"/>
    <w:rsid w:val="00BC2D26"/>
    <w:rsid w:val="00BC2D87"/>
    <w:rsid w:val="00BC4349"/>
    <w:rsid w:val="00BC49F1"/>
    <w:rsid w:val="00BC4C14"/>
    <w:rsid w:val="00BC4C42"/>
    <w:rsid w:val="00BC516C"/>
    <w:rsid w:val="00BC6778"/>
    <w:rsid w:val="00BC6DBA"/>
    <w:rsid w:val="00BC6E39"/>
    <w:rsid w:val="00BC723F"/>
    <w:rsid w:val="00BC75DB"/>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50"/>
    <w:rsid w:val="00BD35AA"/>
    <w:rsid w:val="00BD37DA"/>
    <w:rsid w:val="00BD3D8A"/>
    <w:rsid w:val="00BD40DB"/>
    <w:rsid w:val="00BD419D"/>
    <w:rsid w:val="00BD4720"/>
    <w:rsid w:val="00BD4A04"/>
    <w:rsid w:val="00BD4A79"/>
    <w:rsid w:val="00BD4FE9"/>
    <w:rsid w:val="00BD53A7"/>
    <w:rsid w:val="00BD549D"/>
    <w:rsid w:val="00BD589E"/>
    <w:rsid w:val="00BD5A69"/>
    <w:rsid w:val="00BD5B2D"/>
    <w:rsid w:val="00BD5CF7"/>
    <w:rsid w:val="00BD5DF3"/>
    <w:rsid w:val="00BD6475"/>
    <w:rsid w:val="00BD653D"/>
    <w:rsid w:val="00BD6641"/>
    <w:rsid w:val="00BD67BA"/>
    <w:rsid w:val="00BD6CD2"/>
    <w:rsid w:val="00BD6F91"/>
    <w:rsid w:val="00BD740A"/>
    <w:rsid w:val="00BD7A0F"/>
    <w:rsid w:val="00BD7D13"/>
    <w:rsid w:val="00BD7D5F"/>
    <w:rsid w:val="00BD7E15"/>
    <w:rsid w:val="00BD7F14"/>
    <w:rsid w:val="00BE06C6"/>
    <w:rsid w:val="00BE0BA6"/>
    <w:rsid w:val="00BE0E44"/>
    <w:rsid w:val="00BE120D"/>
    <w:rsid w:val="00BE1385"/>
    <w:rsid w:val="00BE1603"/>
    <w:rsid w:val="00BE17DB"/>
    <w:rsid w:val="00BE1A72"/>
    <w:rsid w:val="00BE1BF1"/>
    <w:rsid w:val="00BE2239"/>
    <w:rsid w:val="00BE2329"/>
    <w:rsid w:val="00BE2537"/>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A50"/>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4F4C"/>
    <w:rsid w:val="00BF52CB"/>
    <w:rsid w:val="00BF57B8"/>
    <w:rsid w:val="00BF5C65"/>
    <w:rsid w:val="00BF5F23"/>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20E"/>
    <w:rsid w:val="00C126C8"/>
    <w:rsid w:val="00C12929"/>
    <w:rsid w:val="00C138C7"/>
    <w:rsid w:val="00C139BA"/>
    <w:rsid w:val="00C13DB7"/>
    <w:rsid w:val="00C147C1"/>
    <w:rsid w:val="00C14D14"/>
    <w:rsid w:val="00C14DC1"/>
    <w:rsid w:val="00C14DE6"/>
    <w:rsid w:val="00C1589E"/>
    <w:rsid w:val="00C159F7"/>
    <w:rsid w:val="00C15F29"/>
    <w:rsid w:val="00C16AB4"/>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75C4"/>
    <w:rsid w:val="00C27F1D"/>
    <w:rsid w:val="00C30607"/>
    <w:rsid w:val="00C30E8D"/>
    <w:rsid w:val="00C30F1B"/>
    <w:rsid w:val="00C3108F"/>
    <w:rsid w:val="00C315E5"/>
    <w:rsid w:val="00C31F16"/>
    <w:rsid w:val="00C320F0"/>
    <w:rsid w:val="00C322C1"/>
    <w:rsid w:val="00C32474"/>
    <w:rsid w:val="00C325D0"/>
    <w:rsid w:val="00C32990"/>
    <w:rsid w:val="00C329AA"/>
    <w:rsid w:val="00C32AD7"/>
    <w:rsid w:val="00C32CF7"/>
    <w:rsid w:val="00C33352"/>
    <w:rsid w:val="00C336E8"/>
    <w:rsid w:val="00C33CBE"/>
    <w:rsid w:val="00C340CD"/>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D65"/>
    <w:rsid w:val="00C41F89"/>
    <w:rsid w:val="00C4290E"/>
    <w:rsid w:val="00C42937"/>
    <w:rsid w:val="00C42ABC"/>
    <w:rsid w:val="00C42C37"/>
    <w:rsid w:val="00C430B0"/>
    <w:rsid w:val="00C4313A"/>
    <w:rsid w:val="00C43459"/>
    <w:rsid w:val="00C43CE2"/>
    <w:rsid w:val="00C43E8B"/>
    <w:rsid w:val="00C440F8"/>
    <w:rsid w:val="00C4432E"/>
    <w:rsid w:val="00C44DA9"/>
    <w:rsid w:val="00C45467"/>
    <w:rsid w:val="00C45BFE"/>
    <w:rsid w:val="00C466A3"/>
    <w:rsid w:val="00C46801"/>
    <w:rsid w:val="00C46C46"/>
    <w:rsid w:val="00C46C51"/>
    <w:rsid w:val="00C46C9A"/>
    <w:rsid w:val="00C46CE1"/>
    <w:rsid w:val="00C472ED"/>
    <w:rsid w:val="00C4758F"/>
    <w:rsid w:val="00C477F9"/>
    <w:rsid w:val="00C477FC"/>
    <w:rsid w:val="00C50651"/>
    <w:rsid w:val="00C5090F"/>
    <w:rsid w:val="00C50A2B"/>
    <w:rsid w:val="00C50C43"/>
    <w:rsid w:val="00C512E1"/>
    <w:rsid w:val="00C5142A"/>
    <w:rsid w:val="00C5171C"/>
    <w:rsid w:val="00C517C4"/>
    <w:rsid w:val="00C53072"/>
    <w:rsid w:val="00C53D6B"/>
    <w:rsid w:val="00C5482A"/>
    <w:rsid w:val="00C5498F"/>
    <w:rsid w:val="00C54A57"/>
    <w:rsid w:val="00C54D1B"/>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2D"/>
    <w:rsid w:val="00C60DB8"/>
    <w:rsid w:val="00C618A2"/>
    <w:rsid w:val="00C61903"/>
    <w:rsid w:val="00C623FF"/>
    <w:rsid w:val="00C6267D"/>
    <w:rsid w:val="00C62976"/>
    <w:rsid w:val="00C62F26"/>
    <w:rsid w:val="00C638C9"/>
    <w:rsid w:val="00C63BA9"/>
    <w:rsid w:val="00C63FD1"/>
    <w:rsid w:val="00C64FBA"/>
    <w:rsid w:val="00C6544E"/>
    <w:rsid w:val="00C656AF"/>
    <w:rsid w:val="00C659BD"/>
    <w:rsid w:val="00C65E4C"/>
    <w:rsid w:val="00C66172"/>
    <w:rsid w:val="00C66290"/>
    <w:rsid w:val="00C666CE"/>
    <w:rsid w:val="00C671A2"/>
    <w:rsid w:val="00C67C8D"/>
    <w:rsid w:val="00C70C27"/>
    <w:rsid w:val="00C70F84"/>
    <w:rsid w:val="00C71FAB"/>
    <w:rsid w:val="00C722CF"/>
    <w:rsid w:val="00C72567"/>
    <w:rsid w:val="00C72599"/>
    <w:rsid w:val="00C72AC6"/>
    <w:rsid w:val="00C72AD6"/>
    <w:rsid w:val="00C72F50"/>
    <w:rsid w:val="00C735D9"/>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167"/>
    <w:rsid w:val="00C80844"/>
    <w:rsid w:val="00C8085B"/>
    <w:rsid w:val="00C809D7"/>
    <w:rsid w:val="00C81593"/>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1B78"/>
    <w:rsid w:val="00C927EB"/>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047"/>
    <w:rsid w:val="00C97494"/>
    <w:rsid w:val="00C97712"/>
    <w:rsid w:val="00C97C5F"/>
    <w:rsid w:val="00CA07B7"/>
    <w:rsid w:val="00CA0C7D"/>
    <w:rsid w:val="00CA0EAD"/>
    <w:rsid w:val="00CA13D3"/>
    <w:rsid w:val="00CA254E"/>
    <w:rsid w:val="00CA25B4"/>
    <w:rsid w:val="00CA294B"/>
    <w:rsid w:val="00CA2DF5"/>
    <w:rsid w:val="00CA40D0"/>
    <w:rsid w:val="00CA4B87"/>
    <w:rsid w:val="00CA4C7C"/>
    <w:rsid w:val="00CA4F05"/>
    <w:rsid w:val="00CA7269"/>
    <w:rsid w:val="00CA7312"/>
    <w:rsid w:val="00CA73F2"/>
    <w:rsid w:val="00CA76FE"/>
    <w:rsid w:val="00CA790E"/>
    <w:rsid w:val="00CA7A0C"/>
    <w:rsid w:val="00CA7A47"/>
    <w:rsid w:val="00CA7B01"/>
    <w:rsid w:val="00CB008F"/>
    <w:rsid w:val="00CB023A"/>
    <w:rsid w:val="00CB0BEA"/>
    <w:rsid w:val="00CB0CDB"/>
    <w:rsid w:val="00CB0D2D"/>
    <w:rsid w:val="00CB0F61"/>
    <w:rsid w:val="00CB105A"/>
    <w:rsid w:val="00CB1125"/>
    <w:rsid w:val="00CB135C"/>
    <w:rsid w:val="00CB1875"/>
    <w:rsid w:val="00CB1B69"/>
    <w:rsid w:val="00CB1EEF"/>
    <w:rsid w:val="00CB203F"/>
    <w:rsid w:val="00CB23B9"/>
    <w:rsid w:val="00CB2409"/>
    <w:rsid w:val="00CB25C0"/>
    <w:rsid w:val="00CB26EF"/>
    <w:rsid w:val="00CB29ED"/>
    <w:rsid w:val="00CB3661"/>
    <w:rsid w:val="00CB3C72"/>
    <w:rsid w:val="00CB3F5A"/>
    <w:rsid w:val="00CB452C"/>
    <w:rsid w:val="00CB459E"/>
    <w:rsid w:val="00CB46BA"/>
    <w:rsid w:val="00CB4ACA"/>
    <w:rsid w:val="00CB4DB5"/>
    <w:rsid w:val="00CB4DCF"/>
    <w:rsid w:val="00CB51B7"/>
    <w:rsid w:val="00CB5318"/>
    <w:rsid w:val="00CB584C"/>
    <w:rsid w:val="00CB5C33"/>
    <w:rsid w:val="00CB5F07"/>
    <w:rsid w:val="00CB6D19"/>
    <w:rsid w:val="00CB7219"/>
    <w:rsid w:val="00CB7359"/>
    <w:rsid w:val="00CB7DBE"/>
    <w:rsid w:val="00CC00B6"/>
    <w:rsid w:val="00CC03B8"/>
    <w:rsid w:val="00CC05DF"/>
    <w:rsid w:val="00CC08C0"/>
    <w:rsid w:val="00CC145C"/>
    <w:rsid w:val="00CC15FE"/>
    <w:rsid w:val="00CC1B99"/>
    <w:rsid w:val="00CC1C30"/>
    <w:rsid w:val="00CC2375"/>
    <w:rsid w:val="00CC23E9"/>
    <w:rsid w:val="00CC2979"/>
    <w:rsid w:val="00CC2A05"/>
    <w:rsid w:val="00CC2CB8"/>
    <w:rsid w:val="00CC3503"/>
    <w:rsid w:val="00CC3A74"/>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FA4"/>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02B8"/>
    <w:rsid w:val="00CE0CD9"/>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5F67"/>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268"/>
    <w:rsid w:val="00CF531E"/>
    <w:rsid w:val="00CF5806"/>
    <w:rsid w:val="00CF6693"/>
    <w:rsid w:val="00CF6C23"/>
    <w:rsid w:val="00CF7372"/>
    <w:rsid w:val="00CF7CE0"/>
    <w:rsid w:val="00CF7FCD"/>
    <w:rsid w:val="00D00133"/>
    <w:rsid w:val="00D002EA"/>
    <w:rsid w:val="00D010A0"/>
    <w:rsid w:val="00D013A9"/>
    <w:rsid w:val="00D016C4"/>
    <w:rsid w:val="00D01CFD"/>
    <w:rsid w:val="00D02457"/>
    <w:rsid w:val="00D02810"/>
    <w:rsid w:val="00D02A16"/>
    <w:rsid w:val="00D032A3"/>
    <w:rsid w:val="00D04013"/>
    <w:rsid w:val="00D041BA"/>
    <w:rsid w:val="00D044DE"/>
    <w:rsid w:val="00D045A2"/>
    <w:rsid w:val="00D04709"/>
    <w:rsid w:val="00D049AE"/>
    <w:rsid w:val="00D04A0B"/>
    <w:rsid w:val="00D04C61"/>
    <w:rsid w:val="00D04DB1"/>
    <w:rsid w:val="00D055BB"/>
    <w:rsid w:val="00D05B84"/>
    <w:rsid w:val="00D0610F"/>
    <w:rsid w:val="00D06DE5"/>
    <w:rsid w:val="00D0700A"/>
    <w:rsid w:val="00D0787A"/>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4A5D"/>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78E"/>
    <w:rsid w:val="00D27940"/>
    <w:rsid w:val="00D3039D"/>
    <w:rsid w:val="00D30588"/>
    <w:rsid w:val="00D309DA"/>
    <w:rsid w:val="00D30C01"/>
    <w:rsid w:val="00D30FD0"/>
    <w:rsid w:val="00D3140B"/>
    <w:rsid w:val="00D3149F"/>
    <w:rsid w:val="00D315A3"/>
    <w:rsid w:val="00D31DE6"/>
    <w:rsid w:val="00D32AF7"/>
    <w:rsid w:val="00D32C0B"/>
    <w:rsid w:val="00D32EBB"/>
    <w:rsid w:val="00D33FE0"/>
    <w:rsid w:val="00D3477C"/>
    <w:rsid w:val="00D361B4"/>
    <w:rsid w:val="00D366EF"/>
    <w:rsid w:val="00D36A20"/>
    <w:rsid w:val="00D36BC4"/>
    <w:rsid w:val="00D36F67"/>
    <w:rsid w:val="00D37E52"/>
    <w:rsid w:val="00D37EC4"/>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1C9"/>
    <w:rsid w:val="00D45373"/>
    <w:rsid w:val="00D45769"/>
    <w:rsid w:val="00D45C66"/>
    <w:rsid w:val="00D46223"/>
    <w:rsid w:val="00D464B6"/>
    <w:rsid w:val="00D467A1"/>
    <w:rsid w:val="00D46C5B"/>
    <w:rsid w:val="00D46DB9"/>
    <w:rsid w:val="00D46E07"/>
    <w:rsid w:val="00D50820"/>
    <w:rsid w:val="00D50983"/>
    <w:rsid w:val="00D5109A"/>
    <w:rsid w:val="00D51981"/>
    <w:rsid w:val="00D51F40"/>
    <w:rsid w:val="00D5207E"/>
    <w:rsid w:val="00D52185"/>
    <w:rsid w:val="00D52227"/>
    <w:rsid w:val="00D5272A"/>
    <w:rsid w:val="00D528A7"/>
    <w:rsid w:val="00D52C33"/>
    <w:rsid w:val="00D52E10"/>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3FCF"/>
    <w:rsid w:val="00D64031"/>
    <w:rsid w:val="00D642EB"/>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18B"/>
    <w:rsid w:val="00D8135C"/>
    <w:rsid w:val="00D81423"/>
    <w:rsid w:val="00D81A45"/>
    <w:rsid w:val="00D81D82"/>
    <w:rsid w:val="00D81DFB"/>
    <w:rsid w:val="00D81F97"/>
    <w:rsid w:val="00D82027"/>
    <w:rsid w:val="00D8215A"/>
    <w:rsid w:val="00D82F28"/>
    <w:rsid w:val="00D82FDA"/>
    <w:rsid w:val="00D83C59"/>
    <w:rsid w:val="00D842DE"/>
    <w:rsid w:val="00D844AA"/>
    <w:rsid w:val="00D846FF"/>
    <w:rsid w:val="00D84ABD"/>
    <w:rsid w:val="00D84C52"/>
    <w:rsid w:val="00D84D1C"/>
    <w:rsid w:val="00D85041"/>
    <w:rsid w:val="00D85954"/>
    <w:rsid w:val="00D85CBF"/>
    <w:rsid w:val="00D85F00"/>
    <w:rsid w:val="00D86CC3"/>
    <w:rsid w:val="00D86FD0"/>
    <w:rsid w:val="00D870D0"/>
    <w:rsid w:val="00D87367"/>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08A"/>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14B"/>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4232"/>
    <w:rsid w:val="00DC5959"/>
    <w:rsid w:val="00DC5D31"/>
    <w:rsid w:val="00DC5DA1"/>
    <w:rsid w:val="00DC5FB4"/>
    <w:rsid w:val="00DC6392"/>
    <w:rsid w:val="00DC673A"/>
    <w:rsid w:val="00DC69E9"/>
    <w:rsid w:val="00DC6AFE"/>
    <w:rsid w:val="00DC6EBF"/>
    <w:rsid w:val="00DC72F3"/>
    <w:rsid w:val="00DC7B20"/>
    <w:rsid w:val="00DC7BCE"/>
    <w:rsid w:val="00DC7F75"/>
    <w:rsid w:val="00DD01AF"/>
    <w:rsid w:val="00DD03CB"/>
    <w:rsid w:val="00DD03FA"/>
    <w:rsid w:val="00DD0ACF"/>
    <w:rsid w:val="00DD128C"/>
    <w:rsid w:val="00DD1D93"/>
    <w:rsid w:val="00DD1E58"/>
    <w:rsid w:val="00DD24F5"/>
    <w:rsid w:val="00DD258A"/>
    <w:rsid w:val="00DD2BB3"/>
    <w:rsid w:val="00DD2E67"/>
    <w:rsid w:val="00DD2EAA"/>
    <w:rsid w:val="00DD313A"/>
    <w:rsid w:val="00DD36F1"/>
    <w:rsid w:val="00DD419B"/>
    <w:rsid w:val="00DD424F"/>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42B"/>
    <w:rsid w:val="00DE459A"/>
    <w:rsid w:val="00DE5894"/>
    <w:rsid w:val="00DE59C1"/>
    <w:rsid w:val="00DE5ADD"/>
    <w:rsid w:val="00DE5B9D"/>
    <w:rsid w:val="00DE5DCA"/>
    <w:rsid w:val="00DE5F2A"/>
    <w:rsid w:val="00DE6321"/>
    <w:rsid w:val="00DE6390"/>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1155"/>
    <w:rsid w:val="00E02247"/>
    <w:rsid w:val="00E024A2"/>
    <w:rsid w:val="00E027C5"/>
    <w:rsid w:val="00E02865"/>
    <w:rsid w:val="00E02AC8"/>
    <w:rsid w:val="00E02B93"/>
    <w:rsid w:val="00E02C60"/>
    <w:rsid w:val="00E03053"/>
    <w:rsid w:val="00E03119"/>
    <w:rsid w:val="00E0335B"/>
    <w:rsid w:val="00E03A7E"/>
    <w:rsid w:val="00E03BAA"/>
    <w:rsid w:val="00E03D39"/>
    <w:rsid w:val="00E03FDB"/>
    <w:rsid w:val="00E0420C"/>
    <w:rsid w:val="00E04AB8"/>
    <w:rsid w:val="00E04B9C"/>
    <w:rsid w:val="00E04E93"/>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5783"/>
    <w:rsid w:val="00E16250"/>
    <w:rsid w:val="00E16C74"/>
    <w:rsid w:val="00E1782B"/>
    <w:rsid w:val="00E2018B"/>
    <w:rsid w:val="00E20279"/>
    <w:rsid w:val="00E208DC"/>
    <w:rsid w:val="00E20C23"/>
    <w:rsid w:val="00E21D1B"/>
    <w:rsid w:val="00E229BA"/>
    <w:rsid w:val="00E22B13"/>
    <w:rsid w:val="00E22C19"/>
    <w:rsid w:val="00E22ED1"/>
    <w:rsid w:val="00E23221"/>
    <w:rsid w:val="00E23BF7"/>
    <w:rsid w:val="00E2402B"/>
    <w:rsid w:val="00E241FA"/>
    <w:rsid w:val="00E24221"/>
    <w:rsid w:val="00E2425C"/>
    <w:rsid w:val="00E24272"/>
    <w:rsid w:val="00E242BE"/>
    <w:rsid w:val="00E243CB"/>
    <w:rsid w:val="00E24440"/>
    <w:rsid w:val="00E247CA"/>
    <w:rsid w:val="00E24DB5"/>
    <w:rsid w:val="00E257B9"/>
    <w:rsid w:val="00E2580A"/>
    <w:rsid w:val="00E25F62"/>
    <w:rsid w:val="00E26414"/>
    <w:rsid w:val="00E269A8"/>
    <w:rsid w:val="00E27387"/>
    <w:rsid w:val="00E276E0"/>
    <w:rsid w:val="00E279A2"/>
    <w:rsid w:val="00E27E0A"/>
    <w:rsid w:val="00E304D7"/>
    <w:rsid w:val="00E30CE3"/>
    <w:rsid w:val="00E31D6E"/>
    <w:rsid w:val="00E32385"/>
    <w:rsid w:val="00E32691"/>
    <w:rsid w:val="00E32932"/>
    <w:rsid w:val="00E32B80"/>
    <w:rsid w:val="00E32BFA"/>
    <w:rsid w:val="00E32E99"/>
    <w:rsid w:val="00E33AB0"/>
    <w:rsid w:val="00E33D70"/>
    <w:rsid w:val="00E33DDC"/>
    <w:rsid w:val="00E34027"/>
    <w:rsid w:val="00E34C92"/>
    <w:rsid w:val="00E34EE0"/>
    <w:rsid w:val="00E354BE"/>
    <w:rsid w:val="00E35D02"/>
    <w:rsid w:val="00E35FF8"/>
    <w:rsid w:val="00E360E0"/>
    <w:rsid w:val="00E364C7"/>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722"/>
    <w:rsid w:val="00E50969"/>
    <w:rsid w:val="00E50C5F"/>
    <w:rsid w:val="00E510B1"/>
    <w:rsid w:val="00E513C8"/>
    <w:rsid w:val="00E51491"/>
    <w:rsid w:val="00E51C35"/>
    <w:rsid w:val="00E51D96"/>
    <w:rsid w:val="00E525E9"/>
    <w:rsid w:val="00E5328F"/>
    <w:rsid w:val="00E536F2"/>
    <w:rsid w:val="00E5384E"/>
    <w:rsid w:val="00E549E3"/>
    <w:rsid w:val="00E54A0B"/>
    <w:rsid w:val="00E550D9"/>
    <w:rsid w:val="00E55536"/>
    <w:rsid w:val="00E557F0"/>
    <w:rsid w:val="00E55C09"/>
    <w:rsid w:val="00E55C11"/>
    <w:rsid w:val="00E561B2"/>
    <w:rsid w:val="00E56D89"/>
    <w:rsid w:val="00E601C1"/>
    <w:rsid w:val="00E6038D"/>
    <w:rsid w:val="00E60AA9"/>
    <w:rsid w:val="00E60BF0"/>
    <w:rsid w:val="00E612D3"/>
    <w:rsid w:val="00E615A3"/>
    <w:rsid w:val="00E6170A"/>
    <w:rsid w:val="00E61BAB"/>
    <w:rsid w:val="00E61D87"/>
    <w:rsid w:val="00E61EC5"/>
    <w:rsid w:val="00E620DA"/>
    <w:rsid w:val="00E623D1"/>
    <w:rsid w:val="00E6249A"/>
    <w:rsid w:val="00E62645"/>
    <w:rsid w:val="00E62980"/>
    <w:rsid w:val="00E62AD5"/>
    <w:rsid w:val="00E63BFC"/>
    <w:rsid w:val="00E63C80"/>
    <w:rsid w:val="00E64657"/>
    <w:rsid w:val="00E64821"/>
    <w:rsid w:val="00E656A5"/>
    <w:rsid w:val="00E65BEE"/>
    <w:rsid w:val="00E668BC"/>
    <w:rsid w:val="00E66C9F"/>
    <w:rsid w:val="00E66CD2"/>
    <w:rsid w:val="00E67B20"/>
    <w:rsid w:val="00E703FB"/>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88"/>
    <w:rsid w:val="00E7561B"/>
    <w:rsid w:val="00E7592D"/>
    <w:rsid w:val="00E75AA2"/>
    <w:rsid w:val="00E7605A"/>
    <w:rsid w:val="00E76788"/>
    <w:rsid w:val="00E76B7A"/>
    <w:rsid w:val="00E7700F"/>
    <w:rsid w:val="00E7759B"/>
    <w:rsid w:val="00E77C3E"/>
    <w:rsid w:val="00E80395"/>
    <w:rsid w:val="00E80695"/>
    <w:rsid w:val="00E809C1"/>
    <w:rsid w:val="00E80DF2"/>
    <w:rsid w:val="00E818B9"/>
    <w:rsid w:val="00E823D6"/>
    <w:rsid w:val="00E82643"/>
    <w:rsid w:val="00E82AB6"/>
    <w:rsid w:val="00E8307F"/>
    <w:rsid w:val="00E83122"/>
    <w:rsid w:val="00E83746"/>
    <w:rsid w:val="00E84039"/>
    <w:rsid w:val="00E84082"/>
    <w:rsid w:val="00E84A5E"/>
    <w:rsid w:val="00E84C4C"/>
    <w:rsid w:val="00E85345"/>
    <w:rsid w:val="00E85D51"/>
    <w:rsid w:val="00E86001"/>
    <w:rsid w:val="00E865B2"/>
    <w:rsid w:val="00E86D3D"/>
    <w:rsid w:val="00E87447"/>
    <w:rsid w:val="00E87BB4"/>
    <w:rsid w:val="00E87E96"/>
    <w:rsid w:val="00E90887"/>
    <w:rsid w:val="00E90C55"/>
    <w:rsid w:val="00E91E98"/>
    <w:rsid w:val="00E92971"/>
    <w:rsid w:val="00E9314C"/>
    <w:rsid w:val="00E931CC"/>
    <w:rsid w:val="00E932D8"/>
    <w:rsid w:val="00E932E4"/>
    <w:rsid w:val="00E93B4F"/>
    <w:rsid w:val="00E94AF1"/>
    <w:rsid w:val="00E959A4"/>
    <w:rsid w:val="00E9631C"/>
    <w:rsid w:val="00E964F0"/>
    <w:rsid w:val="00E9661D"/>
    <w:rsid w:val="00E968A3"/>
    <w:rsid w:val="00E96A3E"/>
    <w:rsid w:val="00E96FC2"/>
    <w:rsid w:val="00E97292"/>
    <w:rsid w:val="00E97A15"/>
    <w:rsid w:val="00EA0262"/>
    <w:rsid w:val="00EA0866"/>
    <w:rsid w:val="00EA08CB"/>
    <w:rsid w:val="00EA24DB"/>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25F"/>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98F"/>
    <w:rsid w:val="00EB5A81"/>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4E0"/>
    <w:rsid w:val="00EC153F"/>
    <w:rsid w:val="00EC1727"/>
    <w:rsid w:val="00EC1AD2"/>
    <w:rsid w:val="00EC1AE1"/>
    <w:rsid w:val="00EC1BEA"/>
    <w:rsid w:val="00EC26D8"/>
    <w:rsid w:val="00EC2906"/>
    <w:rsid w:val="00EC299D"/>
    <w:rsid w:val="00EC2C0C"/>
    <w:rsid w:val="00EC31E5"/>
    <w:rsid w:val="00EC399D"/>
    <w:rsid w:val="00EC3A41"/>
    <w:rsid w:val="00EC4150"/>
    <w:rsid w:val="00EC4226"/>
    <w:rsid w:val="00EC43A4"/>
    <w:rsid w:val="00EC492B"/>
    <w:rsid w:val="00EC4BFE"/>
    <w:rsid w:val="00EC51FD"/>
    <w:rsid w:val="00EC5620"/>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1A69"/>
    <w:rsid w:val="00ED200E"/>
    <w:rsid w:val="00ED24EB"/>
    <w:rsid w:val="00ED258E"/>
    <w:rsid w:val="00ED3E48"/>
    <w:rsid w:val="00ED3FF6"/>
    <w:rsid w:val="00ED419D"/>
    <w:rsid w:val="00ED44E9"/>
    <w:rsid w:val="00ED4652"/>
    <w:rsid w:val="00ED4A70"/>
    <w:rsid w:val="00ED4C5C"/>
    <w:rsid w:val="00ED5360"/>
    <w:rsid w:val="00ED56B8"/>
    <w:rsid w:val="00ED59C1"/>
    <w:rsid w:val="00ED5E65"/>
    <w:rsid w:val="00ED6108"/>
    <w:rsid w:val="00ED6542"/>
    <w:rsid w:val="00ED6AC9"/>
    <w:rsid w:val="00ED7075"/>
    <w:rsid w:val="00ED7642"/>
    <w:rsid w:val="00ED7BC3"/>
    <w:rsid w:val="00EE00E4"/>
    <w:rsid w:val="00EE0883"/>
    <w:rsid w:val="00EE11AF"/>
    <w:rsid w:val="00EE13F3"/>
    <w:rsid w:val="00EE29AE"/>
    <w:rsid w:val="00EE2BEE"/>
    <w:rsid w:val="00EE2FF1"/>
    <w:rsid w:val="00EE3474"/>
    <w:rsid w:val="00EE34CE"/>
    <w:rsid w:val="00EE34FA"/>
    <w:rsid w:val="00EE361D"/>
    <w:rsid w:val="00EE3E6F"/>
    <w:rsid w:val="00EE423E"/>
    <w:rsid w:val="00EE4B3C"/>
    <w:rsid w:val="00EE5562"/>
    <w:rsid w:val="00EE56C5"/>
    <w:rsid w:val="00EE577B"/>
    <w:rsid w:val="00EE5A33"/>
    <w:rsid w:val="00EE6340"/>
    <w:rsid w:val="00EE6BD5"/>
    <w:rsid w:val="00EE7F6F"/>
    <w:rsid w:val="00EF0615"/>
    <w:rsid w:val="00EF1042"/>
    <w:rsid w:val="00EF1A49"/>
    <w:rsid w:val="00EF1E80"/>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980"/>
    <w:rsid w:val="00F001CD"/>
    <w:rsid w:val="00F0023B"/>
    <w:rsid w:val="00F003D0"/>
    <w:rsid w:val="00F0081C"/>
    <w:rsid w:val="00F00D90"/>
    <w:rsid w:val="00F01428"/>
    <w:rsid w:val="00F016A9"/>
    <w:rsid w:val="00F031D2"/>
    <w:rsid w:val="00F037FE"/>
    <w:rsid w:val="00F03BCA"/>
    <w:rsid w:val="00F03D5C"/>
    <w:rsid w:val="00F043FD"/>
    <w:rsid w:val="00F052A4"/>
    <w:rsid w:val="00F0579E"/>
    <w:rsid w:val="00F05E49"/>
    <w:rsid w:val="00F06119"/>
    <w:rsid w:val="00F06423"/>
    <w:rsid w:val="00F075DF"/>
    <w:rsid w:val="00F078C6"/>
    <w:rsid w:val="00F07D60"/>
    <w:rsid w:val="00F1003D"/>
    <w:rsid w:val="00F1030A"/>
    <w:rsid w:val="00F103A0"/>
    <w:rsid w:val="00F10C25"/>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7C4"/>
    <w:rsid w:val="00F177FD"/>
    <w:rsid w:val="00F209CE"/>
    <w:rsid w:val="00F20C25"/>
    <w:rsid w:val="00F220B6"/>
    <w:rsid w:val="00F226BA"/>
    <w:rsid w:val="00F22A55"/>
    <w:rsid w:val="00F24082"/>
    <w:rsid w:val="00F2458C"/>
    <w:rsid w:val="00F24A93"/>
    <w:rsid w:val="00F24C4D"/>
    <w:rsid w:val="00F250AE"/>
    <w:rsid w:val="00F25417"/>
    <w:rsid w:val="00F257F6"/>
    <w:rsid w:val="00F25BEC"/>
    <w:rsid w:val="00F25BFC"/>
    <w:rsid w:val="00F26B40"/>
    <w:rsid w:val="00F26D01"/>
    <w:rsid w:val="00F2731F"/>
    <w:rsid w:val="00F276A1"/>
    <w:rsid w:val="00F3065F"/>
    <w:rsid w:val="00F3069D"/>
    <w:rsid w:val="00F30E8C"/>
    <w:rsid w:val="00F30EFC"/>
    <w:rsid w:val="00F3118C"/>
    <w:rsid w:val="00F31241"/>
    <w:rsid w:val="00F312EE"/>
    <w:rsid w:val="00F32C53"/>
    <w:rsid w:val="00F33618"/>
    <w:rsid w:val="00F34333"/>
    <w:rsid w:val="00F344A3"/>
    <w:rsid w:val="00F3461C"/>
    <w:rsid w:val="00F3486F"/>
    <w:rsid w:val="00F350CB"/>
    <w:rsid w:val="00F35913"/>
    <w:rsid w:val="00F3662F"/>
    <w:rsid w:val="00F36891"/>
    <w:rsid w:val="00F36E84"/>
    <w:rsid w:val="00F370F9"/>
    <w:rsid w:val="00F3791D"/>
    <w:rsid w:val="00F37C38"/>
    <w:rsid w:val="00F37DA0"/>
    <w:rsid w:val="00F4010F"/>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13A7"/>
    <w:rsid w:val="00F5171A"/>
    <w:rsid w:val="00F51F0D"/>
    <w:rsid w:val="00F524BA"/>
    <w:rsid w:val="00F52727"/>
    <w:rsid w:val="00F528E6"/>
    <w:rsid w:val="00F529F3"/>
    <w:rsid w:val="00F5311E"/>
    <w:rsid w:val="00F53ECC"/>
    <w:rsid w:val="00F54014"/>
    <w:rsid w:val="00F551BD"/>
    <w:rsid w:val="00F552C7"/>
    <w:rsid w:val="00F553D6"/>
    <w:rsid w:val="00F55773"/>
    <w:rsid w:val="00F55A2D"/>
    <w:rsid w:val="00F55DB2"/>
    <w:rsid w:val="00F561D5"/>
    <w:rsid w:val="00F56545"/>
    <w:rsid w:val="00F5676C"/>
    <w:rsid w:val="00F56C49"/>
    <w:rsid w:val="00F56F5E"/>
    <w:rsid w:val="00F574A6"/>
    <w:rsid w:val="00F5774F"/>
    <w:rsid w:val="00F5792C"/>
    <w:rsid w:val="00F60EC1"/>
    <w:rsid w:val="00F614ED"/>
    <w:rsid w:val="00F61885"/>
    <w:rsid w:val="00F61BD4"/>
    <w:rsid w:val="00F62258"/>
    <w:rsid w:val="00F6227F"/>
    <w:rsid w:val="00F62303"/>
    <w:rsid w:val="00F62945"/>
    <w:rsid w:val="00F62986"/>
    <w:rsid w:val="00F63475"/>
    <w:rsid w:val="00F63548"/>
    <w:rsid w:val="00F639E8"/>
    <w:rsid w:val="00F63FF4"/>
    <w:rsid w:val="00F64AA0"/>
    <w:rsid w:val="00F64ED1"/>
    <w:rsid w:val="00F652CF"/>
    <w:rsid w:val="00F652ED"/>
    <w:rsid w:val="00F654AE"/>
    <w:rsid w:val="00F665D0"/>
    <w:rsid w:val="00F66C94"/>
    <w:rsid w:val="00F670E5"/>
    <w:rsid w:val="00F705EE"/>
    <w:rsid w:val="00F70BA9"/>
    <w:rsid w:val="00F70DA1"/>
    <w:rsid w:val="00F7151D"/>
    <w:rsid w:val="00F71947"/>
    <w:rsid w:val="00F71E52"/>
    <w:rsid w:val="00F7273B"/>
    <w:rsid w:val="00F72F47"/>
    <w:rsid w:val="00F7320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60E"/>
    <w:rsid w:val="00F84E7A"/>
    <w:rsid w:val="00F8505D"/>
    <w:rsid w:val="00F85720"/>
    <w:rsid w:val="00F8598A"/>
    <w:rsid w:val="00F85F86"/>
    <w:rsid w:val="00F86018"/>
    <w:rsid w:val="00F86226"/>
    <w:rsid w:val="00F86619"/>
    <w:rsid w:val="00F86A6E"/>
    <w:rsid w:val="00F86B43"/>
    <w:rsid w:val="00F87660"/>
    <w:rsid w:val="00F87A4E"/>
    <w:rsid w:val="00F90068"/>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7135"/>
    <w:rsid w:val="00F971F0"/>
    <w:rsid w:val="00F97279"/>
    <w:rsid w:val="00FA071F"/>
    <w:rsid w:val="00FA0E6C"/>
    <w:rsid w:val="00FA0F69"/>
    <w:rsid w:val="00FA136B"/>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1BB"/>
    <w:rsid w:val="00FB030F"/>
    <w:rsid w:val="00FB034E"/>
    <w:rsid w:val="00FB0B0F"/>
    <w:rsid w:val="00FB12D8"/>
    <w:rsid w:val="00FB16A0"/>
    <w:rsid w:val="00FB17DF"/>
    <w:rsid w:val="00FB197D"/>
    <w:rsid w:val="00FB1AFF"/>
    <w:rsid w:val="00FB212F"/>
    <w:rsid w:val="00FB2B16"/>
    <w:rsid w:val="00FB2BA0"/>
    <w:rsid w:val="00FB3542"/>
    <w:rsid w:val="00FB3587"/>
    <w:rsid w:val="00FB383B"/>
    <w:rsid w:val="00FB39E2"/>
    <w:rsid w:val="00FB3F14"/>
    <w:rsid w:val="00FB3FA5"/>
    <w:rsid w:val="00FB4122"/>
    <w:rsid w:val="00FB4337"/>
    <w:rsid w:val="00FB479B"/>
    <w:rsid w:val="00FB47D3"/>
    <w:rsid w:val="00FB4810"/>
    <w:rsid w:val="00FB4EE1"/>
    <w:rsid w:val="00FB5053"/>
    <w:rsid w:val="00FB6807"/>
    <w:rsid w:val="00FB6DB2"/>
    <w:rsid w:val="00FB7040"/>
    <w:rsid w:val="00FB70AB"/>
    <w:rsid w:val="00FB745B"/>
    <w:rsid w:val="00FB7580"/>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D3B"/>
    <w:rsid w:val="00FC6748"/>
    <w:rsid w:val="00FD0A7A"/>
    <w:rsid w:val="00FD0B1E"/>
    <w:rsid w:val="00FD166D"/>
    <w:rsid w:val="00FD1C47"/>
    <w:rsid w:val="00FD1C81"/>
    <w:rsid w:val="00FD2B51"/>
    <w:rsid w:val="00FD2D0E"/>
    <w:rsid w:val="00FD2DD2"/>
    <w:rsid w:val="00FD2FBC"/>
    <w:rsid w:val="00FD3207"/>
    <w:rsid w:val="00FD36F3"/>
    <w:rsid w:val="00FD3EDD"/>
    <w:rsid w:val="00FD412E"/>
    <w:rsid w:val="00FD420A"/>
    <w:rsid w:val="00FD4592"/>
    <w:rsid w:val="00FD45E3"/>
    <w:rsid w:val="00FD497D"/>
    <w:rsid w:val="00FD5117"/>
    <w:rsid w:val="00FD54D6"/>
    <w:rsid w:val="00FD55C2"/>
    <w:rsid w:val="00FD5B9E"/>
    <w:rsid w:val="00FD5EE0"/>
    <w:rsid w:val="00FD6A58"/>
    <w:rsid w:val="00FD6FA8"/>
    <w:rsid w:val="00FD7399"/>
    <w:rsid w:val="00FE05BE"/>
    <w:rsid w:val="00FE08B4"/>
    <w:rsid w:val="00FE0E64"/>
    <w:rsid w:val="00FE0EC2"/>
    <w:rsid w:val="00FE13D0"/>
    <w:rsid w:val="00FE2293"/>
    <w:rsid w:val="00FE2AFE"/>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BE0"/>
    <w:rsid w:val="00FF1D4B"/>
    <w:rsid w:val="00FF1D6C"/>
    <w:rsid w:val="00FF2032"/>
    <w:rsid w:val="00FF233D"/>
    <w:rsid w:val="00FF2913"/>
    <w:rsid w:val="00FF3143"/>
    <w:rsid w:val="00FF352B"/>
    <w:rsid w:val="00FF3A10"/>
    <w:rsid w:val="00FF3EAD"/>
    <w:rsid w:val="00FF5244"/>
    <w:rsid w:val="00FF56A7"/>
    <w:rsid w:val="00FF6583"/>
    <w:rsid w:val="00FF687C"/>
    <w:rsid w:val="00FF7370"/>
    <w:rsid w:val="00FF738E"/>
    <w:rsid w:val="01013DEF"/>
    <w:rsid w:val="011807F3"/>
    <w:rsid w:val="01191526"/>
    <w:rsid w:val="011E41CE"/>
    <w:rsid w:val="012770A9"/>
    <w:rsid w:val="01394CCF"/>
    <w:rsid w:val="01463ACA"/>
    <w:rsid w:val="014A18ED"/>
    <w:rsid w:val="014D4F8B"/>
    <w:rsid w:val="015E68AB"/>
    <w:rsid w:val="01620926"/>
    <w:rsid w:val="017F1AD4"/>
    <w:rsid w:val="01824C12"/>
    <w:rsid w:val="01874044"/>
    <w:rsid w:val="019A6EC8"/>
    <w:rsid w:val="019B0380"/>
    <w:rsid w:val="019B574B"/>
    <w:rsid w:val="01A02BCC"/>
    <w:rsid w:val="01A45904"/>
    <w:rsid w:val="01A727E0"/>
    <w:rsid w:val="01B057FC"/>
    <w:rsid w:val="01B3523A"/>
    <w:rsid w:val="01B549D1"/>
    <w:rsid w:val="01BF0CD9"/>
    <w:rsid w:val="01CE29B7"/>
    <w:rsid w:val="01DD4452"/>
    <w:rsid w:val="01E449A1"/>
    <w:rsid w:val="01E63DFA"/>
    <w:rsid w:val="01EC03AF"/>
    <w:rsid w:val="01F64B87"/>
    <w:rsid w:val="01F830C5"/>
    <w:rsid w:val="01F84179"/>
    <w:rsid w:val="021128DA"/>
    <w:rsid w:val="02160D7A"/>
    <w:rsid w:val="02291F57"/>
    <w:rsid w:val="022A7399"/>
    <w:rsid w:val="0236787D"/>
    <w:rsid w:val="023B2F29"/>
    <w:rsid w:val="0240410D"/>
    <w:rsid w:val="02474B83"/>
    <w:rsid w:val="02522FDA"/>
    <w:rsid w:val="025D5814"/>
    <w:rsid w:val="025E265F"/>
    <w:rsid w:val="026A0C2B"/>
    <w:rsid w:val="026F4C85"/>
    <w:rsid w:val="02732B6D"/>
    <w:rsid w:val="02792328"/>
    <w:rsid w:val="027B4F29"/>
    <w:rsid w:val="02840426"/>
    <w:rsid w:val="028579E6"/>
    <w:rsid w:val="028D236B"/>
    <w:rsid w:val="028F1DEC"/>
    <w:rsid w:val="02946093"/>
    <w:rsid w:val="02962A5F"/>
    <w:rsid w:val="02AC53F2"/>
    <w:rsid w:val="02B37385"/>
    <w:rsid w:val="02BD2D97"/>
    <w:rsid w:val="02C00F2D"/>
    <w:rsid w:val="02C12A60"/>
    <w:rsid w:val="02CC7703"/>
    <w:rsid w:val="02D451DF"/>
    <w:rsid w:val="02D60E3E"/>
    <w:rsid w:val="02D87A28"/>
    <w:rsid w:val="02DE7995"/>
    <w:rsid w:val="02E95986"/>
    <w:rsid w:val="02FA1BC9"/>
    <w:rsid w:val="030B6548"/>
    <w:rsid w:val="031635ED"/>
    <w:rsid w:val="03176776"/>
    <w:rsid w:val="031848EE"/>
    <w:rsid w:val="0319645B"/>
    <w:rsid w:val="03232BE2"/>
    <w:rsid w:val="03500296"/>
    <w:rsid w:val="035031CD"/>
    <w:rsid w:val="0351212F"/>
    <w:rsid w:val="03563691"/>
    <w:rsid w:val="03596601"/>
    <w:rsid w:val="03601057"/>
    <w:rsid w:val="036A6ED9"/>
    <w:rsid w:val="03713F36"/>
    <w:rsid w:val="03716C72"/>
    <w:rsid w:val="0377290A"/>
    <w:rsid w:val="037E7463"/>
    <w:rsid w:val="038779CB"/>
    <w:rsid w:val="03914B20"/>
    <w:rsid w:val="039816E3"/>
    <w:rsid w:val="03990B23"/>
    <w:rsid w:val="03A76EF9"/>
    <w:rsid w:val="03BF0B2A"/>
    <w:rsid w:val="03C07CDA"/>
    <w:rsid w:val="03C93B1F"/>
    <w:rsid w:val="03D97EDF"/>
    <w:rsid w:val="03DB42CC"/>
    <w:rsid w:val="03E22FED"/>
    <w:rsid w:val="03E2358E"/>
    <w:rsid w:val="03E357F4"/>
    <w:rsid w:val="03E97DBE"/>
    <w:rsid w:val="040707A2"/>
    <w:rsid w:val="040C26B9"/>
    <w:rsid w:val="040C7183"/>
    <w:rsid w:val="04183D1C"/>
    <w:rsid w:val="04236473"/>
    <w:rsid w:val="04273A56"/>
    <w:rsid w:val="04295954"/>
    <w:rsid w:val="04330A26"/>
    <w:rsid w:val="04334C63"/>
    <w:rsid w:val="043C0559"/>
    <w:rsid w:val="044247A2"/>
    <w:rsid w:val="04442C52"/>
    <w:rsid w:val="04484874"/>
    <w:rsid w:val="045A41C2"/>
    <w:rsid w:val="045C5B14"/>
    <w:rsid w:val="046B2838"/>
    <w:rsid w:val="048C2970"/>
    <w:rsid w:val="04951484"/>
    <w:rsid w:val="04996B0B"/>
    <w:rsid w:val="049E6644"/>
    <w:rsid w:val="04A96495"/>
    <w:rsid w:val="04B10511"/>
    <w:rsid w:val="04B87A29"/>
    <w:rsid w:val="04B93CA0"/>
    <w:rsid w:val="04BE2E12"/>
    <w:rsid w:val="04D24193"/>
    <w:rsid w:val="04D55CB1"/>
    <w:rsid w:val="04D76384"/>
    <w:rsid w:val="04EF06A9"/>
    <w:rsid w:val="04F62FB3"/>
    <w:rsid w:val="050002A5"/>
    <w:rsid w:val="050A35AF"/>
    <w:rsid w:val="050C1190"/>
    <w:rsid w:val="051A1072"/>
    <w:rsid w:val="051D5A25"/>
    <w:rsid w:val="05201407"/>
    <w:rsid w:val="052B05EB"/>
    <w:rsid w:val="052E1931"/>
    <w:rsid w:val="05310B77"/>
    <w:rsid w:val="053A6A10"/>
    <w:rsid w:val="053F1908"/>
    <w:rsid w:val="0542333A"/>
    <w:rsid w:val="054F0384"/>
    <w:rsid w:val="05585C8B"/>
    <w:rsid w:val="056F6481"/>
    <w:rsid w:val="05750C0A"/>
    <w:rsid w:val="05784026"/>
    <w:rsid w:val="058022EC"/>
    <w:rsid w:val="058C1387"/>
    <w:rsid w:val="058D26F7"/>
    <w:rsid w:val="058F1A17"/>
    <w:rsid w:val="05966A26"/>
    <w:rsid w:val="059D4819"/>
    <w:rsid w:val="05AE52C5"/>
    <w:rsid w:val="05B268F1"/>
    <w:rsid w:val="05B93CF5"/>
    <w:rsid w:val="05C47ED0"/>
    <w:rsid w:val="05CE00F6"/>
    <w:rsid w:val="05DE4BEF"/>
    <w:rsid w:val="05E53EAE"/>
    <w:rsid w:val="05F26B53"/>
    <w:rsid w:val="06047BEB"/>
    <w:rsid w:val="060A3464"/>
    <w:rsid w:val="063024E5"/>
    <w:rsid w:val="0641701E"/>
    <w:rsid w:val="06436553"/>
    <w:rsid w:val="064A10CF"/>
    <w:rsid w:val="065B1719"/>
    <w:rsid w:val="06643766"/>
    <w:rsid w:val="06655992"/>
    <w:rsid w:val="067E4D2E"/>
    <w:rsid w:val="068679BD"/>
    <w:rsid w:val="06910B44"/>
    <w:rsid w:val="069E3A4D"/>
    <w:rsid w:val="06B5215B"/>
    <w:rsid w:val="06BE1860"/>
    <w:rsid w:val="06CC49F3"/>
    <w:rsid w:val="06E82466"/>
    <w:rsid w:val="06E84F1D"/>
    <w:rsid w:val="06E903D2"/>
    <w:rsid w:val="06F14934"/>
    <w:rsid w:val="070E1DB1"/>
    <w:rsid w:val="071A4705"/>
    <w:rsid w:val="07262433"/>
    <w:rsid w:val="072D0AF6"/>
    <w:rsid w:val="072F043D"/>
    <w:rsid w:val="073C6035"/>
    <w:rsid w:val="07437BBB"/>
    <w:rsid w:val="07563E12"/>
    <w:rsid w:val="075B3056"/>
    <w:rsid w:val="075B6744"/>
    <w:rsid w:val="07612F8C"/>
    <w:rsid w:val="07625087"/>
    <w:rsid w:val="078416F3"/>
    <w:rsid w:val="07876107"/>
    <w:rsid w:val="078C7734"/>
    <w:rsid w:val="079E2579"/>
    <w:rsid w:val="07AA10F4"/>
    <w:rsid w:val="07B43DA5"/>
    <w:rsid w:val="07BF329A"/>
    <w:rsid w:val="07CB6508"/>
    <w:rsid w:val="07CD783F"/>
    <w:rsid w:val="07DD28A8"/>
    <w:rsid w:val="07E5158C"/>
    <w:rsid w:val="08057910"/>
    <w:rsid w:val="081171FC"/>
    <w:rsid w:val="08155263"/>
    <w:rsid w:val="08186402"/>
    <w:rsid w:val="08225560"/>
    <w:rsid w:val="082B071E"/>
    <w:rsid w:val="082C7B47"/>
    <w:rsid w:val="082D113E"/>
    <w:rsid w:val="083F52A2"/>
    <w:rsid w:val="084F4AD8"/>
    <w:rsid w:val="084F690E"/>
    <w:rsid w:val="085F5CCE"/>
    <w:rsid w:val="086E6F3E"/>
    <w:rsid w:val="087E1AA3"/>
    <w:rsid w:val="087F1A95"/>
    <w:rsid w:val="088B26B1"/>
    <w:rsid w:val="08954992"/>
    <w:rsid w:val="089739B7"/>
    <w:rsid w:val="089B4ABA"/>
    <w:rsid w:val="08A2003A"/>
    <w:rsid w:val="08A54A22"/>
    <w:rsid w:val="08AF4F12"/>
    <w:rsid w:val="08C02906"/>
    <w:rsid w:val="08D411DD"/>
    <w:rsid w:val="08D67AEE"/>
    <w:rsid w:val="08DB3E97"/>
    <w:rsid w:val="08ED4261"/>
    <w:rsid w:val="09110D3D"/>
    <w:rsid w:val="091D3E24"/>
    <w:rsid w:val="092150A3"/>
    <w:rsid w:val="09322CFF"/>
    <w:rsid w:val="093D463D"/>
    <w:rsid w:val="09401A6E"/>
    <w:rsid w:val="094758C6"/>
    <w:rsid w:val="094E014B"/>
    <w:rsid w:val="095064DE"/>
    <w:rsid w:val="095348BA"/>
    <w:rsid w:val="09552951"/>
    <w:rsid w:val="095D055B"/>
    <w:rsid w:val="09615005"/>
    <w:rsid w:val="096E525F"/>
    <w:rsid w:val="09776D84"/>
    <w:rsid w:val="09777A04"/>
    <w:rsid w:val="097D39CA"/>
    <w:rsid w:val="098F4705"/>
    <w:rsid w:val="0992592A"/>
    <w:rsid w:val="09926D5C"/>
    <w:rsid w:val="099E4291"/>
    <w:rsid w:val="09A86A62"/>
    <w:rsid w:val="09AD1A84"/>
    <w:rsid w:val="09AD23B6"/>
    <w:rsid w:val="09F309B5"/>
    <w:rsid w:val="09F70BE3"/>
    <w:rsid w:val="0A0D7DEF"/>
    <w:rsid w:val="0A0F6050"/>
    <w:rsid w:val="0A11336E"/>
    <w:rsid w:val="0A130E88"/>
    <w:rsid w:val="0A140F44"/>
    <w:rsid w:val="0A1506A1"/>
    <w:rsid w:val="0A2115E4"/>
    <w:rsid w:val="0A270004"/>
    <w:rsid w:val="0A272C22"/>
    <w:rsid w:val="0A2A0693"/>
    <w:rsid w:val="0A3C1156"/>
    <w:rsid w:val="0A525CD3"/>
    <w:rsid w:val="0A526333"/>
    <w:rsid w:val="0A5617BA"/>
    <w:rsid w:val="0A5C4DDC"/>
    <w:rsid w:val="0A624B0B"/>
    <w:rsid w:val="0A6E06DB"/>
    <w:rsid w:val="0A8026FD"/>
    <w:rsid w:val="0A867E89"/>
    <w:rsid w:val="0A8B5A95"/>
    <w:rsid w:val="0A9E4D3E"/>
    <w:rsid w:val="0ACC31E8"/>
    <w:rsid w:val="0AD376B3"/>
    <w:rsid w:val="0AE5521B"/>
    <w:rsid w:val="0AEC24B7"/>
    <w:rsid w:val="0AED55AB"/>
    <w:rsid w:val="0AEF03FD"/>
    <w:rsid w:val="0AFB4C31"/>
    <w:rsid w:val="0B0855E6"/>
    <w:rsid w:val="0B1D24CA"/>
    <w:rsid w:val="0B1D46D0"/>
    <w:rsid w:val="0B39313A"/>
    <w:rsid w:val="0B3D17CA"/>
    <w:rsid w:val="0B3D3052"/>
    <w:rsid w:val="0B40118F"/>
    <w:rsid w:val="0B507E05"/>
    <w:rsid w:val="0B5B1C61"/>
    <w:rsid w:val="0B700349"/>
    <w:rsid w:val="0B731D47"/>
    <w:rsid w:val="0B753B2C"/>
    <w:rsid w:val="0B7C1696"/>
    <w:rsid w:val="0B7C4627"/>
    <w:rsid w:val="0B8B1A38"/>
    <w:rsid w:val="0B8B7B65"/>
    <w:rsid w:val="0B8E27D7"/>
    <w:rsid w:val="0B97557A"/>
    <w:rsid w:val="0B9823E7"/>
    <w:rsid w:val="0B9B6EA5"/>
    <w:rsid w:val="0BA13F4A"/>
    <w:rsid w:val="0BA92786"/>
    <w:rsid w:val="0BAA2BC6"/>
    <w:rsid w:val="0BAC3213"/>
    <w:rsid w:val="0BB87866"/>
    <w:rsid w:val="0BBC3C94"/>
    <w:rsid w:val="0BC336C4"/>
    <w:rsid w:val="0BD24CE6"/>
    <w:rsid w:val="0BEB2B73"/>
    <w:rsid w:val="0BF12638"/>
    <w:rsid w:val="0BF976A6"/>
    <w:rsid w:val="0C1C3767"/>
    <w:rsid w:val="0C1C7A68"/>
    <w:rsid w:val="0C1D0D58"/>
    <w:rsid w:val="0C1F6501"/>
    <w:rsid w:val="0C2C1973"/>
    <w:rsid w:val="0C350B8B"/>
    <w:rsid w:val="0C4B19EE"/>
    <w:rsid w:val="0C4C6BDA"/>
    <w:rsid w:val="0C636F2E"/>
    <w:rsid w:val="0C6812A8"/>
    <w:rsid w:val="0C687A50"/>
    <w:rsid w:val="0C7142A5"/>
    <w:rsid w:val="0C751661"/>
    <w:rsid w:val="0C843B26"/>
    <w:rsid w:val="0C853D53"/>
    <w:rsid w:val="0C94713B"/>
    <w:rsid w:val="0C9D4050"/>
    <w:rsid w:val="0CA15135"/>
    <w:rsid w:val="0CA91F0D"/>
    <w:rsid w:val="0CAC29D7"/>
    <w:rsid w:val="0CC21F2C"/>
    <w:rsid w:val="0CC57BA9"/>
    <w:rsid w:val="0CC712FC"/>
    <w:rsid w:val="0CCD0E51"/>
    <w:rsid w:val="0CFB2F25"/>
    <w:rsid w:val="0CFE3CFD"/>
    <w:rsid w:val="0D0B532E"/>
    <w:rsid w:val="0D0F40CA"/>
    <w:rsid w:val="0D15613A"/>
    <w:rsid w:val="0D176038"/>
    <w:rsid w:val="0D1D0C1F"/>
    <w:rsid w:val="0D28274F"/>
    <w:rsid w:val="0D2C6A93"/>
    <w:rsid w:val="0D3C439B"/>
    <w:rsid w:val="0D3D1EE7"/>
    <w:rsid w:val="0D3F74A1"/>
    <w:rsid w:val="0D633EBC"/>
    <w:rsid w:val="0D660ECD"/>
    <w:rsid w:val="0D735B91"/>
    <w:rsid w:val="0D7F6062"/>
    <w:rsid w:val="0D8717CE"/>
    <w:rsid w:val="0D902275"/>
    <w:rsid w:val="0D9244F6"/>
    <w:rsid w:val="0D9A1054"/>
    <w:rsid w:val="0DB00B4F"/>
    <w:rsid w:val="0DB71851"/>
    <w:rsid w:val="0DB869ED"/>
    <w:rsid w:val="0DBC6760"/>
    <w:rsid w:val="0DC166D7"/>
    <w:rsid w:val="0DCF7B7B"/>
    <w:rsid w:val="0DD95C14"/>
    <w:rsid w:val="0DDF67D7"/>
    <w:rsid w:val="0DED10D7"/>
    <w:rsid w:val="0DF5354C"/>
    <w:rsid w:val="0E086FD5"/>
    <w:rsid w:val="0E106F57"/>
    <w:rsid w:val="0E175DD5"/>
    <w:rsid w:val="0E2A696E"/>
    <w:rsid w:val="0E2F0E28"/>
    <w:rsid w:val="0E4E761E"/>
    <w:rsid w:val="0E512F07"/>
    <w:rsid w:val="0E5E0C73"/>
    <w:rsid w:val="0E84108E"/>
    <w:rsid w:val="0E9C0445"/>
    <w:rsid w:val="0EA03BF7"/>
    <w:rsid w:val="0EAB3206"/>
    <w:rsid w:val="0EAE3742"/>
    <w:rsid w:val="0EBF18BB"/>
    <w:rsid w:val="0ED66D91"/>
    <w:rsid w:val="0ED8784A"/>
    <w:rsid w:val="0EDB1903"/>
    <w:rsid w:val="0EDE2E67"/>
    <w:rsid w:val="0EE30ED5"/>
    <w:rsid w:val="0EE473DB"/>
    <w:rsid w:val="0EEA7C30"/>
    <w:rsid w:val="0F362DBF"/>
    <w:rsid w:val="0F4755CE"/>
    <w:rsid w:val="0F5E1F7E"/>
    <w:rsid w:val="0F631D95"/>
    <w:rsid w:val="0F804185"/>
    <w:rsid w:val="0F822D9A"/>
    <w:rsid w:val="0F830EFB"/>
    <w:rsid w:val="0F834891"/>
    <w:rsid w:val="0F8D6C17"/>
    <w:rsid w:val="0F933BB4"/>
    <w:rsid w:val="0F9767CA"/>
    <w:rsid w:val="0F9B26AD"/>
    <w:rsid w:val="0FA43289"/>
    <w:rsid w:val="0FA729AC"/>
    <w:rsid w:val="0FA94931"/>
    <w:rsid w:val="0FAD3417"/>
    <w:rsid w:val="0FAE6D8C"/>
    <w:rsid w:val="0FB64B1E"/>
    <w:rsid w:val="0FB8068E"/>
    <w:rsid w:val="0FC81397"/>
    <w:rsid w:val="0FC84547"/>
    <w:rsid w:val="0FD03CA2"/>
    <w:rsid w:val="0FD81768"/>
    <w:rsid w:val="0FEA2D27"/>
    <w:rsid w:val="0FF545C1"/>
    <w:rsid w:val="0FFB684F"/>
    <w:rsid w:val="0FFC5AE4"/>
    <w:rsid w:val="100A522A"/>
    <w:rsid w:val="101B0A43"/>
    <w:rsid w:val="101D2B5B"/>
    <w:rsid w:val="10217738"/>
    <w:rsid w:val="102E2971"/>
    <w:rsid w:val="10381991"/>
    <w:rsid w:val="1039673B"/>
    <w:rsid w:val="10522022"/>
    <w:rsid w:val="10593E43"/>
    <w:rsid w:val="1059496D"/>
    <w:rsid w:val="1061678E"/>
    <w:rsid w:val="106E5D8E"/>
    <w:rsid w:val="1080738A"/>
    <w:rsid w:val="10867F82"/>
    <w:rsid w:val="109804E6"/>
    <w:rsid w:val="10AC52A9"/>
    <w:rsid w:val="10B44B4F"/>
    <w:rsid w:val="10B81768"/>
    <w:rsid w:val="10BB269A"/>
    <w:rsid w:val="10C1531D"/>
    <w:rsid w:val="10D153C9"/>
    <w:rsid w:val="10EF5F3F"/>
    <w:rsid w:val="10F564F1"/>
    <w:rsid w:val="1106525F"/>
    <w:rsid w:val="110A48CA"/>
    <w:rsid w:val="111921D0"/>
    <w:rsid w:val="112E36F9"/>
    <w:rsid w:val="11303D67"/>
    <w:rsid w:val="113179F7"/>
    <w:rsid w:val="11356B14"/>
    <w:rsid w:val="11434017"/>
    <w:rsid w:val="115B278A"/>
    <w:rsid w:val="116727A5"/>
    <w:rsid w:val="116B4C95"/>
    <w:rsid w:val="11754151"/>
    <w:rsid w:val="11762BB5"/>
    <w:rsid w:val="11770245"/>
    <w:rsid w:val="117B1DDF"/>
    <w:rsid w:val="117C3029"/>
    <w:rsid w:val="11DD00B4"/>
    <w:rsid w:val="11E12852"/>
    <w:rsid w:val="11EF4327"/>
    <w:rsid w:val="11F5408B"/>
    <w:rsid w:val="11FF3067"/>
    <w:rsid w:val="12295577"/>
    <w:rsid w:val="12347F17"/>
    <w:rsid w:val="12362CBB"/>
    <w:rsid w:val="123C2AA5"/>
    <w:rsid w:val="124174E8"/>
    <w:rsid w:val="124A2CFA"/>
    <w:rsid w:val="124A3A51"/>
    <w:rsid w:val="12530920"/>
    <w:rsid w:val="126434FF"/>
    <w:rsid w:val="12666A8D"/>
    <w:rsid w:val="126D7F44"/>
    <w:rsid w:val="126E12BA"/>
    <w:rsid w:val="128F7B10"/>
    <w:rsid w:val="12A54CD8"/>
    <w:rsid w:val="12A850A5"/>
    <w:rsid w:val="12B26CE2"/>
    <w:rsid w:val="12B90A48"/>
    <w:rsid w:val="12BC338F"/>
    <w:rsid w:val="12C03EEB"/>
    <w:rsid w:val="12C23037"/>
    <w:rsid w:val="12C94FEB"/>
    <w:rsid w:val="12D4166D"/>
    <w:rsid w:val="12D64A2E"/>
    <w:rsid w:val="12D97605"/>
    <w:rsid w:val="12DB6F47"/>
    <w:rsid w:val="12DC1B55"/>
    <w:rsid w:val="12E1526B"/>
    <w:rsid w:val="12E97178"/>
    <w:rsid w:val="12F2198D"/>
    <w:rsid w:val="12F54300"/>
    <w:rsid w:val="131864C9"/>
    <w:rsid w:val="131C34F9"/>
    <w:rsid w:val="133633BB"/>
    <w:rsid w:val="13494E20"/>
    <w:rsid w:val="1350543E"/>
    <w:rsid w:val="13565218"/>
    <w:rsid w:val="135847C2"/>
    <w:rsid w:val="136B5577"/>
    <w:rsid w:val="13732C96"/>
    <w:rsid w:val="1398538B"/>
    <w:rsid w:val="13B33689"/>
    <w:rsid w:val="13B75DBC"/>
    <w:rsid w:val="13D015E4"/>
    <w:rsid w:val="13D16C86"/>
    <w:rsid w:val="13D97B23"/>
    <w:rsid w:val="13E1127D"/>
    <w:rsid w:val="13E65EB9"/>
    <w:rsid w:val="13EE03DE"/>
    <w:rsid w:val="13F42753"/>
    <w:rsid w:val="13F50FD1"/>
    <w:rsid w:val="13FF2113"/>
    <w:rsid w:val="140648C0"/>
    <w:rsid w:val="14083F37"/>
    <w:rsid w:val="1409431B"/>
    <w:rsid w:val="14164DC9"/>
    <w:rsid w:val="141A4247"/>
    <w:rsid w:val="141F689C"/>
    <w:rsid w:val="14204A21"/>
    <w:rsid w:val="14233A93"/>
    <w:rsid w:val="142B4CEC"/>
    <w:rsid w:val="1439686D"/>
    <w:rsid w:val="144B0AAC"/>
    <w:rsid w:val="14517841"/>
    <w:rsid w:val="14691B6A"/>
    <w:rsid w:val="14767435"/>
    <w:rsid w:val="14786C93"/>
    <w:rsid w:val="149E66C7"/>
    <w:rsid w:val="14CE5C1D"/>
    <w:rsid w:val="14D9714C"/>
    <w:rsid w:val="14DB4681"/>
    <w:rsid w:val="14E3403A"/>
    <w:rsid w:val="14E5572E"/>
    <w:rsid w:val="14F364C5"/>
    <w:rsid w:val="14FF0C36"/>
    <w:rsid w:val="150A672B"/>
    <w:rsid w:val="15144376"/>
    <w:rsid w:val="15214E31"/>
    <w:rsid w:val="152D0236"/>
    <w:rsid w:val="153B4041"/>
    <w:rsid w:val="153F63F5"/>
    <w:rsid w:val="154336E9"/>
    <w:rsid w:val="154A1AF8"/>
    <w:rsid w:val="15520BBD"/>
    <w:rsid w:val="15522AFE"/>
    <w:rsid w:val="156D15F3"/>
    <w:rsid w:val="1584500F"/>
    <w:rsid w:val="158C2AD1"/>
    <w:rsid w:val="158E6F99"/>
    <w:rsid w:val="159A0734"/>
    <w:rsid w:val="159D2348"/>
    <w:rsid w:val="15AA6500"/>
    <w:rsid w:val="15C036A5"/>
    <w:rsid w:val="15C666A0"/>
    <w:rsid w:val="15DB3F6A"/>
    <w:rsid w:val="15E721E2"/>
    <w:rsid w:val="15FD4721"/>
    <w:rsid w:val="16080991"/>
    <w:rsid w:val="161A43CF"/>
    <w:rsid w:val="163838F7"/>
    <w:rsid w:val="16525EEF"/>
    <w:rsid w:val="165F493B"/>
    <w:rsid w:val="16674BA1"/>
    <w:rsid w:val="16680DBB"/>
    <w:rsid w:val="16691CD1"/>
    <w:rsid w:val="166B7EA8"/>
    <w:rsid w:val="1671348F"/>
    <w:rsid w:val="169139BB"/>
    <w:rsid w:val="16A12E85"/>
    <w:rsid w:val="16B950F1"/>
    <w:rsid w:val="16C10492"/>
    <w:rsid w:val="16E67B3C"/>
    <w:rsid w:val="16E972BD"/>
    <w:rsid w:val="16EC1FFF"/>
    <w:rsid w:val="16FA4E69"/>
    <w:rsid w:val="17012D11"/>
    <w:rsid w:val="1702117B"/>
    <w:rsid w:val="17067A06"/>
    <w:rsid w:val="170C5D47"/>
    <w:rsid w:val="171A74CD"/>
    <w:rsid w:val="17213AD2"/>
    <w:rsid w:val="17233B30"/>
    <w:rsid w:val="172A22E4"/>
    <w:rsid w:val="173945B8"/>
    <w:rsid w:val="17397F54"/>
    <w:rsid w:val="173B0266"/>
    <w:rsid w:val="173E4F5C"/>
    <w:rsid w:val="17594918"/>
    <w:rsid w:val="176956A1"/>
    <w:rsid w:val="177462D7"/>
    <w:rsid w:val="17790F79"/>
    <w:rsid w:val="177F0FBB"/>
    <w:rsid w:val="17A50876"/>
    <w:rsid w:val="17C12FF6"/>
    <w:rsid w:val="17C53619"/>
    <w:rsid w:val="17D73F0D"/>
    <w:rsid w:val="17D7566C"/>
    <w:rsid w:val="17E062E1"/>
    <w:rsid w:val="17FE2F59"/>
    <w:rsid w:val="18083836"/>
    <w:rsid w:val="180A0503"/>
    <w:rsid w:val="180C4C4A"/>
    <w:rsid w:val="1819642E"/>
    <w:rsid w:val="18254DE9"/>
    <w:rsid w:val="18286635"/>
    <w:rsid w:val="182E23F2"/>
    <w:rsid w:val="18307812"/>
    <w:rsid w:val="18464271"/>
    <w:rsid w:val="18472D36"/>
    <w:rsid w:val="184B7DF9"/>
    <w:rsid w:val="185926CA"/>
    <w:rsid w:val="185B7D93"/>
    <w:rsid w:val="185E140F"/>
    <w:rsid w:val="18705F8F"/>
    <w:rsid w:val="187756DE"/>
    <w:rsid w:val="187B6255"/>
    <w:rsid w:val="187F0F77"/>
    <w:rsid w:val="18A265DF"/>
    <w:rsid w:val="18A34D42"/>
    <w:rsid w:val="18A62FCD"/>
    <w:rsid w:val="18B334B7"/>
    <w:rsid w:val="18B855F9"/>
    <w:rsid w:val="18B96DC7"/>
    <w:rsid w:val="18BB3F94"/>
    <w:rsid w:val="18C63D0F"/>
    <w:rsid w:val="18E1311B"/>
    <w:rsid w:val="18E35FBD"/>
    <w:rsid w:val="19045E0C"/>
    <w:rsid w:val="19117AB1"/>
    <w:rsid w:val="191252F8"/>
    <w:rsid w:val="19196DF1"/>
    <w:rsid w:val="191D6F4A"/>
    <w:rsid w:val="192D35CA"/>
    <w:rsid w:val="192D37C6"/>
    <w:rsid w:val="19320E6A"/>
    <w:rsid w:val="19337009"/>
    <w:rsid w:val="19381605"/>
    <w:rsid w:val="194149E5"/>
    <w:rsid w:val="19546523"/>
    <w:rsid w:val="19555B9C"/>
    <w:rsid w:val="19604943"/>
    <w:rsid w:val="19833601"/>
    <w:rsid w:val="19884DD1"/>
    <w:rsid w:val="198F7F74"/>
    <w:rsid w:val="19A0376F"/>
    <w:rsid w:val="19AB3840"/>
    <w:rsid w:val="19AC08F9"/>
    <w:rsid w:val="19B11B6A"/>
    <w:rsid w:val="19C46A48"/>
    <w:rsid w:val="19D710D9"/>
    <w:rsid w:val="19DC4D2C"/>
    <w:rsid w:val="19E944DB"/>
    <w:rsid w:val="19EA513E"/>
    <w:rsid w:val="19FB2F85"/>
    <w:rsid w:val="1A070E90"/>
    <w:rsid w:val="1A091D2E"/>
    <w:rsid w:val="1A09601C"/>
    <w:rsid w:val="1A1516BA"/>
    <w:rsid w:val="1A2440AC"/>
    <w:rsid w:val="1A275583"/>
    <w:rsid w:val="1A2A542C"/>
    <w:rsid w:val="1A43071D"/>
    <w:rsid w:val="1A4631BE"/>
    <w:rsid w:val="1A535C55"/>
    <w:rsid w:val="1A536F95"/>
    <w:rsid w:val="1A5D37B2"/>
    <w:rsid w:val="1A5F1D3A"/>
    <w:rsid w:val="1A627879"/>
    <w:rsid w:val="1A6A77F1"/>
    <w:rsid w:val="1A6A7E65"/>
    <w:rsid w:val="1A6F3E59"/>
    <w:rsid w:val="1A775C02"/>
    <w:rsid w:val="1A7977B6"/>
    <w:rsid w:val="1A7A317F"/>
    <w:rsid w:val="1A7D16C9"/>
    <w:rsid w:val="1A815E3D"/>
    <w:rsid w:val="1A8B4A71"/>
    <w:rsid w:val="1A8E5413"/>
    <w:rsid w:val="1A9F4350"/>
    <w:rsid w:val="1AA53CC8"/>
    <w:rsid w:val="1AA71EB3"/>
    <w:rsid w:val="1AA818CC"/>
    <w:rsid w:val="1AC274B0"/>
    <w:rsid w:val="1ACD760E"/>
    <w:rsid w:val="1AD67065"/>
    <w:rsid w:val="1AD81472"/>
    <w:rsid w:val="1AE74460"/>
    <w:rsid w:val="1AE75336"/>
    <w:rsid w:val="1AF44F07"/>
    <w:rsid w:val="1AFE2D80"/>
    <w:rsid w:val="1B0055AC"/>
    <w:rsid w:val="1B1A63E7"/>
    <w:rsid w:val="1B1A72DE"/>
    <w:rsid w:val="1B1D77BA"/>
    <w:rsid w:val="1B392B10"/>
    <w:rsid w:val="1B461A53"/>
    <w:rsid w:val="1B6B55E1"/>
    <w:rsid w:val="1B6E1726"/>
    <w:rsid w:val="1B72739C"/>
    <w:rsid w:val="1B7470A0"/>
    <w:rsid w:val="1B80312D"/>
    <w:rsid w:val="1B810F57"/>
    <w:rsid w:val="1BA75C0A"/>
    <w:rsid w:val="1BAA6775"/>
    <w:rsid w:val="1BAE4E2B"/>
    <w:rsid w:val="1BB64C91"/>
    <w:rsid w:val="1BBE6DC5"/>
    <w:rsid w:val="1BC82E9B"/>
    <w:rsid w:val="1BCB16F2"/>
    <w:rsid w:val="1BD23CC7"/>
    <w:rsid w:val="1BE45714"/>
    <w:rsid w:val="1BEB3977"/>
    <w:rsid w:val="1BF42D60"/>
    <w:rsid w:val="1C035F1D"/>
    <w:rsid w:val="1C051A3D"/>
    <w:rsid w:val="1C0631C4"/>
    <w:rsid w:val="1C143553"/>
    <w:rsid w:val="1C1439A1"/>
    <w:rsid w:val="1C1A6399"/>
    <w:rsid w:val="1C231768"/>
    <w:rsid w:val="1C3A75CC"/>
    <w:rsid w:val="1C3E383D"/>
    <w:rsid w:val="1C4765D7"/>
    <w:rsid w:val="1C481321"/>
    <w:rsid w:val="1C613B86"/>
    <w:rsid w:val="1C632147"/>
    <w:rsid w:val="1C676D23"/>
    <w:rsid w:val="1C6B67B8"/>
    <w:rsid w:val="1C6F0789"/>
    <w:rsid w:val="1C7309CC"/>
    <w:rsid w:val="1C8156D6"/>
    <w:rsid w:val="1C971693"/>
    <w:rsid w:val="1C9910E5"/>
    <w:rsid w:val="1C9C3B70"/>
    <w:rsid w:val="1CAD2D2D"/>
    <w:rsid w:val="1CB17D91"/>
    <w:rsid w:val="1CB5726E"/>
    <w:rsid w:val="1CB917FD"/>
    <w:rsid w:val="1CBC5CE7"/>
    <w:rsid w:val="1CBF2A17"/>
    <w:rsid w:val="1CCB7531"/>
    <w:rsid w:val="1CD5557A"/>
    <w:rsid w:val="1CD8491A"/>
    <w:rsid w:val="1CE521E6"/>
    <w:rsid w:val="1D0271F2"/>
    <w:rsid w:val="1D09300E"/>
    <w:rsid w:val="1D1F3C33"/>
    <w:rsid w:val="1D265467"/>
    <w:rsid w:val="1D5E7BA2"/>
    <w:rsid w:val="1D64235D"/>
    <w:rsid w:val="1D657DE0"/>
    <w:rsid w:val="1D8D20AF"/>
    <w:rsid w:val="1D93187D"/>
    <w:rsid w:val="1DCC6561"/>
    <w:rsid w:val="1DDB0CDF"/>
    <w:rsid w:val="1DDC0732"/>
    <w:rsid w:val="1DE230FF"/>
    <w:rsid w:val="1E316B15"/>
    <w:rsid w:val="1E3B54C4"/>
    <w:rsid w:val="1E3D10C7"/>
    <w:rsid w:val="1E3E7445"/>
    <w:rsid w:val="1E48792E"/>
    <w:rsid w:val="1E556610"/>
    <w:rsid w:val="1E597A56"/>
    <w:rsid w:val="1E673C89"/>
    <w:rsid w:val="1E69034D"/>
    <w:rsid w:val="1E6D4140"/>
    <w:rsid w:val="1E706893"/>
    <w:rsid w:val="1E7735B5"/>
    <w:rsid w:val="1E7A4E22"/>
    <w:rsid w:val="1E8E3646"/>
    <w:rsid w:val="1E901386"/>
    <w:rsid w:val="1EB00C3D"/>
    <w:rsid w:val="1EB359F1"/>
    <w:rsid w:val="1EB43ABE"/>
    <w:rsid w:val="1EB81B1A"/>
    <w:rsid w:val="1ED13280"/>
    <w:rsid w:val="1EDA76C3"/>
    <w:rsid w:val="1EF10737"/>
    <w:rsid w:val="1F0647F7"/>
    <w:rsid w:val="1F073DF4"/>
    <w:rsid w:val="1F0818B3"/>
    <w:rsid w:val="1F093981"/>
    <w:rsid w:val="1F1B1C1B"/>
    <w:rsid w:val="1F1D57D6"/>
    <w:rsid w:val="1F22528B"/>
    <w:rsid w:val="1F34242D"/>
    <w:rsid w:val="1F651C69"/>
    <w:rsid w:val="1F653948"/>
    <w:rsid w:val="1F666A8E"/>
    <w:rsid w:val="1F7408CA"/>
    <w:rsid w:val="1F7959D1"/>
    <w:rsid w:val="1F7B09C6"/>
    <w:rsid w:val="1F8A4B03"/>
    <w:rsid w:val="1F9C2F09"/>
    <w:rsid w:val="1FB13CD8"/>
    <w:rsid w:val="1FB45D72"/>
    <w:rsid w:val="1FB60B9D"/>
    <w:rsid w:val="1FC163B9"/>
    <w:rsid w:val="1FD06E6F"/>
    <w:rsid w:val="1FD373C3"/>
    <w:rsid w:val="1FD7585C"/>
    <w:rsid w:val="1FDF573F"/>
    <w:rsid w:val="1FE40E28"/>
    <w:rsid w:val="1FE80F74"/>
    <w:rsid w:val="1FEF007F"/>
    <w:rsid w:val="1FF61305"/>
    <w:rsid w:val="1FFA4197"/>
    <w:rsid w:val="1FFF3E94"/>
    <w:rsid w:val="20195E91"/>
    <w:rsid w:val="201E1E73"/>
    <w:rsid w:val="202447DE"/>
    <w:rsid w:val="202571B1"/>
    <w:rsid w:val="20313B9E"/>
    <w:rsid w:val="203F331C"/>
    <w:rsid w:val="204606F3"/>
    <w:rsid w:val="204B289E"/>
    <w:rsid w:val="20546579"/>
    <w:rsid w:val="2076144E"/>
    <w:rsid w:val="20887B71"/>
    <w:rsid w:val="2090677E"/>
    <w:rsid w:val="209D77F6"/>
    <w:rsid w:val="20A15F4F"/>
    <w:rsid w:val="20AB1D24"/>
    <w:rsid w:val="20B15C43"/>
    <w:rsid w:val="20C47BBE"/>
    <w:rsid w:val="20C57BBC"/>
    <w:rsid w:val="20C60B1B"/>
    <w:rsid w:val="20C904A4"/>
    <w:rsid w:val="20D35AF3"/>
    <w:rsid w:val="20D3607A"/>
    <w:rsid w:val="20D62BCF"/>
    <w:rsid w:val="21136069"/>
    <w:rsid w:val="21191EEF"/>
    <w:rsid w:val="21194C54"/>
    <w:rsid w:val="211C74CD"/>
    <w:rsid w:val="21393878"/>
    <w:rsid w:val="213C6795"/>
    <w:rsid w:val="213D54AB"/>
    <w:rsid w:val="21502456"/>
    <w:rsid w:val="21515BF5"/>
    <w:rsid w:val="21551585"/>
    <w:rsid w:val="215C4BB4"/>
    <w:rsid w:val="21642682"/>
    <w:rsid w:val="21676BE5"/>
    <w:rsid w:val="21711B13"/>
    <w:rsid w:val="217D7BE7"/>
    <w:rsid w:val="217F2931"/>
    <w:rsid w:val="2182201F"/>
    <w:rsid w:val="218424C9"/>
    <w:rsid w:val="2186234F"/>
    <w:rsid w:val="21920FE9"/>
    <w:rsid w:val="219F223A"/>
    <w:rsid w:val="21A2243F"/>
    <w:rsid w:val="21A36A20"/>
    <w:rsid w:val="21A92174"/>
    <w:rsid w:val="21B050D8"/>
    <w:rsid w:val="21B54D9A"/>
    <w:rsid w:val="21B67C56"/>
    <w:rsid w:val="21B8055A"/>
    <w:rsid w:val="21C1708E"/>
    <w:rsid w:val="21C44941"/>
    <w:rsid w:val="21F5200C"/>
    <w:rsid w:val="21FE18E8"/>
    <w:rsid w:val="220F02B4"/>
    <w:rsid w:val="22101DA7"/>
    <w:rsid w:val="221023FC"/>
    <w:rsid w:val="22170759"/>
    <w:rsid w:val="221C7868"/>
    <w:rsid w:val="22205D6D"/>
    <w:rsid w:val="22222FDF"/>
    <w:rsid w:val="222A0BA4"/>
    <w:rsid w:val="222C72D9"/>
    <w:rsid w:val="222D236B"/>
    <w:rsid w:val="2234377C"/>
    <w:rsid w:val="223A3C38"/>
    <w:rsid w:val="224D1F3E"/>
    <w:rsid w:val="225350D3"/>
    <w:rsid w:val="22535E73"/>
    <w:rsid w:val="226646C9"/>
    <w:rsid w:val="227A1C4C"/>
    <w:rsid w:val="22824060"/>
    <w:rsid w:val="229E40E2"/>
    <w:rsid w:val="22B200FD"/>
    <w:rsid w:val="22C52953"/>
    <w:rsid w:val="22C535D6"/>
    <w:rsid w:val="22D26A45"/>
    <w:rsid w:val="22D47A70"/>
    <w:rsid w:val="22D66BA2"/>
    <w:rsid w:val="22F3562B"/>
    <w:rsid w:val="22F411D2"/>
    <w:rsid w:val="22FE5911"/>
    <w:rsid w:val="23035B74"/>
    <w:rsid w:val="231A2317"/>
    <w:rsid w:val="231C30C0"/>
    <w:rsid w:val="232102A3"/>
    <w:rsid w:val="23291F54"/>
    <w:rsid w:val="233B391F"/>
    <w:rsid w:val="234D31D3"/>
    <w:rsid w:val="234E50A5"/>
    <w:rsid w:val="235346EB"/>
    <w:rsid w:val="2355454D"/>
    <w:rsid w:val="23646B0E"/>
    <w:rsid w:val="2369413C"/>
    <w:rsid w:val="236F6365"/>
    <w:rsid w:val="237A4758"/>
    <w:rsid w:val="238347EF"/>
    <w:rsid w:val="2394744C"/>
    <w:rsid w:val="23A00E7F"/>
    <w:rsid w:val="23A7444F"/>
    <w:rsid w:val="23A80A26"/>
    <w:rsid w:val="23BD2E4F"/>
    <w:rsid w:val="23BE2F3D"/>
    <w:rsid w:val="23C271EA"/>
    <w:rsid w:val="23C94610"/>
    <w:rsid w:val="23FC5A0E"/>
    <w:rsid w:val="240110F8"/>
    <w:rsid w:val="240350E0"/>
    <w:rsid w:val="240B41B4"/>
    <w:rsid w:val="24193D6D"/>
    <w:rsid w:val="241F30F6"/>
    <w:rsid w:val="24241CB7"/>
    <w:rsid w:val="2439325C"/>
    <w:rsid w:val="243B2B82"/>
    <w:rsid w:val="243C2234"/>
    <w:rsid w:val="244058C3"/>
    <w:rsid w:val="245A051E"/>
    <w:rsid w:val="245C4D20"/>
    <w:rsid w:val="24686681"/>
    <w:rsid w:val="246E28EB"/>
    <w:rsid w:val="24781D7F"/>
    <w:rsid w:val="248C297E"/>
    <w:rsid w:val="248F0A03"/>
    <w:rsid w:val="24964109"/>
    <w:rsid w:val="24A46B9D"/>
    <w:rsid w:val="24AE10D4"/>
    <w:rsid w:val="24B40620"/>
    <w:rsid w:val="24C019BD"/>
    <w:rsid w:val="24C41D03"/>
    <w:rsid w:val="24C60713"/>
    <w:rsid w:val="24CD3825"/>
    <w:rsid w:val="24DF7F58"/>
    <w:rsid w:val="24E832A7"/>
    <w:rsid w:val="24E8578D"/>
    <w:rsid w:val="24F161D9"/>
    <w:rsid w:val="25067475"/>
    <w:rsid w:val="25116B6A"/>
    <w:rsid w:val="251412E6"/>
    <w:rsid w:val="251C6483"/>
    <w:rsid w:val="25267800"/>
    <w:rsid w:val="25295A20"/>
    <w:rsid w:val="252B5A91"/>
    <w:rsid w:val="25323E3A"/>
    <w:rsid w:val="253E48FF"/>
    <w:rsid w:val="25486610"/>
    <w:rsid w:val="25530B59"/>
    <w:rsid w:val="25610D61"/>
    <w:rsid w:val="256A7B23"/>
    <w:rsid w:val="256D42DE"/>
    <w:rsid w:val="256E5401"/>
    <w:rsid w:val="25872F21"/>
    <w:rsid w:val="25956E38"/>
    <w:rsid w:val="25AA1C70"/>
    <w:rsid w:val="25AD75D5"/>
    <w:rsid w:val="25B534AE"/>
    <w:rsid w:val="25BC228E"/>
    <w:rsid w:val="25C043B3"/>
    <w:rsid w:val="25C27CF4"/>
    <w:rsid w:val="25CD58DA"/>
    <w:rsid w:val="25D63E38"/>
    <w:rsid w:val="25D75C23"/>
    <w:rsid w:val="25F006E8"/>
    <w:rsid w:val="25F3087B"/>
    <w:rsid w:val="25F525ED"/>
    <w:rsid w:val="25FD40FF"/>
    <w:rsid w:val="262F4BB4"/>
    <w:rsid w:val="263127E7"/>
    <w:rsid w:val="26321F46"/>
    <w:rsid w:val="263439B5"/>
    <w:rsid w:val="26393425"/>
    <w:rsid w:val="26517C6C"/>
    <w:rsid w:val="265454AE"/>
    <w:rsid w:val="265C6E15"/>
    <w:rsid w:val="2663199A"/>
    <w:rsid w:val="26666101"/>
    <w:rsid w:val="26764F4E"/>
    <w:rsid w:val="267E5FC8"/>
    <w:rsid w:val="268057B6"/>
    <w:rsid w:val="26896FE2"/>
    <w:rsid w:val="268A0AF7"/>
    <w:rsid w:val="268A60EE"/>
    <w:rsid w:val="26904754"/>
    <w:rsid w:val="26990F02"/>
    <w:rsid w:val="269B5806"/>
    <w:rsid w:val="26AC1A34"/>
    <w:rsid w:val="26B26825"/>
    <w:rsid w:val="26BF160B"/>
    <w:rsid w:val="26C30D57"/>
    <w:rsid w:val="26C72A30"/>
    <w:rsid w:val="26C86471"/>
    <w:rsid w:val="26CC743B"/>
    <w:rsid w:val="26D3625D"/>
    <w:rsid w:val="26EA005E"/>
    <w:rsid w:val="26F524AA"/>
    <w:rsid w:val="26F90CC5"/>
    <w:rsid w:val="270179E0"/>
    <w:rsid w:val="27024358"/>
    <w:rsid w:val="27034D52"/>
    <w:rsid w:val="271773F8"/>
    <w:rsid w:val="274E44F9"/>
    <w:rsid w:val="275654B3"/>
    <w:rsid w:val="275A494D"/>
    <w:rsid w:val="27681D40"/>
    <w:rsid w:val="276E3745"/>
    <w:rsid w:val="277D20F6"/>
    <w:rsid w:val="27875183"/>
    <w:rsid w:val="279F26A2"/>
    <w:rsid w:val="27B874B5"/>
    <w:rsid w:val="27B95139"/>
    <w:rsid w:val="27C306E3"/>
    <w:rsid w:val="27CD02E1"/>
    <w:rsid w:val="27D33BB7"/>
    <w:rsid w:val="27EB0374"/>
    <w:rsid w:val="27F52DEB"/>
    <w:rsid w:val="2803432E"/>
    <w:rsid w:val="28250930"/>
    <w:rsid w:val="28386192"/>
    <w:rsid w:val="28386BA4"/>
    <w:rsid w:val="2855438B"/>
    <w:rsid w:val="28563628"/>
    <w:rsid w:val="28671999"/>
    <w:rsid w:val="286A04EE"/>
    <w:rsid w:val="286D2CD9"/>
    <w:rsid w:val="286E72FE"/>
    <w:rsid w:val="286F16EF"/>
    <w:rsid w:val="28795080"/>
    <w:rsid w:val="287B497A"/>
    <w:rsid w:val="28875432"/>
    <w:rsid w:val="28931DBD"/>
    <w:rsid w:val="28AB02BA"/>
    <w:rsid w:val="28AF1A9A"/>
    <w:rsid w:val="28B207D5"/>
    <w:rsid w:val="28B34B98"/>
    <w:rsid w:val="28D320B0"/>
    <w:rsid w:val="28D76833"/>
    <w:rsid w:val="28E2173A"/>
    <w:rsid w:val="28F47D25"/>
    <w:rsid w:val="28FB6BE0"/>
    <w:rsid w:val="29036B47"/>
    <w:rsid w:val="29062898"/>
    <w:rsid w:val="290C4374"/>
    <w:rsid w:val="291547D0"/>
    <w:rsid w:val="291F5BA6"/>
    <w:rsid w:val="29213EB0"/>
    <w:rsid w:val="29282AC7"/>
    <w:rsid w:val="292A6940"/>
    <w:rsid w:val="29365CAE"/>
    <w:rsid w:val="293722E6"/>
    <w:rsid w:val="29503035"/>
    <w:rsid w:val="2953747F"/>
    <w:rsid w:val="295E4339"/>
    <w:rsid w:val="29634651"/>
    <w:rsid w:val="29717F57"/>
    <w:rsid w:val="299017F5"/>
    <w:rsid w:val="29913DD3"/>
    <w:rsid w:val="29955D2B"/>
    <w:rsid w:val="29A53DEF"/>
    <w:rsid w:val="29B319F3"/>
    <w:rsid w:val="29B348A7"/>
    <w:rsid w:val="29C70325"/>
    <w:rsid w:val="29CA7119"/>
    <w:rsid w:val="29D217FD"/>
    <w:rsid w:val="29D228C6"/>
    <w:rsid w:val="29E36270"/>
    <w:rsid w:val="29ED3F43"/>
    <w:rsid w:val="29F52CA2"/>
    <w:rsid w:val="2A0168D2"/>
    <w:rsid w:val="2A0C17BC"/>
    <w:rsid w:val="2A1C4E2C"/>
    <w:rsid w:val="2A231237"/>
    <w:rsid w:val="2A281B24"/>
    <w:rsid w:val="2A2D6AAB"/>
    <w:rsid w:val="2A37202C"/>
    <w:rsid w:val="2A425F86"/>
    <w:rsid w:val="2A4357C9"/>
    <w:rsid w:val="2A4C0894"/>
    <w:rsid w:val="2A72562D"/>
    <w:rsid w:val="2A7A01C0"/>
    <w:rsid w:val="2A903383"/>
    <w:rsid w:val="2A99054D"/>
    <w:rsid w:val="2AA753B3"/>
    <w:rsid w:val="2ABB71F2"/>
    <w:rsid w:val="2AD11BDB"/>
    <w:rsid w:val="2AD26FBD"/>
    <w:rsid w:val="2AD532EA"/>
    <w:rsid w:val="2ADF63BA"/>
    <w:rsid w:val="2AF97449"/>
    <w:rsid w:val="2AFA06C0"/>
    <w:rsid w:val="2AFE5871"/>
    <w:rsid w:val="2B0935CA"/>
    <w:rsid w:val="2B196A82"/>
    <w:rsid w:val="2B1C2B42"/>
    <w:rsid w:val="2B2771C3"/>
    <w:rsid w:val="2B38653A"/>
    <w:rsid w:val="2B4F3293"/>
    <w:rsid w:val="2B53498F"/>
    <w:rsid w:val="2B5813C6"/>
    <w:rsid w:val="2B5972F1"/>
    <w:rsid w:val="2B656E2B"/>
    <w:rsid w:val="2B6851E9"/>
    <w:rsid w:val="2B6C1190"/>
    <w:rsid w:val="2B717E43"/>
    <w:rsid w:val="2B7E0424"/>
    <w:rsid w:val="2B7E4624"/>
    <w:rsid w:val="2B831697"/>
    <w:rsid w:val="2B895690"/>
    <w:rsid w:val="2B995497"/>
    <w:rsid w:val="2BB15CEB"/>
    <w:rsid w:val="2BB726F2"/>
    <w:rsid w:val="2BC4373C"/>
    <w:rsid w:val="2BC472DF"/>
    <w:rsid w:val="2BD94472"/>
    <w:rsid w:val="2BDA77AF"/>
    <w:rsid w:val="2BDE5D6C"/>
    <w:rsid w:val="2BFC43F6"/>
    <w:rsid w:val="2BFF5164"/>
    <w:rsid w:val="2BFF6A67"/>
    <w:rsid w:val="2C011262"/>
    <w:rsid w:val="2C084AE0"/>
    <w:rsid w:val="2C1E6BEE"/>
    <w:rsid w:val="2C1E6C49"/>
    <w:rsid w:val="2C242D14"/>
    <w:rsid w:val="2C2A1CD2"/>
    <w:rsid w:val="2C2D3C81"/>
    <w:rsid w:val="2C435ECB"/>
    <w:rsid w:val="2C4446E5"/>
    <w:rsid w:val="2C4544D1"/>
    <w:rsid w:val="2C5A3FE0"/>
    <w:rsid w:val="2C5E3E0A"/>
    <w:rsid w:val="2C641388"/>
    <w:rsid w:val="2C6D7D6B"/>
    <w:rsid w:val="2C7231CE"/>
    <w:rsid w:val="2C730D26"/>
    <w:rsid w:val="2C8F7EA0"/>
    <w:rsid w:val="2C903B2C"/>
    <w:rsid w:val="2C98620A"/>
    <w:rsid w:val="2CA43AF1"/>
    <w:rsid w:val="2CA47516"/>
    <w:rsid w:val="2CAE4DC1"/>
    <w:rsid w:val="2CB64528"/>
    <w:rsid w:val="2CC64317"/>
    <w:rsid w:val="2CD40BC7"/>
    <w:rsid w:val="2CEB5718"/>
    <w:rsid w:val="2CEC4515"/>
    <w:rsid w:val="2CF230F2"/>
    <w:rsid w:val="2CF627F8"/>
    <w:rsid w:val="2CF70A12"/>
    <w:rsid w:val="2CFA289C"/>
    <w:rsid w:val="2CFA7452"/>
    <w:rsid w:val="2D040B6E"/>
    <w:rsid w:val="2D301250"/>
    <w:rsid w:val="2D393271"/>
    <w:rsid w:val="2D3C333D"/>
    <w:rsid w:val="2D605B84"/>
    <w:rsid w:val="2D611947"/>
    <w:rsid w:val="2D6310BA"/>
    <w:rsid w:val="2D651E65"/>
    <w:rsid w:val="2D6A36C2"/>
    <w:rsid w:val="2D6B3A49"/>
    <w:rsid w:val="2D74572C"/>
    <w:rsid w:val="2D770F29"/>
    <w:rsid w:val="2D7F16BC"/>
    <w:rsid w:val="2D815BCA"/>
    <w:rsid w:val="2D9069F1"/>
    <w:rsid w:val="2D966728"/>
    <w:rsid w:val="2D9A067B"/>
    <w:rsid w:val="2D9A109B"/>
    <w:rsid w:val="2DA3449C"/>
    <w:rsid w:val="2DA91BAF"/>
    <w:rsid w:val="2DC75FCC"/>
    <w:rsid w:val="2DC97A6F"/>
    <w:rsid w:val="2DCE6628"/>
    <w:rsid w:val="2DDA0D8A"/>
    <w:rsid w:val="2DE809D1"/>
    <w:rsid w:val="2DE8485D"/>
    <w:rsid w:val="2DF12716"/>
    <w:rsid w:val="2E027003"/>
    <w:rsid w:val="2E0A47E7"/>
    <w:rsid w:val="2E177889"/>
    <w:rsid w:val="2E181705"/>
    <w:rsid w:val="2E223DF5"/>
    <w:rsid w:val="2E4B121E"/>
    <w:rsid w:val="2E58236D"/>
    <w:rsid w:val="2E592A12"/>
    <w:rsid w:val="2E6E3CAD"/>
    <w:rsid w:val="2E710B8E"/>
    <w:rsid w:val="2E7446AD"/>
    <w:rsid w:val="2E783E12"/>
    <w:rsid w:val="2E841409"/>
    <w:rsid w:val="2E872443"/>
    <w:rsid w:val="2E936DD6"/>
    <w:rsid w:val="2E954E8B"/>
    <w:rsid w:val="2EAD1B0C"/>
    <w:rsid w:val="2EB4208A"/>
    <w:rsid w:val="2EC044D1"/>
    <w:rsid w:val="2EC210EE"/>
    <w:rsid w:val="2ED56698"/>
    <w:rsid w:val="2ED7280B"/>
    <w:rsid w:val="2EE46D8D"/>
    <w:rsid w:val="2EE57E4D"/>
    <w:rsid w:val="2EF46812"/>
    <w:rsid w:val="2EF849D2"/>
    <w:rsid w:val="2EFE3B2E"/>
    <w:rsid w:val="2F010851"/>
    <w:rsid w:val="2F0545FE"/>
    <w:rsid w:val="2F0676B6"/>
    <w:rsid w:val="2F081F5B"/>
    <w:rsid w:val="2F1A74D4"/>
    <w:rsid w:val="2F1F6B80"/>
    <w:rsid w:val="2F293042"/>
    <w:rsid w:val="2F4522AF"/>
    <w:rsid w:val="2F4C564E"/>
    <w:rsid w:val="2F5A03A3"/>
    <w:rsid w:val="2F6158A0"/>
    <w:rsid w:val="2F704AC4"/>
    <w:rsid w:val="2F79680E"/>
    <w:rsid w:val="2F7D6BE6"/>
    <w:rsid w:val="2F817650"/>
    <w:rsid w:val="2F820853"/>
    <w:rsid w:val="2FA41232"/>
    <w:rsid w:val="2FAA391B"/>
    <w:rsid w:val="2FB14FAA"/>
    <w:rsid w:val="2FB27537"/>
    <w:rsid w:val="2FB37CAB"/>
    <w:rsid w:val="2FBB5A91"/>
    <w:rsid w:val="2FBB793E"/>
    <w:rsid w:val="2FBC77FF"/>
    <w:rsid w:val="2FBF57FB"/>
    <w:rsid w:val="2FC72125"/>
    <w:rsid w:val="2FF741BF"/>
    <w:rsid w:val="2FFC0C41"/>
    <w:rsid w:val="2FFF3631"/>
    <w:rsid w:val="301476F9"/>
    <w:rsid w:val="3032262E"/>
    <w:rsid w:val="30495208"/>
    <w:rsid w:val="30536F80"/>
    <w:rsid w:val="305629CE"/>
    <w:rsid w:val="30625472"/>
    <w:rsid w:val="307F7A21"/>
    <w:rsid w:val="308126D2"/>
    <w:rsid w:val="30846B05"/>
    <w:rsid w:val="308826D8"/>
    <w:rsid w:val="308E49A2"/>
    <w:rsid w:val="309B70ED"/>
    <w:rsid w:val="30AB4B3C"/>
    <w:rsid w:val="30B97487"/>
    <w:rsid w:val="30C75C25"/>
    <w:rsid w:val="30CF00A6"/>
    <w:rsid w:val="30D362E8"/>
    <w:rsid w:val="30D376E3"/>
    <w:rsid w:val="30E9120F"/>
    <w:rsid w:val="30F44BED"/>
    <w:rsid w:val="310D497F"/>
    <w:rsid w:val="311C2DD2"/>
    <w:rsid w:val="311C6EB7"/>
    <w:rsid w:val="311E25FA"/>
    <w:rsid w:val="31274263"/>
    <w:rsid w:val="31277BC2"/>
    <w:rsid w:val="312D4BBA"/>
    <w:rsid w:val="31370256"/>
    <w:rsid w:val="313D578D"/>
    <w:rsid w:val="314B3E80"/>
    <w:rsid w:val="314D5716"/>
    <w:rsid w:val="3163665A"/>
    <w:rsid w:val="316A2872"/>
    <w:rsid w:val="316D41A0"/>
    <w:rsid w:val="318536C6"/>
    <w:rsid w:val="31874329"/>
    <w:rsid w:val="3188485A"/>
    <w:rsid w:val="31997C3A"/>
    <w:rsid w:val="31A03F80"/>
    <w:rsid w:val="31A60907"/>
    <w:rsid w:val="31A66403"/>
    <w:rsid w:val="31C11EC0"/>
    <w:rsid w:val="31CA1097"/>
    <w:rsid w:val="31D30FE5"/>
    <w:rsid w:val="31D55606"/>
    <w:rsid w:val="31D7628C"/>
    <w:rsid w:val="31DE0965"/>
    <w:rsid w:val="31DF0E06"/>
    <w:rsid w:val="31E76021"/>
    <w:rsid w:val="31FC68F8"/>
    <w:rsid w:val="31FE6B45"/>
    <w:rsid w:val="32146531"/>
    <w:rsid w:val="32185A9E"/>
    <w:rsid w:val="32210755"/>
    <w:rsid w:val="324978FA"/>
    <w:rsid w:val="32546B04"/>
    <w:rsid w:val="325D2832"/>
    <w:rsid w:val="326A4534"/>
    <w:rsid w:val="326B370E"/>
    <w:rsid w:val="32703524"/>
    <w:rsid w:val="32737C85"/>
    <w:rsid w:val="327465BF"/>
    <w:rsid w:val="327E055E"/>
    <w:rsid w:val="328851D7"/>
    <w:rsid w:val="328F0845"/>
    <w:rsid w:val="32900DFA"/>
    <w:rsid w:val="3291391F"/>
    <w:rsid w:val="32C3216F"/>
    <w:rsid w:val="32C64389"/>
    <w:rsid w:val="32DC5959"/>
    <w:rsid w:val="32F96888"/>
    <w:rsid w:val="32FD2AED"/>
    <w:rsid w:val="33012E26"/>
    <w:rsid w:val="331410A3"/>
    <w:rsid w:val="33172142"/>
    <w:rsid w:val="33277E68"/>
    <w:rsid w:val="334004F7"/>
    <w:rsid w:val="334B463B"/>
    <w:rsid w:val="334C4DA1"/>
    <w:rsid w:val="334F34B6"/>
    <w:rsid w:val="33516036"/>
    <w:rsid w:val="33605F39"/>
    <w:rsid w:val="33822A31"/>
    <w:rsid w:val="33971AF0"/>
    <w:rsid w:val="33AB0BF1"/>
    <w:rsid w:val="33AD2568"/>
    <w:rsid w:val="33B01CF9"/>
    <w:rsid w:val="33C72B51"/>
    <w:rsid w:val="33D24AD2"/>
    <w:rsid w:val="33D95579"/>
    <w:rsid w:val="33FF0ACE"/>
    <w:rsid w:val="340E5809"/>
    <w:rsid w:val="341931BA"/>
    <w:rsid w:val="34246AE9"/>
    <w:rsid w:val="34274E4E"/>
    <w:rsid w:val="342A43F0"/>
    <w:rsid w:val="3439272A"/>
    <w:rsid w:val="3439671A"/>
    <w:rsid w:val="34495D1E"/>
    <w:rsid w:val="344C7D23"/>
    <w:rsid w:val="3472779D"/>
    <w:rsid w:val="347E1828"/>
    <w:rsid w:val="349124F0"/>
    <w:rsid w:val="34960538"/>
    <w:rsid w:val="34A51E74"/>
    <w:rsid w:val="34A715FC"/>
    <w:rsid w:val="34AD42DB"/>
    <w:rsid w:val="34AE25DC"/>
    <w:rsid w:val="34B040C3"/>
    <w:rsid w:val="34B378CC"/>
    <w:rsid w:val="34B87AE8"/>
    <w:rsid w:val="34CA09B8"/>
    <w:rsid w:val="34DF4AA5"/>
    <w:rsid w:val="34F1008C"/>
    <w:rsid w:val="34F721FA"/>
    <w:rsid w:val="34FA76EE"/>
    <w:rsid w:val="34FF6E9B"/>
    <w:rsid w:val="35056ABD"/>
    <w:rsid w:val="35056C96"/>
    <w:rsid w:val="35064AA3"/>
    <w:rsid w:val="350B2392"/>
    <w:rsid w:val="350D1D8D"/>
    <w:rsid w:val="350E76E0"/>
    <w:rsid w:val="352415C7"/>
    <w:rsid w:val="3525653B"/>
    <w:rsid w:val="352F5748"/>
    <w:rsid w:val="35364F0D"/>
    <w:rsid w:val="353848D4"/>
    <w:rsid w:val="353A4A71"/>
    <w:rsid w:val="353C6512"/>
    <w:rsid w:val="353C6E54"/>
    <w:rsid w:val="35474B9C"/>
    <w:rsid w:val="355756DE"/>
    <w:rsid w:val="35651264"/>
    <w:rsid w:val="3565635D"/>
    <w:rsid w:val="356B438F"/>
    <w:rsid w:val="35810FCD"/>
    <w:rsid w:val="3582046E"/>
    <w:rsid w:val="358C393A"/>
    <w:rsid w:val="35945C42"/>
    <w:rsid w:val="35984413"/>
    <w:rsid w:val="359F6D6B"/>
    <w:rsid w:val="35A8409B"/>
    <w:rsid w:val="35AA6723"/>
    <w:rsid w:val="35B56D67"/>
    <w:rsid w:val="35D0695D"/>
    <w:rsid w:val="35DA1ED2"/>
    <w:rsid w:val="35EA6539"/>
    <w:rsid w:val="35F73B86"/>
    <w:rsid w:val="36006AF2"/>
    <w:rsid w:val="36006BAA"/>
    <w:rsid w:val="362517B8"/>
    <w:rsid w:val="364027AE"/>
    <w:rsid w:val="36423116"/>
    <w:rsid w:val="3648502B"/>
    <w:rsid w:val="36515936"/>
    <w:rsid w:val="36556E4D"/>
    <w:rsid w:val="366F7AD8"/>
    <w:rsid w:val="3675460D"/>
    <w:rsid w:val="36811DC7"/>
    <w:rsid w:val="36827B01"/>
    <w:rsid w:val="369B40B2"/>
    <w:rsid w:val="369E09BC"/>
    <w:rsid w:val="369F24F0"/>
    <w:rsid w:val="36B4223D"/>
    <w:rsid w:val="36BD50D9"/>
    <w:rsid w:val="36D203BF"/>
    <w:rsid w:val="36DC3A16"/>
    <w:rsid w:val="36F338F2"/>
    <w:rsid w:val="37014C43"/>
    <w:rsid w:val="37017F1A"/>
    <w:rsid w:val="3704082E"/>
    <w:rsid w:val="37125DAE"/>
    <w:rsid w:val="371D2E2B"/>
    <w:rsid w:val="372A6982"/>
    <w:rsid w:val="373E461C"/>
    <w:rsid w:val="374760C9"/>
    <w:rsid w:val="374B3F94"/>
    <w:rsid w:val="37622064"/>
    <w:rsid w:val="3763749D"/>
    <w:rsid w:val="376C3815"/>
    <w:rsid w:val="377117AD"/>
    <w:rsid w:val="377C24B2"/>
    <w:rsid w:val="378D50FC"/>
    <w:rsid w:val="378D6FA0"/>
    <w:rsid w:val="37900C0B"/>
    <w:rsid w:val="379C3683"/>
    <w:rsid w:val="37A86B60"/>
    <w:rsid w:val="37A900F2"/>
    <w:rsid w:val="37AE77CE"/>
    <w:rsid w:val="37BA0AC7"/>
    <w:rsid w:val="37C85B4A"/>
    <w:rsid w:val="37CB0777"/>
    <w:rsid w:val="37CB5F65"/>
    <w:rsid w:val="37DA69E8"/>
    <w:rsid w:val="37DF02E4"/>
    <w:rsid w:val="37F35F6E"/>
    <w:rsid w:val="38070EEB"/>
    <w:rsid w:val="38074E86"/>
    <w:rsid w:val="381823EC"/>
    <w:rsid w:val="38344445"/>
    <w:rsid w:val="383B6651"/>
    <w:rsid w:val="383F6FB8"/>
    <w:rsid w:val="384E1A7B"/>
    <w:rsid w:val="385604B0"/>
    <w:rsid w:val="38674BB6"/>
    <w:rsid w:val="38685211"/>
    <w:rsid w:val="387600A5"/>
    <w:rsid w:val="387B56BA"/>
    <w:rsid w:val="38842F1F"/>
    <w:rsid w:val="388B68FD"/>
    <w:rsid w:val="389E58F2"/>
    <w:rsid w:val="38A14677"/>
    <w:rsid w:val="38A950FD"/>
    <w:rsid w:val="38BA5369"/>
    <w:rsid w:val="38C0715A"/>
    <w:rsid w:val="38C6156D"/>
    <w:rsid w:val="38D90859"/>
    <w:rsid w:val="38DD781D"/>
    <w:rsid w:val="38F32E2D"/>
    <w:rsid w:val="38F41545"/>
    <w:rsid w:val="38F50C0B"/>
    <w:rsid w:val="38F76425"/>
    <w:rsid w:val="39122722"/>
    <w:rsid w:val="39173FC1"/>
    <w:rsid w:val="3918231B"/>
    <w:rsid w:val="391E075D"/>
    <w:rsid w:val="39214D4E"/>
    <w:rsid w:val="39254E3A"/>
    <w:rsid w:val="39266524"/>
    <w:rsid w:val="3929085F"/>
    <w:rsid w:val="3937518E"/>
    <w:rsid w:val="39380968"/>
    <w:rsid w:val="39474709"/>
    <w:rsid w:val="39605D36"/>
    <w:rsid w:val="396B71B7"/>
    <w:rsid w:val="39755AAD"/>
    <w:rsid w:val="397743D8"/>
    <w:rsid w:val="397C5933"/>
    <w:rsid w:val="397D55D9"/>
    <w:rsid w:val="398573FE"/>
    <w:rsid w:val="39914227"/>
    <w:rsid w:val="399B41D3"/>
    <w:rsid w:val="399D7D20"/>
    <w:rsid w:val="39A3652C"/>
    <w:rsid w:val="39A40929"/>
    <w:rsid w:val="39AF6A7D"/>
    <w:rsid w:val="39BA627A"/>
    <w:rsid w:val="39C57C52"/>
    <w:rsid w:val="39C94B58"/>
    <w:rsid w:val="39CB23D2"/>
    <w:rsid w:val="39CB48B4"/>
    <w:rsid w:val="39D35211"/>
    <w:rsid w:val="39E13D3B"/>
    <w:rsid w:val="39FF5AD5"/>
    <w:rsid w:val="3A0D0ABB"/>
    <w:rsid w:val="3A0E30BD"/>
    <w:rsid w:val="3A137C03"/>
    <w:rsid w:val="3A1557C8"/>
    <w:rsid w:val="3A1F1D83"/>
    <w:rsid w:val="3A226D4B"/>
    <w:rsid w:val="3A376CB2"/>
    <w:rsid w:val="3A4A1FA6"/>
    <w:rsid w:val="3A4A5671"/>
    <w:rsid w:val="3A4D4636"/>
    <w:rsid w:val="3A5F3CA8"/>
    <w:rsid w:val="3A5F44FC"/>
    <w:rsid w:val="3A782EB9"/>
    <w:rsid w:val="3A8572B8"/>
    <w:rsid w:val="3AA173BE"/>
    <w:rsid w:val="3AB1353D"/>
    <w:rsid w:val="3AB311F8"/>
    <w:rsid w:val="3ABE1A04"/>
    <w:rsid w:val="3AC406CF"/>
    <w:rsid w:val="3AC6552C"/>
    <w:rsid w:val="3AD24146"/>
    <w:rsid w:val="3AD47015"/>
    <w:rsid w:val="3AE5658A"/>
    <w:rsid w:val="3AED7749"/>
    <w:rsid w:val="3AF856FE"/>
    <w:rsid w:val="3AFE14AE"/>
    <w:rsid w:val="3B0C49D6"/>
    <w:rsid w:val="3B0F18F1"/>
    <w:rsid w:val="3B0F4A8C"/>
    <w:rsid w:val="3B126AC4"/>
    <w:rsid w:val="3B1D5138"/>
    <w:rsid w:val="3B210927"/>
    <w:rsid w:val="3B21603C"/>
    <w:rsid w:val="3B2C0E74"/>
    <w:rsid w:val="3B2D0A60"/>
    <w:rsid w:val="3B306CB4"/>
    <w:rsid w:val="3B457948"/>
    <w:rsid w:val="3B4C4552"/>
    <w:rsid w:val="3B4D64DA"/>
    <w:rsid w:val="3B581EA1"/>
    <w:rsid w:val="3B6143AE"/>
    <w:rsid w:val="3B660235"/>
    <w:rsid w:val="3B78695F"/>
    <w:rsid w:val="3B7A1339"/>
    <w:rsid w:val="3B9A6C8A"/>
    <w:rsid w:val="3BB324A1"/>
    <w:rsid w:val="3BB40190"/>
    <w:rsid w:val="3BB76F46"/>
    <w:rsid w:val="3BC1543E"/>
    <w:rsid w:val="3BCB13DE"/>
    <w:rsid w:val="3BD6747D"/>
    <w:rsid w:val="3BDE4119"/>
    <w:rsid w:val="3BE26390"/>
    <w:rsid w:val="3C005A32"/>
    <w:rsid w:val="3C0268E9"/>
    <w:rsid w:val="3C067551"/>
    <w:rsid w:val="3C0813C7"/>
    <w:rsid w:val="3C135BC4"/>
    <w:rsid w:val="3C190765"/>
    <w:rsid w:val="3C1C295B"/>
    <w:rsid w:val="3C205E43"/>
    <w:rsid w:val="3C20718A"/>
    <w:rsid w:val="3C365AF8"/>
    <w:rsid w:val="3C39441E"/>
    <w:rsid w:val="3C3C3CE5"/>
    <w:rsid w:val="3C3F4D69"/>
    <w:rsid w:val="3C6D28CB"/>
    <w:rsid w:val="3C7C62E5"/>
    <w:rsid w:val="3C7D6B6A"/>
    <w:rsid w:val="3C801030"/>
    <w:rsid w:val="3C843DC2"/>
    <w:rsid w:val="3C844CB1"/>
    <w:rsid w:val="3C971F9B"/>
    <w:rsid w:val="3CA10209"/>
    <w:rsid w:val="3CA453D1"/>
    <w:rsid w:val="3CBE598A"/>
    <w:rsid w:val="3CEB6449"/>
    <w:rsid w:val="3D0111E9"/>
    <w:rsid w:val="3D0459B0"/>
    <w:rsid w:val="3D1B3514"/>
    <w:rsid w:val="3D2A4D75"/>
    <w:rsid w:val="3D2C5736"/>
    <w:rsid w:val="3D445B85"/>
    <w:rsid w:val="3D463F7F"/>
    <w:rsid w:val="3D4E71D1"/>
    <w:rsid w:val="3D6052A8"/>
    <w:rsid w:val="3D6715B6"/>
    <w:rsid w:val="3D6A0E68"/>
    <w:rsid w:val="3D757AC6"/>
    <w:rsid w:val="3DA13E2F"/>
    <w:rsid w:val="3DA24BF3"/>
    <w:rsid w:val="3DAA124A"/>
    <w:rsid w:val="3DC05C7B"/>
    <w:rsid w:val="3DC91A8B"/>
    <w:rsid w:val="3DCC1E35"/>
    <w:rsid w:val="3DD552BA"/>
    <w:rsid w:val="3DD93CC7"/>
    <w:rsid w:val="3DEC61FF"/>
    <w:rsid w:val="3DF05A53"/>
    <w:rsid w:val="3DF43595"/>
    <w:rsid w:val="3DF61AFE"/>
    <w:rsid w:val="3E156FDB"/>
    <w:rsid w:val="3E2E2AC3"/>
    <w:rsid w:val="3E310BAF"/>
    <w:rsid w:val="3E3730A5"/>
    <w:rsid w:val="3E483E7F"/>
    <w:rsid w:val="3E4C653C"/>
    <w:rsid w:val="3E4D0306"/>
    <w:rsid w:val="3E4E05B8"/>
    <w:rsid w:val="3E501D7D"/>
    <w:rsid w:val="3E534CEE"/>
    <w:rsid w:val="3E5E0252"/>
    <w:rsid w:val="3E655C86"/>
    <w:rsid w:val="3E701A0E"/>
    <w:rsid w:val="3E732E54"/>
    <w:rsid w:val="3E7E4EBA"/>
    <w:rsid w:val="3E8A3646"/>
    <w:rsid w:val="3E8D154B"/>
    <w:rsid w:val="3E901C33"/>
    <w:rsid w:val="3E9208D6"/>
    <w:rsid w:val="3E941C15"/>
    <w:rsid w:val="3E9F4C36"/>
    <w:rsid w:val="3EBC63BD"/>
    <w:rsid w:val="3ED3535A"/>
    <w:rsid w:val="3ED708DB"/>
    <w:rsid w:val="3ED86C7F"/>
    <w:rsid w:val="3EDA028E"/>
    <w:rsid w:val="3EF06BB7"/>
    <w:rsid w:val="3EF4041D"/>
    <w:rsid w:val="3EFF246E"/>
    <w:rsid w:val="3F1730E4"/>
    <w:rsid w:val="3F1D06B2"/>
    <w:rsid w:val="3F285C84"/>
    <w:rsid w:val="3F3112B6"/>
    <w:rsid w:val="3F3D6847"/>
    <w:rsid w:val="3F473721"/>
    <w:rsid w:val="3F4C1405"/>
    <w:rsid w:val="3F604797"/>
    <w:rsid w:val="3F717D2A"/>
    <w:rsid w:val="3F830503"/>
    <w:rsid w:val="3F8915BC"/>
    <w:rsid w:val="3FA327AE"/>
    <w:rsid w:val="3FA91C4B"/>
    <w:rsid w:val="3FAE3473"/>
    <w:rsid w:val="3FB70A3D"/>
    <w:rsid w:val="3FB91B4D"/>
    <w:rsid w:val="3FCD0603"/>
    <w:rsid w:val="3FF26629"/>
    <w:rsid w:val="3FF6169E"/>
    <w:rsid w:val="3FF950AC"/>
    <w:rsid w:val="3FFE3379"/>
    <w:rsid w:val="400132AA"/>
    <w:rsid w:val="40032CDD"/>
    <w:rsid w:val="40066EF1"/>
    <w:rsid w:val="400E2C6B"/>
    <w:rsid w:val="40251201"/>
    <w:rsid w:val="40354D3E"/>
    <w:rsid w:val="404937E6"/>
    <w:rsid w:val="40497FD0"/>
    <w:rsid w:val="40543768"/>
    <w:rsid w:val="40561C68"/>
    <w:rsid w:val="40593ABF"/>
    <w:rsid w:val="405B4620"/>
    <w:rsid w:val="405B4D01"/>
    <w:rsid w:val="406646A0"/>
    <w:rsid w:val="407507B2"/>
    <w:rsid w:val="40765CCD"/>
    <w:rsid w:val="407765FE"/>
    <w:rsid w:val="407B6130"/>
    <w:rsid w:val="40866FF3"/>
    <w:rsid w:val="40AA5046"/>
    <w:rsid w:val="40B437FE"/>
    <w:rsid w:val="40B53060"/>
    <w:rsid w:val="40CD2B03"/>
    <w:rsid w:val="40D46C4F"/>
    <w:rsid w:val="40D84E5D"/>
    <w:rsid w:val="40E01FA4"/>
    <w:rsid w:val="40E37ADA"/>
    <w:rsid w:val="40EA6057"/>
    <w:rsid w:val="40F95158"/>
    <w:rsid w:val="40FD234C"/>
    <w:rsid w:val="410D5399"/>
    <w:rsid w:val="411A2914"/>
    <w:rsid w:val="41280EEB"/>
    <w:rsid w:val="412B3B20"/>
    <w:rsid w:val="412C578A"/>
    <w:rsid w:val="412C5AE4"/>
    <w:rsid w:val="41357D18"/>
    <w:rsid w:val="41416B89"/>
    <w:rsid w:val="414863E4"/>
    <w:rsid w:val="4158416B"/>
    <w:rsid w:val="41597EA9"/>
    <w:rsid w:val="416917A7"/>
    <w:rsid w:val="416C5B52"/>
    <w:rsid w:val="4173234D"/>
    <w:rsid w:val="41793E58"/>
    <w:rsid w:val="418C3DCF"/>
    <w:rsid w:val="419164D0"/>
    <w:rsid w:val="41A12733"/>
    <w:rsid w:val="41AA55CE"/>
    <w:rsid w:val="41D31D2F"/>
    <w:rsid w:val="41DB2CA2"/>
    <w:rsid w:val="41FD3CE1"/>
    <w:rsid w:val="4200113A"/>
    <w:rsid w:val="420B4D6E"/>
    <w:rsid w:val="42123101"/>
    <w:rsid w:val="421B3DFF"/>
    <w:rsid w:val="421D464B"/>
    <w:rsid w:val="422B1AE1"/>
    <w:rsid w:val="422F44B8"/>
    <w:rsid w:val="42401C4E"/>
    <w:rsid w:val="425318CB"/>
    <w:rsid w:val="4256172B"/>
    <w:rsid w:val="42562CE9"/>
    <w:rsid w:val="4261189E"/>
    <w:rsid w:val="4270639C"/>
    <w:rsid w:val="427F038D"/>
    <w:rsid w:val="42920E70"/>
    <w:rsid w:val="429E0513"/>
    <w:rsid w:val="42DE4B92"/>
    <w:rsid w:val="42E16641"/>
    <w:rsid w:val="42EC6DA4"/>
    <w:rsid w:val="43011983"/>
    <w:rsid w:val="430C5235"/>
    <w:rsid w:val="430D67CA"/>
    <w:rsid w:val="431439EF"/>
    <w:rsid w:val="431C5A14"/>
    <w:rsid w:val="43241A97"/>
    <w:rsid w:val="4325409F"/>
    <w:rsid w:val="43352D09"/>
    <w:rsid w:val="433840B7"/>
    <w:rsid w:val="433C45AE"/>
    <w:rsid w:val="43456817"/>
    <w:rsid w:val="434925BD"/>
    <w:rsid w:val="434B2805"/>
    <w:rsid w:val="434E516C"/>
    <w:rsid w:val="434E6F31"/>
    <w:rsid w:val="435111CA"/>
    <w:rsid w:val="43527BFD"/>
    <w:rsid w:val="43536184"/>
    <w:rsid w:val="4355340E"/>
    <w:rsid w:val="436368B5"/>
    <w:rsid w:val="43726C6D"/>
    <w:rsid w:val="437C24A9"/>
    <w:rsid w:val="437E7B6F"/>
    <w:rsid w:val="43816018"/>
    <w:rsid w:val="43843B5C"/>
    <w:rsid w:val="43A84430"/>
    <w:rsid w:val="43AA19A0"/>
    <w:rsid w:val="43CD4C3F"/>
    <w:rsid w:val="43D145FA"/>
    <w:rsid w:val="43D356EC"/>
    <w:rsid w:val="43DD31AC"/>
    <w:rsid w:val="43DF17CA"/>
    <w:rsid w:val="43E3561F"/>
    <w:rsid w:val="43E51449"/>
    <w:rsid w:val="43E97C79"/>
    <w:rsid w:val="43F63DBB"/>
    <w:rsid w:val="440E6A21"/>
    <w:rsid w:val="441C4844"/>
    <w:rsid w:val="44225D47"/>
    <w:rsid w:val="44324E3E"/>
    <w:rsid w:val="44453EAB"/>
    <w:rsid w:val="44557577"/>
    <w:rsid w:val="44612FBF"/>
    <w:rsid w:val="4467510F"/>
    <w:rsid w:val="44685B6C"/>
    <w:rsid w:val="446F27A1"/>
    <w:rsid w:val="44766C48"/>
    <w:rsid w:val="44773F53"/>
    <w:rsid w:val="447B03F9"/>
    <w:rsid w:val="447C7A12"/>
    <w:rsid w:val="449043CB"/>
    <w:rsid w:val="449048AD"/>
    <w:rsid w:val="44A50B01"/>
    <w:rsid w:val="44A53B6B"/>
    <w:rsid w:val="44A57A64"/>
    <w:rsid w:val="44BD642A"/>
    <w:rsid w:val="44CB49F7"/>
    <w:rsid w:val="44CC1879"/>
    <w:rsid w:val="44D14F5F"/>
    <w:rsid w:val="44DA47F9"/>
    <w:rsid w:val="44DF446B"/>
    <w:rsid w:val="44ED17A0"/>
    <w:rsid w:val="44FF65B5"/>
    <w:rsid w:val="45123EED"/>
    <w:rsid w:val="451B46E1"/>
    <w:rsid w:val="451B79FE"/>
    <w:rsid w:val="451D167A"/>
    <w:rsid w:val="452E1054"/>
    <w:rsid w:val="452E6B9A"/>
    <w:rsid w:val="453D2B58"/>
    <w:rsid w:val="453F7092"/>
    <w:rsid w:val="45486F85"/>
    <w:rsid w:val="45525966"/>
    <w:rsid w:val="4553736A"/>
    <w:rsid w:val="45577160"/>
    <w:rsid w:val="455B0B84"/>
    <w:rsid w:val="455C75CC"/>
    <w:rsid w:val="45717784"/>
    <w:rsid w:val="457F7B00"/>
    <w:rsid w:val="458A3B63"/>
    <w:rsid w:val="45943E18"/>
    <w:rsid w:val="45961681"/>
    <w:rsid w:val="45A47001"/>
    <w:rsid w:val="45A97077"/>
    <w:rsid w:val="45B01FAA"/>
    <w:rsid w:val="45B46213"/>
    <w:rsid w:val="45C023ED"/>
    <w:rsid w:val="45E61FDD"/>
    <w:rsid w:val="45EC77A7"/>
    <w:rsid w:val="45F36C99"/>
    <w:rsid w:val="45FF47D3"/>
    <w:rsid w:val="46017EC5"/>
    <w:rsid w:val="460626AF"/>
    <w:rsid w:val="46073F9A"/>
    <w:rsid w:val="460A33FF"/>
    <w:rsid w:val="46124AD6"/>
    <w:rsid w:val="462A1C6F"/>
    <w:rsid w:val="462C5D7D"/>
    <w:rsid w:val="4638055D"/>
    <w:rsid w:val="463B1FD6"/>
    <w:rsid w:val="463C316B"/>
    <w:rsid w:val="464E7701"/>
    <w:rsid w:val="464F76A7"/>
    <w:rsid w:val="465A7B62"/>
    <w:rsid w:val="466F0E0C"/>
    <w:rsid w:val="466F6BC5"/>
    <w:rsid w:val="468A6AD1"/>
    <w:rsid w:val="469A4C14"/>
    <w:rsid w:val="46AE1A2F"/>
    <w:rsid w:val="46B333F3"/>
    <w:rsid w:val="46B835CE"/>
    <w:rsid w:val="46CA0DB1"/>
    <w:rsid w:val="46D01A62"/>
    <w:rsid w:val="46D54904"/>
    <w:rsid w:val="46D919C0"/>
    <w:rsid w:val="470E139A"/>
    <w:rsid w:val="476A62A3"/>
    <w:rsid w:val="476F4C43"/>
    <w:rsid w:val="477A1AFF"/>
    <w:rsid w:val="477E1687"/>
    <w:rsid w:val="477F61D9"/>
    <w:rsid w:val="47847A1B"/>
    <w:rsid w:val="47931A85"/>
    <w:rsid w:val="479672F6"/>
    <w:rsid w:val="47A85C25"/>
    <w:rsid w:val="47B52F22"/>
    <w:rsid w:val="47B63534"/>
    <w:rsid w:val="47B64420"/>
    <w:rsid w:val="47C61C84"/>
    <w:rsid w:val="47F925EA"/>
    <w:rsid w:val="48137C88"/>
    <w:rsid w:val="4818364E"/>
    <w:rsid w:val="481C22CA"/>
    <w:rsid w:val="482476E5"/>
    <w:rsid w:val="48314631"/>
    <w:rsid w:val="483D5927"/>
    <w:rsid w:val="48417B5D"/>
    <w:rsid w:val="48445826"/>
    <w:rsid w:val="484B139E"/>
    <w:rsid w:val="484C1A40"/>
    <w:rsid w:val="48555347"/>
    <w:rsid w:val="486423EC"/>
    <w:rsid w:val="487C7152"/>
    <w:rsid w:val="48831EEE"/>
    <w:rsid w:val="48902DDD"/>
    <w:rsid w:val="48943CD0"/>
    <w:rsid w:val="489460C1"/>
    <w:rsid w:val="489826C0"/>
    <w:rsid w:val="489A62D3"/>
    <w:rsid w:val="48A968B0"/>
    <w:rsid w:val="48B6497B"/>
    <w:rsid w:val="48DB0784"/>
    <w:rsid w:val="48EC694D"/>
    <w:rsid w:val="48F657F7"/>
    <w:rsid w:val="48FB3257"/>
    <w:rsid w:val="49000BF8"/>
    <w:rsid w:val="490D3A4C"/>
    <w:rsid w:val="49131411"/>
    <w:rsid w:val="49132E8D"/>
    <w:rsid w:val="4921515A"/>
    <w:rsid w:val="49226B34"/>
    <w:rsid w:val="49265F11"/>
    <w:rsid w:val="492A1C73"/>
    <w:rsid w:val="4930671C"/>
    <w:rsid w:val="4934536D"/>
    <w:rsid w:val="493707D2"/>
    <w:rsid w:val="49394D11"/>
    <w:rsid w:val="4941595A"/>
    <w:rsid w:val="494A6B61"/>
    <w:rsid w:val="49673602"/>
    <w:rsid w:val="496E56FA"/>
    <w:rsid w:val="49713534"/>
    <w:rsid w:val="49726ECB"/>
    <w:rsid w:val="497D3B6F"/>
    <w:rsid w:val="49821DFA"/>
    <w:rsid w:val="498E22BC"/>
    <w:rsid w:val="49A10B52"/>
    <w:rsid w:val="49A32138"/>
    <w:rsid w:val="49A3569E"/>
    <w:rsid w:val="49AE3A98"/>
    <w:rsid w:val="49B54904"/>
    <w:rsid w:val="49CA5465"/>
    <w:rsid w:val="49E072CF"/>
    <w:rsid w:val="49E371FF"/>
    <w:rsid w:val="49E57110"/>
    <w:rsid w:val="49E94D38"/>
    <w:rsid w:val="49FA19E2"/>
    <w:rsid w:val="49FD7C2E"/>
    <w:rsid w:val="4A0564BF"/>
    <w:rsid w:val="4A077FAD"/>
    <w:rsid w:val="4A0F2FD1"/>
    <w:rsid w:val="4A254D39"/>
    <w:rsid w:val="4A2E5242"/>
    <w:rsid w:val="4A351F3C"/>
    <w:rsid w:val="4A3C0443"/>
    <w:rsid w:val="4A46208E"/>
    <w:rsid w:val="4A6F0760"/>
    <w:rsid w:val="4A73273F"/>
    <w:rsid w:val="4A7F554B"/>
    <w:rsid w:val="4A9A0E78"/>
    <w:rsid w:val="4AB9317C"/>
    <w:rsid w:val="4AB979F8"/>
    <w:rsid w:val="4ACD7D86"/>
    <w:rsid w:val="4AD0055A"/>
    <w:rsid w:val="4AD56A02"/>
    <w:rsid w:val="4ADA4D79"/>
    <w:rsid w:val="4ADD13DB"/>
    <w:rsid w:val="4AF50041"/>
    <w:rsid w:val="4B0C2889"/>
    <w:rsid w:val="4B100CDF"/>
    <w:rsid w:val="4B140463"/>
    <w:rsid w:val="4B2048C3"/>
    <w:rsid w:val="4B3C2C6E"/>
    <w:rsid w:val="4B4630E5"/>
    <w:rsid w:val="4B4F09A3"/>
    <w:rsid w:val="4B5327D6"/>
    <w:rsid w:val="4B566808"/>
    <w:rsid w:val="4B750ACE"/>
    <w:rsid w:val="4B7F6330"/>
    <w:rsid w:val="4B8D57FB"/>
    <w:rsid w:val="4B9C5D39"/>
    <w:rsid w:val="4BA5578B"/>
    <w:rsid w:val="4BA620A8"/>
    <w:rsid w:val="4BA83C82"/>
    <w:rsid w:val="4BB36C56"/>
    <w:rsid w:val="4BB72FEE"/>
    <w:rsid w:val="4BB73D31"/>
    <w:rsid w:val="4BCB17D4"/>
    <w:rsid w:val="4BD93F51"/>
    <w:rsid w:val="4BDB487F"/>
    <w:rsid w:val="4BDF2AE3"/>
    <w:rsid w:val="4BEB3D68"/>
    <w:rsid w:val="4BF43230"/>
    <w:rsid w:val="4BF54305"/>
    <w:rsid w:val="4C101538"/>
    <w:rsid w:val="4C135192"/>
    <w:rsid w:val="4C166617"/>
    <w:rsid w:val="4C174E08"/>
    <w:rsid w:val="4C236007"/>
    <w:rsid w:val="4C261FBC"/>
    <w:rsid w:val="4C2B73C6"/>
    <w:rsid w:val="4C2E397F"/>
    <w:rsid w:val="4C323015"/>
    <w:rsid w:val="4C354E3E"/>
    <w:rsid w:val="4C3C7AE4"/>
    <w:rsid w:val="4C4C5914"/>
    <w:rsid w:val="4C525334"/>
    <w:rsid w:val="4C690591"/>
    <w:rsid w:val="4C6F0B71"/>
    <w:rsid w:val="4C730EFA"/>
    <w:rsid w:val="4C804ECE"/>
    <w:rsid w:val="4C8521CC"/>
    <w:rsid w:val="4C921676"/>
    <w:rsid w:val="4C9E1AD8"/>
    <w:rsid w:val="4CAF7E54"/>
    <w:rsid w:val="4CB01F1E"/>
    <w:rsid w:val="4CB03124"/>
    <w:rsid w:val="4CB54D42"/>
    <w:rsid w:val="4CBE0A2A"/>
    <w:rsid w:val="4CC11DA5"/>
    <w:rsid w:val="4CC21E59"/>
    <w:rsid w:val="4CCD0F5C"/>
    <w:rsid w:val="4CDA3AB6"/>
    <w:rsid w:val="4CE72333"/>
    <w:rsid w:val="4CE9317D"/>
    <w:rsid w:val="4CE974A6"/>
    <w:rsid w:val="4CF77A2A"/>
    <w:rsid w:val="4CF92C0D"/>
    <w:rsid w:val="4CF93734"/>
    <w:rsid w:val="4D041F16"/>
    <w:rsid w:val="4D053899"/>
    <w:rsid w:val="4D063750"/>
    <w:rsid w:val="4D0756E3"/>
    <w:rsid w:val="4D0F5B3A"/>
    <w:rsid w:val="4D210B39"/>
    <w:rsid w:val="4D37381C"/>
    <w:rsid w:val="4D4A36B5"/>
    <w:rsid w:val="4D4B1887"/>
    <w:rsid w:val="4D5A0EB4"/>
    <w:rsid w:val="4D5A1E73"/>
    <w:rsid w:val="4D5B29BC"/>
    <w:rsid w:val="4D682100"/>
    <w:rsid w:val="4D6A757B"/>
    <w:rsid w:val="4D6C176B"/>
    <w:rsid w:val="4D7115B7"/>
    <w:rsid w:val="4D746345"/>
    <w:rsid w:val="4D7C107B"/>
    <w:rsid w:val="4D845251"/>
    <w:rsid w:val="4D8815F4"/>
    <w:rsid w:val="4D8913BD"/>
    <w:rsid w:val="4D8D6D83"/>
    <w:rsid w:val="4D8F443A"/>
    <w:rsid w:val="4D910009"/>
    <w:rsid w:val="4D9635BE"/>
    <w:rsid w:val="4D9B569A"/>
    <w:rsid w:val="4DA3249D"/>
    <w:rsid w:val="4DA771A7"/>
    <w:rsid w:val="4DB86553"/>
    <w:rsid w:val="4DB97CBA"/>
    <w:rsid w:val="4DDE14C0"/>
    <w:rsid w:val="4DF814C5"/>
    <w:rsid w:val="4E0663C2"/>
    <w:rsid w:val="4E0A7BCE"/>
    <w:rsid w:val="4E0C2647"/>
    <w:rsid w:val="4E0D02BE"/>
    <w:rsid w:val="4E104091"/>
    <w:rsid w:val="4E145E9A"/>
    <w:rsid w:val="4E1E69DF"/>
    <w:rsid w:val="4E2B73B7"/>
    <w:rsid w:val="4E38711A"/>
    <w:rsid w:val="4E4B52AB"/>
    <w:rsid w:val="4E610689"/>
    <w:rsid w:val="4E696EE0"/>
    <w:rsid w:val="4E7C4EA3"/>
    <w:rsid w:val="4E833C53"/>
    <w:rsid w:val="4E8D3446"/>
    <w:rsid w:val="4EA91F16"/>
    <w:rsid w:val="4EBA5B20"/>
    <w:rsid w:val="4EC067EC"/>
    <w:rsid w:val="4ECA7DC8"/>
    <w:rsid w:val="4ED25047"/>
    <w:rsid w:val="4EDF5896"/>
    <w:rsid w:val="4EE73F3E"/>
    <w:rsid w:val="4EF2312D"/>
    <w:rsid w:val="4EF75B01"/>
    <w:rsid w:val="4F003C93"/>
    <w:rsid w:val="4F065331"/>
    <w:rsid w:val="4F1830F5"/>
    <w:rsid w:val="4F243254"/>
    <w:rsid w:val="4F2E627E"/>
    <w:rsid w:val="4F3F3679"/>
    <w:rsid w:val="4F4B60E3"/>
    <w:rsid w:val="4F4E0C56"/>
    <w:rsid w:val="4F5251F2"/>
    <w:rsid w:val="4F5654B7"/>
    <w:rsid w:val="4F635F6A"/>
    <w:rsid w:val="4F691D8D"/>
    <w:rsid w:val="4F773C19"/>
    <w:rsid w:val="4F810E88"/>
    <w:rsid w:val="4F861262"/>
    <w:rsid w:val="4F8A0334"/>
    <w:rsid w:val="4F8B386F"/>
    <w:rsid w:val="4F9206E9"/>
    <w:rsid w:val="4F9E7F1D"/>
    <w:rsid w:val="4FA677A1"/>
    <w:rsid w:val="4FA70478"/>
    <w:rsid w:val="4FB4351D"/>
    <w:rsid w:val="4FC02DD2"/>
    <w:rsid w:val="4FC02EB1"/>
    <w:rsid w:val="4FC731FE"/>
    <w:rsid w:val="4FCC0B45"/>
    <w:rsid w:val="4FD47BF3"/>
    <w:rsid w:val="4FE27A52"/>
    <w:rsid w:val="4FE51AF2"/>
    <w:rsid w:val="50081EA2"/>
    <w:rsid w:val="50145D74"/>
    <w:rsid w:val="502626F1"/>
    <w:rsid w:val="502B5D7A"/>
    <w:rsid w:val="502E33DE"/>
    <w:rsid w:val="504472BB"/>
    <w:rsid w:val="504E088C"/>
    <w:rsid w:val="50616245"/>
    <w:rsid w:val="506434C6"/>
    <w:rsid w:val="5066636C"/>
    <w:rsid w:val="50684BC6"/>
    <w:rsid w:val="50917A77"/>
    <w:rsid w:val="509D34CD"/>
    <w:rsid w:val="50A31E41"/>
    <w:rsid w:val="50A55C49"/>
    <w:rsid w:val="50AD6D11"/>
    <w:rsid w:val="50C41E3B"/>
    <w:rsid w:val="50C84035"/>
    <w:rsid w:val="50D4666F"/>
    <w:rsid w:val="50EB7E70"/>
    <w:rsid w:val="50EC7761"/>
    <w:rsid w:val="50EE7D20"/>
    <w:rsid w:val="50F14C9C"/>
    <w:rsid w:val="50F35CDE"/>
    <w:rsid w:val="51054616"/>
    <w:rsid w:val="510B2771"/>
    <w:rsid w:val="510E6953"/>
    <w:rsid w:val="5115181C"/>
    <w:rsid w:val="51302947"/>
    <w:rsid w:val="51350BB6"/>
    <w:rsid w:val="51492FE2"/>
    <w:rsid w:val="514A721C"/>
    <w:rsid w:val="51582B61"/>
    <w:rsid w:val="5158775C"/>
    <w:rsid w:val="5160532C"/>
    <w:rsid w:val="516C04B7"/>
    <w:rsid w:val="516E747C"/>
    <w:rsid w:val="517933FA"/>
    <w:rsid w:val="517D6AA7"/>
    <w:rsid w:val="51806810"/>
    <w:rsid w:val="51840494"/>
    <w:rsid w:val="5184360B"/>
    <w:rsid w:val="51860BDE"/>
    <w:rsid w:val="51A92492"/>
    <w:rsid w:val="51AA1D87"/>
    <w:rsid w:val="51AB0F2D"/>
    <w:rsid w:val="51AF6AE1"/>
    <w:rsid w:val="51AF7BD9"/>
    <w:rsid w:val="51B11B36"/>
    <w:rsid w:val="51B23CD2"/>
    <w:rsid w:val="51B4296E"/>
    <w:rsid w:val="51C57038"/>
    <w:rsid w:val="51CA13B1"/>
    <w:rsid w:val="51DB0414"/>
    <w:rsid w:val="51EE41DA"/>
    <w:rsid w:val="52006DB9"/>
    <w:rsid w:val="520424E6"/>
    <w:rsid w:val="52157BA1"/>
    <w:rsid w:val="521D6CE7"/>
    <w:rsid w:val="52207600"/>
    <w:rsid w:val="52311B6D"/>
    <w:rsid w:val="523860FD"/>
    <w:rsid w:val="523B0E2D"/>
    <w:rsid w:val="52405EF5"/>
    <w:rsid w:val="52457655"/>
    <w:rsid w:val="524B6A4C"/>
    <w:rsid w:val="52516AE8"/>
    <w:rsid w:val="526F0FF4"/>
    <w:rsid w:val="527A0E1B"/>
    <w:rsid w:val="527A44FA"/>
    <w:rsid w:val="529D43D3"/>
    <w:rsid w:val="52BD736A"/>
    <w:rsid w:val="52BF63FA"/>
    <w:rsid w:val="52C73962"/>
    <w:rsid w:val="52D7093D"/>
    <w:rsid w:val="52D95DD1"/>
    <w:rsid w:val="52DF6845"/>
    <w:rsid w:val="52ED027A"/>
    <w:rsid w:val="53025EE6"/>
    <w:rsid w:val="530F4929"/>
    <w:rsid w:val="531811AE"/>
    <w:rsid w:val="531951DE"/>
    <w:rsid w:val="53385F9B"/>
    <w:rsid w:val="53400BC4"/>
    <w:rsid w:val="53442E87"/>
    <w:rsid w:val="53442E9D"/>
    <w:rsid w:val="53452DF2"/>
    <w:rsid w:val="535944F1"/>
    <w:rsid w:val="53596625"/>
    <w:rsid w:val="536308BD"/>
    <w:rsid w:val="536D1715"/>
    <w:rsid w:val="537F7CB1"/>
    <w:rsid w:val="538116B2"/>
    <w:rsid w:val="538D5E9A"/>
    <w:rsid w:val="5398325F"/>
    <w:rsid w:val="53A015F3"/>
    <w:rsid w:val="53A5219C"/>
    <w:rsid w:val="53BA1755"/>
    <w:rsid w:val="53CB78EE"/>
    <w:rsid w:val="53D24CE6"/>
    <w:rsid w:val="53E63994"/>
    <w:rsid w:val="53F302ED"/>
    <w:rsid w:val="54014506"/>
    <w:rsid w:val="54014BAD"/>
    <w:rsid w:val="540F767A"/>
    <w:rsid w:val="541025FD"/>
    <w:rsid w:val="54175905"/>
    <w:rsid w:val="54221194"/>
    <w:rsid w:val="542E6EC5"/>
    <w:rsid w:val="54367068"/>
    <w:rsid w:val="543829AA"/>
    <w:rsid w:val="544700E1"/>
    <w:rsid w:val="545604BA"/>
    <w:rsid w:val="546D35EA"/>
    <w:rsid w:val="547D68CB"/>
    <w:rsid w:val="547E1A99"/>
    <w:rsid w:val="547F76A3"/>
    <w:rsid w:val="54812A39"/>
    <w:rsid w:val="54863830"/>
    <w:rsid w:val="548D7900"/>
    <w:rsid w:val="54910DA9"/>
    <w:rsid w:val="54A64A95"/>
    <w:rsid w:val="54A9725D"/>
    <w:rsid w:val="54B03BE2"/>
    <w:rsid w:val="54B57332"/>
    <w:rsid w:val="54CE6C43"/>
    <w:rsid w:val="54D159B4"/>
    <w:rsid w:val="55057E5B"/>
    <w:rsid w:val="553A38B0"/>
    <w:rsid w:val="553A7C67"/>
    <w:rsid w:val="554124B0"/>
    <w:rsid w:val="554242CF"/>
    <w:rsid w:val="5548591B"/>
    <w:rsid w:val="555005A6"/>
    <w:rsid w:val="5552106E"/>
    <w:rsid w:val="55701340"/>
    <w:rsid w:val="55707E52"/>
    <w:rsid w:val="55954D4F"/>
    <w:rsid w:val="55996C5F"/>
    <w:rsid w:val="55AD6E73"/>
    <w:rsid w:val="55C91DD3"/>
    <w:rsid w:val="55CA251B"/>
    <w:rsid w:val="55CB161C"/>
    <w:rsid w:val="55CC253A"/>
    <w:rsid w:val="55ED773E"/>
    <w:rsid w:val="55F109BE"/>
    <w:rsid w:val="55FE4CAD"/>
    <w:rsid w:val="560D0C84"/>
    <w:rsid w:val="560D4917"/>
    <w:rsid w:val="56124584"/>
    <w:rsid w:val="561679DE"/>
    <w:rsid w:val="561D5297"/>
    <w:rsid w:val="561E0B74"/>
    <w:rsid w:val="562051D2"/>
    <w:rsid w:val="562C542C"/>
    <w:rsid w:val="564A64D2"/>
    <w:rsid w:val="565A5989"/>
    <w:rsid w:val="566E4C3C"/>
    <w:rsid w:val="566F6193"/>
    <w:rsid w:val="56752C35"/>
    <w:rsid w:val="56837877"/>
    <w:rsid w:val="568B4369"/>
    <w:rsid w:val="568C1CC1"/>
    <w:rsid w:val="568C61A9"/>
    <w:rsid w:val="56AD4F90"/>
    <w:rsid w:val="56BD1CA9"/>
    <w:rsid w:val="56BD2018"/>
    <w:rsid w:val="56D649C0"/>
    <w:rsid w:val="56EF38D7"/>
    <w:rsid w:val="56F736FD"/>
    <w:rsid w:val="56FA2DF1"/>
    <w:rsid w:val="56FA5830"/>
    <w:rsid w:val="56FC059E"/>
    <w:rsid w:val="570008F3"/>
    <w:rsid w:val="570A442A"/>
    <w:rsid w:val="570E6D7E"/>
    <w:rsid w:val="572F7DD8"/>
    <w:rsid w:val="57317A21"/>
    <w:rsid w:val="5734018A"/>
    <w:rsid w:val="5737178B"/>
    <w:rsid w:val="573F6ACC"/>
    <w:rsid w:val="574F273A"/>
    <w:rsid w:val="57516D9A"/>
    <w:rsid w:val="575A28DF"/>
    <w:rsid w:val="575F662C"/>
    <w:rsid w:val="57621DD9"/>
    <w:rsid w:val="57682AA0"/>
    <w:rsid w:val="577350E1"/>
    <w:rsid w:val="57790B23"/>
    <w:rsid w:val="577D79E1"/>
    <w:rsid w:val="57850648"/>
    <w:rsid w:val="57882A6F"/>
    <w:rsid w:val="578E643E"/>
    <w:rsid w:val="57945C9E"/>
    <w:rsid w:val="579C6A54"/>
    <w:rsid w:val="579F3085"/>
    <w:rsid w:val="57A03B83"/>
    <w:rsid w:val="57A56E35"/>
    <w:rsid w:val="57B618C8"/>
    <w:rsid w:val="57B71413"/>
    <w:rsid w:val="57BA41AE"/>
    <w:rsid w:val="57D52BE5"/>
    <w:rsid w:val="57DD7758"/>
    <w:rsid w:val="57ED6A3A"/>
    <w:rsid w:val="57FF4BCF"/>
    <w:rsid w:val="580940DC"/>
    <w:rsid w:val="580E3B22"/>
    <w:rsid w:val="58154D71"/>
    <w:rsid w:val="581A38B8"/>
    <w:rsid w:val="58320458"/>
    <w:rsid w:val="585243CB"/>
    <w:rsid w:val="58627661"/>
    <w:rsid w:val="586351B5"/>
    <w:rsid w:val="58646F13"/>
    <w:rsid w:val="586A3274"/>
    <w:rsid w:val="586A6997"/>
    <w:rsid w:val="58720F97"/>
    <w:rsid w:val="58875765"/>
    <w:rsid w:val="588876ED"/>
    <w:rsid w:val="588D2EE9"/>
    <w:rsid w:val="58905AE7"/>
    <w:rsid w:val="58941B53"/>
    <w:rsid w:val="58A57D62"/>
    <w:rsid w:val="58A6675C"/>
    <w:rsid w:val="58AC5B27"/>
    <w:rsid w:val="58B50DCE"/>
    <w:rsid w:val="58B97D56"/>
    <w:rsid w:val="58C35115"/>
    <w:rsid w:val="58C43F0F"/>
    <w:rsid w:val="58C9355E"/>
    <w:rsid w:val="58C979CA"/>
    <w:rsid w:val="58CE203A"/>
    <w:rsid w:val="58DC3FFB"/>
    <w:rsid w:val="58DF268A"/>
    <w:rsid w:val="58EA0F2A"/>
    <w:rsid w:val="58F07E07"/>
    <w:rsid w:val="590751BB"/>
    <w:rsid w:val="591A55A8"/>
    <w:rsid w:val="591A6DB7"/>
    <w:rsid w:val="591A78B6"/>
    <w:rsid w:val="59200A8D"/>
    <w:rsid w:val="59222300"/>
    <w:rsid w:val="59256931"/>
    <w:rsid w:val="59275746"/>
    <w:rsid w:val="592F660C"/>
    <w:rsid w:val="5930635B"/>
    <w:rsid w:val="593300AD"/>
    <w:rsid w:val="59420710"/>
    <w:rsid w:val="594E5AF8"/>
    <w:rsid w:val="59572197"/>
    <w:rsid w:val="595A6F60"/>
    <w:rsid w:val="59635967"/>
    <w:rsid w:val="59722AEE"/>
    <w:rsid w:val="59732382"/>
    <w:rsid w:val="597747CB"/>
    <w:rsid w:val="597D0F76"/>
    <w:rsid w:val="59901E38"/>
    <w:rsid w:val="599A6324"/>
    <w:rsid w:val="599B09C5"/>
    <w:rsid w:val="59E46CB0"/>
    <w:rsid w:val="59E637FA"/>
    <w:rsid w:val="59EB1A75"/>
    <w:rsid w:val="59ED765A"/>
    <w:rsid w:val="59F13ECB"/>
    <w:rsid w:val="5A012372"/>
    <w:rsid w:val="5A015B0C"/>
    <w:rsid w:val="5A0459E2"/>
    <w:rsid w:val="5A082CB7"/>
    <w:rsid w:val="5A196377"/>
    <w:rsid w:val="5A2807A4"/>
    <w:rsid w:val="5A3258A6"/>
    <w:rsid w:val="5A3A51EB"/>
    <w:rsid w:val="5A434E0E"/>
    <w:rsid w:val="5A4558BF"/>
    <w:rsid w:val="5A523D62"/>
    <w:rsid w:val="5A852969"/>
    <w:rsid w:val="5A8F6F97"/>
    <w:rsid w:val="5A9245F9"/>
    <w:rsid w:val="5A9E080B"/>
    <w:rsid w:val="5AA04591"/>
    <w:rsid w:val="5AA31776"/>
    <w:rsid w:val="5ABB6369"/>
    <w:rsid w:val="5AC769FA"/>
    <w:rsid w:val="5AE151B2"/>
    <w:rsid w:val="5AF0323A"/>
    <w:rsid w:val="5B012FEF"/>
    <w:rsid w:val="5B096D18"/>
    <w:rsid w:val="5B0D5732"/>
    <w:rsid w:val="5B182B9D"/>
    <w:rsid w:val="5B1D739E"/>
    <w:rsid w:val="5B230BD0"/>
    <w:rsid w:val="5B2A48D4"/>
    <w:rsid w:val="5B3410A0"/>
    <w:rsid w:val="5B4302A8"/>
    <w:rsid w:val="5B523C61"/>
    <w:rsid w:val="5B53157B"/>
    <w:rsid w:val="5B542EF2"/>
    <w:rsid w:val="5B607761"/>
    <w:rsid w:val="5B685FE5"/>
    <w:rsid w:val="5B746A07"/>
    <w:rsid w:val="5B7D0A55"/>
    <w:rsid w:val="5B800597"/>
    <w:rsid w:val="5B9C63F0"/>
    <w:rsid w:val="5BA05B48"/>
    <w:rsid w:val="5BA259F1"/>
    <w:rsid w:val="5BC427E1"/>
    <w:rsid w:val="5BCA0B5D"/>
    <w:rsid w:val="5BCA7077"/>
    <w:rsid w:val="5BCF693E"/>
    <w:rsid w:val="5BD455DF"/>
    <w:rsid w:val="5BEE3288"/>
    <w:rsid w:val="5C2273AB"/>
    <w:rsid w:val="5C245A52"/>
    <w:rsid w:val="5C251C12"/>
    <w:rsid w:val="5C336B9D"/>
    <w:rsid w:val="5C3B6989"/>
    <w:rsid w:val="5C4477B9"/>
    <w:rsid w:val="5C45051B"/>
    <w:rsid w:val="5C462AF2"/>
    <w:rsid w:val="5C4F1D5F"/>
    <w:rsid w:val="5C554ACB"/>
    <w:rsid w:val="5C5C6369"/>
    <w:rsid w:val="5C6C549D"/>
    <w:rsid w:val="5C6F0E46"/>
    <w:rsid w:val="5C71703A"/>
    <w:rsid w:val="5C726963"/>
    <w:rsid w:val="5C7B368F"/>
    <w:rsid w:val="5C82277B"/>
    <w:rsid w:val="5C8F4F6B"/>
    <w:rsid w:val="5C8F7060"/>
    <w:rsid w:val="5CAF4C6D"/>
    <w:rsid w:val="5CB71522"/>
    <w:rsid w:val="5CCE57E1"/>
    <w:rsid w:val="5CD10EE8"/>
    <w:rsid w:val="5CD66505"/>
    <w:rsid w:val="5CDC6A49"/>
    <w:rsid w:val="5CDE1CFC"/>
    <w:rsid w:val="5CE61242"/>
    <w:rsid w:val="5CFC0E48"/>
    <w:rsid w:val="5D0C4A07"/>
    <w:rsid w:val="5D2E662C"/>
    <w:rsid w:val="5D382920"/>
    <w:rsid w:val="5D390CDC"/>
    <w:rsid w:val="5D405232"/>
    <w:rsid w:val="5D442AF2"/>
    <w:rsid w:val="5D501390"/>
    <w:rsid w:val="5D502173"/>
    <w:rsid w:val="5D5E21D2"/>
    <w:rsid w:val="5D682132"/>
    <w:rsid w:val="5D6858AC"/>
    <w:rsid w:val="5D6C2B93"/>
    <w:rsid w:val="5D6D6173"/>
    <w:rsid w:val="5D8363BA"/>
    <w:rsid w:val="5D857E32"/>
    <w:rsid w:val="5D8822CA"/>
    <w:rsid w:val="5D90460E"/>
    <w:rsid w:val="5D956A47"/>
    <w:rsid w:val="5DA95CC7"/>
    <w:rsid w:val="5DAA0D86"/>
    <w:rsid w:val="5DBB07D8"/>
    <w:rsid w:val="5DBE5DAE"/>
    <w:rsid w:val="5DC114E4"/>
    <w:rsid w:val="5DCD16EB"/>
    <w:rsid w:val="5DCE11B6"/>
    <w:rsid w:val="5DCE56AC"/>
    <w:rsid w:val="5DE41B4D"/>
    <w:rsid w:val="5DE57630"/>
    <w:rsid w:val="5DF12169"/>
    <w:rsid w:val="5DFB1451"/>
    <w:rsid w:val="5E0747FF"/>
    <w:rsid w:val="5E0B4272"/>
    <w:rsid w:val="5E0C2CB7"/>
    <w:rsid w:val="5E142C8D"/>
    <w:rsid w:val="5E1E00A2"/>
    <w:rsid w:val="5E301D0D"/>
    <w:rsid w:val="5E326FE4"/>
    <w:rsid w:val="5E391C7D"/>
    <w:rsid w:val="5E48442D"/>
    <w:rsid w:val="5E594E42"/>
    <w:rsid w:val="5E5A5CAB"/>
    <w:rsid w:val="5E610991"/>
    <w:rsid w:val="5E6D4D38"/>
    <w:rsid w:val="5E757344"/>
    <w:rsid w:val="5E7E5D14"/>
    <w:rsid w:val="5E7E7CDE"/>
    <w:rsid w:val="5E7F5C60"/>
    <w:rsid w:val="5E961F4B"/>
    <w:rsid w:val="5E974288"/>
    <w:rsid w:val="5E987B01"/>
    <w:rsid w:val="5E9A119C"/>
    <w:rsid w:val="5EA445BE"/>
    <w:rsid w:val="5EA83C86"/>
    <w:rsid w:val="5EA844A8"/>
    <w:rsid w:val="5EAB453E"/>
    <w:rsid w:val="5EAF4497"/>
    <w:rsid w:val="5EB60016"/>
    <w:rsid w:val="5EBB43A8"/>
    <w:rsid w:val="5EBB4C99"/>
    <w:rsid w:val="5EC52F5D"/>
    <w:rsid w:val="5EC76E19"/>
    <w:rsid w:val="5ECA2CF4"/>
    <w:rsid w:val="5ECA37BC"/>
    <w:rsid w:val="5ECC1EB1"/>
    <w:rsid w:val="5EDE0B30"/>
    <w:rsid w:val="5EE05729"/>
    <w:rsid w:val="5EEF78FA"/>
    <w:rsid w:val="5EF14CC1"/>
    <w:rsid w:val="5EFE2318"/>
    <w:rsid w:val="5F186A9B"/>
    <w:rsid w:val="5F1C356A"/>
    <w:rsid w:val="5F21743D"/>
    <w:rsid w:val="5F2D5514"/>
    <w:rsid w:val="5F3D5234"/>
    <w:rsid w:val="5F446766"/>
    <w:rsid w:val="5F4E40B6"/>
    <w:rsid w:val="5F6C4D75"/>
    <w:rsid w:val="5F74723C"/>
    <w:rsid w:val="5F9051AD"/>
    <w:rsid w:val="5F9C6DB5"/>
    <w:rsid w:val="5FA90F89"/>
    <w:rsid w:val="5FB4193E"/>
    <w:rsid w:val="5FBA505B"/>
    <w:rsid w:val="5FC04FB3"/>
    <w:rsid w:val="5FE11611"/>
    <w:rsid w:val="5FEB16DA"/>
    <w:rsid w:val="5FEB378F"/>
    <w:rsid w:val="5FEB3DCD"/>
    <w:rsid w:val="60063266"/>
    <w:rsid w:val="600E33C0"/>
    <w:rsid w:val="60114DCA"/>
    <w:rsid w:val="60155605"/>
    <w:rsid w:val="602902C2"/>
    <w:rsid w:val="60367328"/>
    <w:rsid w:val="603806A2"/>
    <w:rsid w:val="60411DFE"/>
    <w:rsid w:val="604268E5"/>
    <w:rsid w:val="60491E49"/>
    <w:rsid w:val="605A30C1"/>
    <w:rsid w:val="605F73DE"/>
    <w:rsid w:val="6065059E"/>
    <w:rsid w:val="606738EF"/>
    <w:rsid w:val="606E4AE6"/>
    <w:rsid w:val="606F2F85"/>
    <w:rsid w:val="607344B6"/>
    <w:rsid w:val="607E01F8"/>
    <w:rsid w:val="6081142D"/>
    <w:rsid w:val="60B07C3F"/>
    <w:rsid w:val="60C04C4E"/>
    <w:rsid w:val="60C137F5"/>
    <w:rsid w:val="60C17342"/>
    <w:rsid w:val="60D93AFA"/>
    <w:rsid w:val="60EA0665"/>
    <w:rsid w:val="60EA2A0F"/>
    <w:rsid w:val="60F47C98"/>
    <w:rsid w:val="60F577B3"/>
    <w:rsid w:val="6109083B"/>
    <w:rsid w:val="610B1CCC"/>
    <w:rsid w:val="61393622"/>
    <w:rsid w:val="6145757D"/>
    <w:rsid w:val="615255E9"/>
    <w:rsid w:val="616F4541"/>
    <w:rsid w:val="617870FC"/>
    <w:rsid w:val="617A0482"/>
    <w:rsid w:val="617D722B"/>
    <w:rsid w:val="618A1273"/>
    <w:rsid w:val="61A522FB"/>
    <w:rsid w:val="61A74ACB"/>
    <w:rsid w:val="61AD23CA"/>
    <w:rsid w:val="61BE4D01"/>
    <w:rsid w:val="61C70C33"/>
    <w:rsid w:val="61CB3AC4"/>
    <w:rsid w:val="61D06F04"/>
    <w:rsid w:val="61D86473"/>
    <w:rsid w:val="61E95AEE"/>
    <w:rsid w:val="62105165"/>
    <w:rsid w:val="621E16E6"/>
    <w:rsid w:val="62374F06"/>
    <w:rsid w:val="623E0C42"/>
    <w:rsid w:val="624249BE"/>
    <w:rsid w:val="624F24D3"/>
    <w:rsid w:val="62500210"/>
    <w:rsid w:val="625E7E4C"/>
    <w:rsid w:val="626731BA"/>
    <w:rsid w:val="627469BC"/>
    <w:rsid w:val="6275159F"/>
    <w:rsid w:val="627912B7"/>
    <w:rsid w:val="627D2634"/>
    <w:rsid w:val="627E03E7"/>
    <w:rsid w:val="62872DF6"/>
    <w:rsid w:val="628747CA"/>
    <w:rsid w:val="62A937FC"/>
    <w:rsid w:val="62BC5532"/>
    <w:rsid w:val="62C17245"/>
    <w:rsid w:val="62D270E8"/>
    <w:rsid w:val="630C3DD6"/>
    <w:rsid w:val="6318060D"/>
    <w:rsid w:val="63195A9B"/>
    <w:rsid w:val="631C64F7"/>
    <w:rsid w:val="632610AA"/>
    <w:rsid w:val="63310F5B"/>
    <w:rsid w:val="6332434D"/>
    <w:rsid w:val="634111CC"/>
    <w:rsid w:val="634673F6"/>
    <w:rsid w:val="634A0086"/>
    <w:rsid w:val="634D7364"/>
    <w:rsid w:val="6356205F"/>
    <w:rsid w:val="635761B8"/>
    <w:rsid w:val="636955E1"/>
    <w:rsid w:val="63707614"/>
    <w:rsid w:val="637F7764"/>
    <w:rsid w:val="63AA5BCD"/>
    <w:rsid w:val="63B54FE7"/>
    <w:rsid w:val="63B60606"/>
    <w:rsid w:val="63B825A7"/>
    <w:rsid w:val="63B870B2"/>
    <w:rsid w:val="63B91618"/>
    <w:rsid w:val="63BB0A19"/>
    <w:rsid w:val="63C13D74"/>
    <w:rsid w:val="63C67081"/>
    <w:rsid w:val="63D95678"/>
    <w:rsid w:val="63E40459"/>
    <w:rsid w:val="63FF29F0"/>
    <w:rsid w:val="641A66DF"/>
    <w:rsid w:val="64241FE4"/>
    <w:rsid w:val="642869E0"/>
    <w:rsid w:val="643B11D3"/>
    <w:rsid w:val="643E5DC3"/>
    <w:rsid w:val="643F377B"/>
    <w:rsid w:val="6442403B"/>
    <w:rsid w:val="644E14F7"/>
    <w:rsid w:val="64552298"/>
    <w:rsid w:val="6468651B"/>
    <w:rsid w:val="646F37E0"/>
    <w:rsid w:val="6486184B"/>
    <w:rsid w:val="64892002"/>
    <w:rsid w:val="648F3CAD"/>
    <w:rsid w:val="64927CE6"/>
    <w:rsid w:val="64977EA4"/>
    <w:rsid w:val="649D478A"/>
    <w:rsid w:val="64B548D4"/>
    <w:rsid w:val="64C14114"/>
    <w:rsid w:val="64CC56A2"/>
    <w:rsid w:val="64D1206A"/>
    <w:rsid w:val="64DD4756"/>
    <w:rsid w:val="64E8763B"/>
    <w:rsid w:val="64F756B1"/>
    <w:rsid w:val="64FB3D14"/>
    <w:rsid w:val="6512562C"/>
    <w:rsid w:val="651B44F8"/>
    <w:rsid w:val="651D4C82"/>
    <w:rsid w:val="6531283C"/>
    <w:rsid w:val="6552050C"/>
    <w:rsid w:val="65583666"/>
    <w:rsid w:val="656E225B"/>
    <w:rsid w:val="65763E62"/>
    <w:rsid w:val="65771612"/>
    <w:rsid w:val="65904ED2"/>
    <w:rsid w:val="65922D95"/>
    <w:rsid w:val="659E060E"/>
    <w:rsid w:val="65A57F5B"/>
    <w:rsid w:val="65AD0FFB"/>
    <w:rsid w:val="65B977A2"/>
    <w:rsid w:val="65BA4485"/>
    <w:rsid w:val="65C86202"/>
    <w:rsid w:val="65C92683"/>
    <w:rsid w:val="65D57EDD"/>
    <w:rsid w:val="65DA1AC7"/>
    <w:rsid w:val="65ED392D"/>
    <w:rsid w:val="65F84A3B"/>
    <w:rsid w:val="66082F40"/>
    <w:rsid w:val="660D6D9C"/>
    <w:rsid w:val="660E20C2"/>
    <w:rsid w:val="660E74A3"/>
    <w:rsid w:val="66137988"/>
    <w:rsid w:val="661C0FBE"/>
    <w:rsid w:val="661C6885"/>
    <w:rsid w:val="662A0E4B"/>
    <w:rsid w:val="66422FC3"/>
    <w:rsid w:val="664F5B89"/>
    <w:rsid w:val="6652496E"/>
    <w:rsid w:val="666E380E"/>
    <w:rsid w:val="66721FAE"/>
    <w:rsid w:val="667710B9"/>
    <w:rsid w:val="66927856"/>
    <w:rsid w:val="66985DA5"/>
    <w:rsid w:val="66987994"/>
    <w:rsid w:val="66A348DB"/>
    <w:rsid w:val="66A65F76"/>
    <w:rsid w:val="66A74D61"/>
    <w:rsid w:val="66AB4831"/>
    <w:rsid w:val="66BF0915"/>
    <w:rsid w:val="66C05E8E"/>
    <w:rsid w:val="66C26FD1"/>
    <w:rsid w:val="66CD6FD0"/>
    <w:rsid w:val="66D2458C"/>
    <w:rsid w:val="66E7164D"/>
    <w:rsid w:val="66ED6A19"/>
    <w:rsid w:val="66ED7191"/>
    <w:rsid w:val="671A0889"/>
    <w:rsid w:val="67224B8A"/>
    <w:rsid w:val="67255F61"/>
    <w:rsid w:val="67302813"/>
    <w:rsid w:val="67437BF0"/>
    <w:rsid w:val="67450E1A"/>
    <w:rsid w:val="674D0098"/>
    <w:rsid w:val="67503C7A"/>
    <w:rsid w:val="67546D69"/>
    <w:rsid w:val="67556074"/>
    <w:rsid w:val="675A37C0"/>
    <w:rsid w:val="675D68E0"/>
    <w:rsid w:val="67601D92"/>
    <w:rsid w:val="6765537C"/>
    <w:rsid w:val="676D4080"/>
    <w:rsid w:val="677567BE"/>
    <w:rsid w:val="67823E2F"/>
    <w:rsid w:val="678546C3"/>
    <w:rsid w:val="678C40C0"/>
    <w:rsid w:val="678F7B58"/>
    <w:rsid w:val="6790670A"/>
    <w:rsid w:val="679A467A"/>
    <w:rsid w:val="67A036E1"/>
    <w:rsid w:val="67AE2D81"/>
    <w:rsid w:val="67B204C4"/>
    <w:rsid w:val="67B34250"/>
    <w:rsid w:val="67C14DC4"/>
    <w:rsid w:val="67C23318"/>
    <w:rsid w:val="67C72A6F"/>
    <w:rsid w:val="67CC0884"/>
    <w:rsid w:val="67D74D4E"/>
    <w:rsid w:val="67E43223"/>
    <w:rsid w:val="67E65EC6"/>
    <w:rsid w:val="67EA69D4"/>
    <w:rsid w:val="67F4133F"/>
    <w:rsid w:val="67F67B8E"/>
    <w:rsid w:val="67FA401B"/>
    <w:rsid w:val="67FF5491"/>
    <w:rsid w:val="680C0EEC"/>
    <w:rsid w:val="681D77EE"/>
    <w:rsid w:val="68264A44"/>
    <w:rsid w:val="68386905"/>
    <w:rsid w:val="684227E5"/>
    <w:rsid w:val="68434803"/>
    <w:rsid w:val="6852451D"/>
    <w:rsid w:val="68595433"/>
    <w:rsid w:val="68663FB4"/>
    <w:rsid w:val="686C35A0"/>
    <w:rsid w:val="687037F4"/>
    <w:rsid w:val="6872592B"/>
    <w:rsid w:val="6887746A"/>
    <w:rsid w:val="688A0342"/>
    <w:rsid w:val="68995D70"/>
    <w:rsid w:val="68A038F2"/>
    <w:rsid w:val="68A60111"/>
    <w:rsid w:val="68AB7B2E"/>
    <w:rsid w:val="68B24607"/>
    <w:rsid w:val="68B3534C"/>
    <w:rsid w:val="68C224E3"/>
    <w:rsid w:val="68CE6183"/>
    <w:rsid w:val="68DF0B2F"/>
    <w:rsid w:val="68DF4086"/>
    <w:rsid w:val="68E155B9"/>
    <w:rsid w:val="68F22CB4"/>
    <w:rsid w:val="69042532"/>
    <w:rsid w:val="69123269"/>
    <w:rsid w:val="69221B3E"/>
    <w:rsid w:val="69372AB2"/>
    <w:rsid w:val="69374ECA"/>
    <w:rsid w:val="693D67A9"/>
    <w:rsid w:val="694153BD"/>
    <w:rsid w:val="696E7767"/>
    <w:rsid w:val="697A0150"/>
    <w:rsid w:val="699303C6"/>
    <w:rsid w:val="69A60CF3"/>
    <w:rsid w:val="69A71A01"/>
    <w:rsid w:val="69AC0667"/>
    <w:rsid w:val="69BA0BDC"/>
    <w:rsid w:val="69C75E65"/>
    <w:rsid w:val="69C86400"/>
    <w:rsid w:val="69CD2782"/>
    <w:rsid w:val="69CD2DDC"/>
    <w:rsid w:val="69D178BA"/>
    <w:rsid w:val="69D80F0D"/>
    <w:rsid w:val="69DE0087"/>
    <w:rsid w:val="69DE389D"/>
    <w:rsid w:val="69F80FD2"/>
    <w:rsid w:val="6A097306"/>
    <w:rsid w:val="6A0F2A90"/>
    <w:rsid w:val="6A1225BF"/>
    <w:rsid w:val="6A1A4220"/>
    <w:rsid w:val="6A1F6255"/>
    <w:rsid w:val="6A262859"/>
    <w:rsid w:val="6A2676EA"/>
    <w:rsid w:val="6A2B2B7B"/>
    <w:rsid w:val="6A360DB8"/>
    <w:rsid w:val="6A3C6988"/>
    <w:rsid w:val="6A4E73C5"/>
    <w:rsid w:val="6A4F1A15"/>
    <w:rsid w:val="6A4F55D9"/>
    <w:rsid w:val="6A5331DD"/>
    <w:rsid w:val="6A593FAD"/>
    <w:rsid w:val="6A6A6C73"/>
    <w:rsid w:val="6A6E7381"/>
    <w:rsid w:val="6A7E0FA9"/>
    <w:rsid w:val="6A954E22"/>
    <w:rsid w:val="6A970EFA"/>
    <w:rsid w:val="6A9D3655"/>
    <w:rsid w:val="6AA128AB"/>
    <w:rsid w:val="6AA207A6"/>
    <w:rsid w:val="6AA41956"/>
    <w:rsid w:val="6AA41A1E"/>
    <w:rsid w:val="6AA8630D"/>
    <w:rsid w:val="6AAB13DB"/>
    <w:rsid w:val="6AAC1FB2"/>
    <w:rsid w:val="6AC01CA9"/>
    <w:rsid w:val="6AC408FE"/>
    <w:rsid w:val="6AC7172E"/>
    <w:rsid w:val="6AD62244"/>
    <w:rsid w:val="6ADF1E37"/>
    <w:rsid w:val="6AE23D6F"/>
    <w:rsid w:val="6AE82E23"/>
    <w:rsid w:val="6AEC1E81"/>
    <w:rsid w:val="6AF46E33"/>
    <w:rsid w:val="6AF97AF0"/>
    <w:rsid w:val="6B037DE6"/>
    <w:rsid w:val="6B095E91"/>
    <w:rsid w:val="6B0B578F"/>
    <w:rsid w:val="6B0F020C"/>
    <w:rsid w:val="6B20077E"/>
    <w:rsid w:val="6B243E07"/>
    <w:rsid w:val="6B2665CE"/>
    <w:rsid w:val="6B302016"/>
    <w:rsid w:val="6B3050CD"/>
    <w:rsid w:val="6B3519E2"/>
    <w:rsid w:val="6B395FA5"/>
    <w:rsid w:val="6B4B2997"/>
    <w:rsid w:val="6B5035DE"/>
    <w:rsid w:val="6B5E2682"/>
    <w:rsid w:val="6B600F53"/>
    <w:rsid w:val="6B603CE0"/>
    <w:rsid w:val="6B765953"/>
    <w:rsid w:val="6B797532"/>
    <w:rsid w:val="6B8B2127"/>
    <w:rsid w:val="6B8F1F90"/>
    <w:rsid w:val="6B92122F"/>
    <w:rsid w:val="6B946967"/>
    <w:rsid w:val="6BA27696"/>
    <w:rsid w:val="6BA63F35"/>
    <w:rsid w:val="6BB96B73"/>
    <w:rsid w:val="6BCA72EF"/>
    <w:rsid w:val="6BD645C3"/>
    <w:rsid w:val="6BE4268A"/>
    <w:rsid w:val="6C095CB4"/>
    <w:rsid w:val="6C096FF1"/>
    <w:rsid w:val="6C0A1516"/>
    <w:rsid w:val="6C0A1E0D"/>
    <w:rsid w:val="6C2C7908"/>
    <w:rsid w:val="6C3039DD"/>
    <w:rsid w:val="6C4E7BC8"/>
    <w:rsid w:val="6C574E8D"/>
    <w:rsid w:val="6C5B19D8"/>
    <w:rsid w:val="6C5C5BD7"/>
    <w:rsid w:val="6C5F64C9"/>
    <w:rsid w:val="6C665E00"/>
    <w:rsid w:val="6C85799E"/>
    <w:rsid w:val="6C8B02B2"/>
    <w:rsid w:val="6C937C50"/>
    <w:rsid w:val="6C9F5B5E"/>
    <w:rsid w:val="6CAE4A87"/>
    <w:rsid w:val="6CB32DC1"/>
    <w:rsid w:val="6CB9403D"/>
    <w:rsid w:val="6CBB4A06"/>
    <w:rsid w:val="6CBD0FA8"/>
    <w:rsid w:val="6CC74D4C"/>
    <w:rsid w:val="6CCD1A2C"/>
    <w:rsid w:val="6CDC74B4"/>
    <w:rsid w:val="6CDF40DF"/>
    <w:rsid w:val="6CE74DF5"/>
    <w:rsid w:val="6CE82457"/>
    <w:rsid w:val="6D032F70"/>
    <w:rsid w:val="6D087710"/>
    <w:rsid w:val="6D0B08CC"/>
    <w:rsid w:val="6D0D2C2F"/>
    <w:rsid w:val="6D1458A7"/>
    <w:rsid w:val="6D1B2988"/>
    <w:rsid w:val="6D2A0D61"/>
    <w:rsid w:val="6D2F2E2B"/>
    <w:rsid w:val="6D4041A5"/>
    <w:rsid w:val="6D446E36"/>
    <w:rsid w:val="6D4D3485"/>
    <w:rsid w:val="6D617272"/>
    <w:rsid w:val="6D76533D"/>
    <w:rsid w:val="6D774F15"/>
    <w:rsid w:val="6D7E2B84"/>
    <w:rsid w:val="6D8B0684"/>
    <w:rsid w:val="6D8B0AC9"/>
    <w:rsid w:val="6D9E4262"/>
    <w:rsid w:val="6DB76F1E"/>
    <w:rsid w:val="6DBB3293"/>
    <w:rsid w:val="6DEC6B69"/>
    <w:rsid w:val="6DEF7133"/>
    <w:rsid w:val="6DF11B55"/>
    <w:rsid w:val="6DF92996"/>
    <w:rsid w:val="6E027BA4"/>
    <w:rsid w:val="6E1456C3"/>
    <w:rsid w:val="6E17097D"/>
    <w:rsid w:val="6E1A4DE4"/>
    <w:rsid w:val="6E364FE1"/>
    <w:rsid w:val="6E4C7288"/>
    <w:rsid w:val="6E583C96"/>
    <w:rsid w:val="6E6C45F5"/>
    <w:rsid w:val="6E765F7D"/>
    <w:rsid w:val="6E7C322E"/>
    <w:rsid w:val="6E81394E"/>
    <w:rsid w:val="6E8C6852"/>
    <w:rsid w:val="6E93709F"/>
    <w:rsid w:val="6E96383F"/>
    <w:rsid w:val="6E9C7446"/>
    <w:rsid w:val="6EA2609F"/>
    <w:rsid w:val="6EA269D0"/>
    <w:rsid w:val="6EB63A8C"/>
    <w:rsid w:val="6EB86264"/>
    <w:rsid w:val="6EC93890"/>
    <w:rsid w:val="6ECB4E9A"/>
    <w:rsid w:val="6ED01B2F"/>
    <w:rsid w:val="6ED90BD7"/>
    <w:rsid w:val="6ED92276"/>
    <w:rsid w:val="6EDB3690"/>
    <w:rsid w:val="6EDC704F"/>
    <w:rsid w:val="6EDD63A1"/>
    <w:rsid w:val="6EDD7CBA"/>
    <w:rsid w:val="6EE25C39"/>
    <w:rsid w:val="6EF81F37"/>
    <w:rsid w:val="6F02283D"/>
    <w:rsid w:val="6F0637D9"/>
    <w:rsid w:val="6F0A7FF1"/>
    <w:rsid w:val="6F0F5E68"/>
    <w:rsid w:val="6F115264"/>
    <w:rsid w:val="6F18583D"/>
    <w:rsid w:val="6F1F2DF0"/>
    <w:rsid w:val="6F273A90"/>
    <w:rsid w:val="6F38111A"/>
    <w:rsid w:val="6F47777E"/>
    <w:rsid w:val="6F5705FC"/>
    <w:rsid w:val="6F595838"/>
    <w:rsid w:val="6F5E3C44"/>
    <w:rsid w:val="6F6E3846"/>
    <w:rsid w:val="6F7048ED"/>
    <w:rsid w:val="6F805B7A"/>
    <w:rsid w:val="6F8E178A"/>
    <w:rsid w:val="6F921CE8"/>
    <w:rsid w:val="6F954F09"/>
    <w:rsid w:val="6F9A4EDB"/>
    <w:rsid w:val="6FA24292"/>
    <w:rsid w:val="6FAA322D"/>
    <w:rsid w:val="6FBB7E91"/>
    <w:rsid w:val="6FBE3A2F"/>
    <w:rsid w:val="6FC24260"/>
    <w:rsid w:val="6FCD36D6"/>
    <w:rsid w:val="6FCE6CF1"/>
    <w:rsid w:val="6FD0164A"/>
    <w:rsid w:val="6FD24E69"/>
    <w:rsid w:val="6FD50F61"/>
    <w:rsid w:val="6FD54E96"/>
    <w:rsid w:val="6FD92D8D"/>
    <w:rsid w:val="6FDB3945"/>
    <w:rsid w:val="6FE43EB0"/>
    <w:rsid w:val="6FE839AB"/>
    <w:rsid w:val="6FFC5584"/>
    <w:rsid w:val="70091447"/>
    <w:rsid w:val="70147F80"/>
    <w:rsid w:val="701A54AC"/>
    <w:rsid w:val="701D01C7"/>
    <w:rsid w:val="70283038"/>
    <w:rsid w:val="703005C2"/>
    <w:rsid w:val="70347C36"/>
    <w:rsid w:val="70460EB4"/>
    <w:rsid w:val="704773A1"/>
    <w:rsid w:val="704957D4"/>
    <w:rsid w:val="704C4ED2"/>
    <w:rsid w:val="704E08DA"/>
    <w:rsid w:val="705063FE"/>
    <w:rsid w:val="70560562"/>
    <w:rsid w:val="705E430F"/>
    <w:rsid w:val="706423B6"/>
    <w:rsid w:val="706C2D0B"/>
    <w:rsid w:val="706D67EA"/>
    <w:rsid w:val="70795446"/>
    <w:rsid w:val="70824385"/>
    <w:rsid w:val="709B2A9D"/>
    <w:rsid w:val="70A44FA9"/>
    <w:rsid w:val="70AF0E1F"/>
    <w:rsid w:val="70B77790"/>
    <w:rsid w:val="70C56E5A"/>
    <w:rsid w:val="70C8605D"/>
    <w:rsid w:val="70CC566D"/>
    <w:rsid w:val="70CE7A62"/>
    <w:rsid w:val="70D65870"/>
    <w:rsid w:val="70EB6A28"/>
    <w:rsid w:val="70F3750E"/>
    <w:rsid w:val="70FB7449"/>
    <w:rsid w:val="70FC221E"/>
    <w:rsid w:val="71034200"/>
    <w:rsid w:val="710870BC"/>
    <w:rsid w:val="710E5D2F"/>
    <w:rsid w:val="71205240"/>
    <w:rsid w:val="7138203C"/>
    <w:rsid w:val="713A4B70"/>
    <w:rsid w:val="713D631F"/>
    <w:rsid w:val="714514B5"/>
    <w:rsid w:val="714F09F6"/>
    <w:rsid w:val="715E70B1"/>
    <w:rsid w:val="71637135"/>
    <w:rsid w:val="716444AB"/>
    <w:rsid w:val="71713F3E"/>
    <w:rsid w:val="718B45D2"/>
    <w:rsid w:val="719C12D7"/>
    <w:rsid w:val="719F0DCB"/>
    <w:rsid w:val="71A8006A"/>
    <w:rsid w:val="71AB293B"/>
    <w:rsid w:val="71AF339E"/>
    <w:rsid w:val="71B53FDD"/>
    <w:rsid w:val="71B966AB"/>
    <w:rsid w:val="71BD3770"/>
    <w:rsid w:val="71CB674B"/>
    <w:rsid w:val="71ED5440"/>
    <w:rsid w:val="71F10183"/>
    <w:rsid w:val="72007615"/>
    <w:rsid w:val="72071572"/>
    <w:rsid w:val="7207306E"/>
    <w:rsid w:val="72102180"/>
    <w:rsid w:val="72106582"/>
    <w:rsid w:val="72185205"/>
    <w:rsid w:val="722A53C9"/>
    <w:rsid w:val="723A7F78"/>
    <w:rsid w:val="72574AF0"/>
    <w:rsid w:val="725825B0"/>
    <w:rsid w:val="7261536A"/>
    <w:rsid w:val="727C65CC"/>
    <w:rsid w:val="728D2A9F"/>
    <w:rsid w:val="7299052A"/>
    <w:rsid w:val="729C6CFE"/>
    <w:rsid w:val="72AC2EF3"/>
    <w:rsid w:val="72B31998"/>
    <w:rsid w:val="72B31B1B"/>
    <w:rsid w:val="72BD4F43"/>
    <w:rsid w:val="72BE4DEB"/>
    <w:rsid w:val="72C0784A"/>
    <w:rsid w:val="72CF194A"/>
    <w:rsid w:val="72D21F8E"/>
    <w:rsid w:val="72DC43B0"/>
    <w:rsid w:val="72E04B56"/>
    <w:rsid w:val="72E47598"/>
    <w:rsid w:val="72F024A7"/>
    <w:rsid w:val="72F66C2E"/>
    <w:rsid w:val="72FB3A37"/>
    <w:rsid w:val="73001819"/>
    <w:rsid w:val="73043C04"/>
    <w:rsid w:val="730918B1"/>
    <w:rsid w:val="73175677"/>
    <w:rsid w:val="73252557"/>
    <w:rsid w:val="7336009C"/>
    <w:rsid w:val="733D1624"/>
    <w:rsid w:val="734F3A63"/>
    <w:rsid w:val="73544476"/>
    <w:rsid w:val="73585122"/>
    <w:rsid w:val="7358775E"/>
    <w:rsid w:val="73756010"/>
    <w:rsid w:val="7376485B"/>
    <w:rsid w:val="737A789D"/>
    <w:rsid w:val="738035AF"/>
    <w:rsid w:val="73A32FCC"/>
    <w:rsid w:val="73AF74CB"/>
    <w:rsid w:val="73B358F6"/>
    <w:rsid w:val="73BA4077"/>
    <w:rsid w:val="73C85E19"/>
    <w:rsid w:val="73C9050F"/>
    <w:rsid w:val="73CB0C82"/>
    <w:rsid w:val="73D81E31"/>
    <w:rsid w:val="73DA11F5"/>
    <w:rsid w:val="73E0412F"/>
    <w:rsid w:val="73E27E5A"/>
    <w:rsid w:val="73F32304"/>
    <w:rsid w:val="73F34735"/>
    <w:rsid w:val="73F71A72"/>
    <w:rsid w:val="74145000"/>
    <w:rsid w:val="74155D13"/>
    <w:rsid w:val="741A2688"/>
    <w:rsid w:val="741C3865"/>
    <w:rsid w:val="74496408"/>
    <w:rsid w:val="744D17B4"/>
    <w:rsid w:val="744D7724"/>
    <w:rsid w:val="74556A1F"/>
    <w:rsid w:val="746749C6"/>
    <w:rsid w:val="7475018B"/>
    <w:rsid w:val="748712BE"/>
    <w:rsid w:val="748B3BA6"/>
    <w:rsid w:val="74A62AF8"/>
    <w:rsid w:val="74AB52BF"/>
    <w:rsid w:val="74AF457D"/>
    <w:rsid w:val="74D261E6"/>
    <w:rsid w:val="74D31A39"/>
    <w:rsid w:val="74DD3A4E"/>
    <w:rsid w:val="74E61D1C"/>
    <w:rsid w:val="74F47137"/>
    <w:rsid w:val="74FA2CDD"/>
    <w:rsid w:val="74FD4C47"/>
    <w:rsid w:val="75087EDD"/>
    <w:rsid w:val="750E55B9"/>
    <w:rsid w:val="75256042"/>
    <w:rsid w:val="752C61A9"/>
    <w:rsid w:val="75366B46"/>
    <w:rsid w:val="755B7D7E"/>
    <w:rsid w:val="756F185B"/>
    <w:rsid w:val="75734628"/>
    <w:rsid w:val="757479DF"/>
    <w:rsid w:val="757F7B40"/>
    <w:rsid w:val="758B325F"/>
    <w:rsid w:val="759030A5"/>
    <w:rsid w:val="759171A9"/>
    <w:rsid w:val="75972883"/>
    <w:rsid w:val="75A0095F"/>
    <w:rsid w:val="75A103A4"/>
    <w:rsid w:val="75A708C9"/>
    <w:rsid w:val="75AB1D90"/>
    <w:rsid w:val="75BE5346"/>
    <w:rsid w:val="75BF1320"/>
    <w:rsid w:val="75C353E3"/>
    <w:rsid w:val="75C829C3"/>
    <w:rsid w:val="75CD59E6"/>
    <w:rsid w:val="75E43317"/>
    <w:rsid w:val="75EF3824"/>
    <w:rsid w:val="75FB12E0"/>
    <w:rsid w:val="75FF1C54"/>
    <w:rsid w:val="763136E4"/>
    <w:rsid w:val="76382468"/>
    <w:rsid w:val="764C01D0"/>
    <w:rsid w:val="76501B3D"/>
    <w:rsid w:val="76503CFB"/>
    <w:rsid w:val="7655072B"/>
    <w:rsid w:val="766036F6"/>
    <w:rsid w:val="766453BD"/>
    <w:rsid w:val="76695331"/>
    <w:rsid w:val="766C17ED"/>
    <w:rsid w:val="76797230"/>
    <w:rsid w:val="769706C9"/>
    <w:rsid w:val="76A8416B"/>
    <w:rsid w:val="76B661E7"/>
    <w:rsid w:val="76CB51D6"/>
    <w:rsid w:val="76F066AA"/>
    <w:rsid w:val="76F34329"/>
    <w:rsid w:val="76F452A1"/>
    <w:rsid w:val="76F9022F"/>
    <w:rsid w:val="76FF2F1E"/>
    <w:rsid w:val="77082B4F"/>
    <w:rsid w:val="770B0BBB"/>
    <w:rsid w:val="770B1158"/>
    <w:rsid w:val="770D6CDF"/>
    <w:rsid w:val="7722019C"/>
    <w:rsid w:val="772A19D1"/>
    <w:rsid w:val="775B6B1C"/>
    <w:rsid w:val="775C14E6"/>
    <w:rsid w:val="77743A3F"/>
    <w:rsid w:val="777660FB"/>
    <w:rsid w:val="77827031"/>
    <w:rsid w:val="77853EB4"/>
    <w:rsid w:val="778F2B05"/>
    <w:rsid w:val="77956E61"/>
    <w:rsid w:val="77A776E3"/>
    <w:rsid w:val="77AB2F6C"/>
    <w:rsid w:val="77C95368"/>
    <w:rsid w:val="77D10BCD"/>
    <w:rsid w:val="77D72A16"/>
    <w:rsid w:val="77DE2A87"/>
    <w:rsid w:val="77DE40C5"/>
    <w:rsid w:val="77E81FF3"/>
    <w:rsid w:val="77EC5412"/>
    <w:rsid w:val="77ED76DD"/>
    <w:rsid w:val="77EE3ECD"/>
    <w:rsid w:val="7804568C"/>
    <w:rsid w:val="781349B7"/>
    <w:rsid w:val="78175345"/>
    <w:rsid w:val="781C1727"/>
    <w:rsid w:val="782275DE"/>
    <w:rsid w:val="782B755D"/>
    <w:rsid w:val="783E713C"/>
    <w:rsid w:val="78415620"/>
    <w:rsid w:val="784F5722"/>
    <w:rsid w:val="784F6D12"/>
    <w:rsid w:val="78500C84"/>
    <w:rsid w:val="78602E1D"/>
    <w:rsid w:val="786771E1"/>
    <w:rsid w:val="787221E7"/>
    <w:rsid w:val="78760D4D"/>
    <w:rsid w:val="787C060D"/>
    <w:rsid w:val="788565F9"/>
    <w:rsid w:val="788A6FAE"/>
    <w:rsid w:val="78912B58"/>
    <w:rsid w:val="789971B6"/>
    <w:rsid w:val="789B59BC"/>
    <w:rsid w:val="78A16413"/>
    <w:rsid w:val="78A72B40"/>
    <w:rsid w:val="78A90A06"/>
    <w:rsid w:val="78AE4042"/>
    <w:rsid w:val="78B21A34"/>
    <w:rsid w:val="78B73D04"/>
    <w:rsid w:val="78B87E77"/>
    <w:rsid w:val="78B95BF5"/>
    <w:rsid w:val="78BE2727"/>
    <w:rsid w:val="78C40CCB"/>
    <w:rsid w:val="78C54625"/>
    <w:rsid w:val="78C67B1C"/>
    <w:rsid w:val="78C80D62"/>
    <w:rsid w:val="78D97B65"/>
    <w:rsid w:val="78E36DAD"/>
    <w:rsid w:val="78FF6E0C"/>
    <w:rsid w:val="791E7E98"/>
    <w:rsid w:val="792962A0"/>
    <w:rsid w:val="79345136"/>
    <w:rsid w:val="7944774E"/>
    <w:rsid w:val="795A069A"/>
    <w:rsid w:val="795E44A7"/>
    <w:rsid w:val="796F04E5"/>
    <w:rsid w:val="79734430"/>
    <w:rsid w:val="797F77E9"/>
    <w:rsid w:val="798718B5"/>
    <w:rsid w:val="798C4038"/>
    <w:rsid w:val="79984D20"/>
    <w:rsid w:val="79A0269B"/>
    <w:rsid w:val="79A53F04"/>
    <w:rsid w:val="79B13D07"/>
    <w:rsid w:val="79B5491B"/>
    <w:rsid w:val="79BD5F57"/>
    <w:rsid w:val="79C64546"/>
    <w:rsid w:val="79CB5CFD"/>
    <w:rsid w:val="79CD2677"/>
    <w:rsid w:val="79D15C2F"/>
    <w:rsid w:val="79DA0D9B"/>
    <w:rsid w:val="79EE7761"/>
    <w:rsid w:val="79EF0AE3"/>
    <w:rsid w:val="79EF360C"/>
    <w:rsid w:val="79F17412"/>
    <w:rsid w:val="79F256B8"/>
    <w:rsid w:val="79F67A83"/>
    <w:rsid w:val="79FA5BAF"/>
    <w:rsid w:val="7A170043"/>
    <w:rsid w:val="7A1D4079"/>
    <w:rsid w:val="7A1E3AE7"/>
    <w:rsid w:val="7A1F0F5C"/>
    <w:rsid w:val="7A29510C"/>
    <w:rsid w:val="7A3304A7"/>
    <w:rsid w:val="7A35051B"/>
    <w:rsid w:val="7A376DFE"/>
    <w:rsid w:val="7A3A5A65"/>
    <w:rsid w:val="7A3C5920"/>
    <w:rsid w:val="7A442C1F"/>
    <w:rsid w:val="7A4A1BA8"/>
    <w:rsid w:val="7A6B4E9F"/>
    <w:rsid w:val="7A6D0311"/>
    <w:rsid w:val="7A6F3759"/>
    <w:rsid w:val="7A7218B5"/>
    <w:rsid w:val="7A765963"/>
    <w:rsid w:val="7A8D0FFE"/>
    <w:rsid w:val="7A9B445C"/>
    <w:rsid w:val="7AA0198A"/>
    <w:rsid w:val="7AA747BC"/>
    <w:rsid w:val="7ABC170B"/>
    <w:rsid w:val="7AC13EAA"/>
    <w:rsid w:val="7AC869CB"/>
    <w:rsid w:val="7ACC5667"/>
    <w:rsid w:val="7AE6775E"/>
    <w:rsid w:val="7AE76AC5"/>
    <w:rsid w:val="7AF61B9E"/>
    <w:rsid w:val="7AF81791"/>
    <w:rsid w:val="7B1F4D2A"/>
    <w:rsid w:val="7B271E8E"/>
    <w:rsid w:val="7B393978"/>
    <w:rsid w:val="7B394BD2"/>
    <w:rsid w:val="7B401F06"/>
    <w:rsid w:val="7B4A111F"/>
    <w:rsid w:val="7B5A7031"/>
    <w:rsid w:val="7B6016CD"/>
    <w:rsid w:val="7B677757"/>
    <w:rsid w:val="7B7661A4"/>
    <w:rsid w:val="7B795CF6"/>
    <w:rsid w:val="7B827C7F"/>
    <w:rsid w:val="7B9020DD"/>
    <w:rsid w:val="7B964876"/>
    <w:rsid w:val="7B9D193A"/>
    <w:rsid w:val="7BA67464"/>
    <w:rsid w:val="7BAC6620"/>
    <w:rsid w:val="7BB269E6"/>
    <w:rsid w:val="7BB664A5"/>
    <w:rsid w:val="7BB747C3"/>
    <w:rsid w:val="7BB76117"/>
    <w:rsid w:val="7BC91DA2"/>
    <w:rsid w:val="7BCA174E"/>
    <w:rsid w:val="7BDF30EE"/>
    <w:rsid w:val="7BE31F4B"/>
    <w:rsid w:val="7BE51CA0"/>
    <w:rsid w:val="7BF6352D"/>
    <w:rsid w:val="7C0867FE"/>
    <w:rsid w:val="7C1B4484"/>
    <w:rsid w:val="7C1D66F2"/>
    <w:rsid w:val="7C2E7844"/>
    <w:rsid w:val="7C2E7ED1"/>
    <w:rsid w:val="7C3067BB"/>
    <w:rsid w:val="7C3C6A8A"/>
    <w:rsid w:val="7C4456B2"/>
    <w:rsid w:val="7C4C213B"/>
    <w:rsid w:val="7C4C466D"/>
    <w:rsid w:val="7C5657DE"/>
    <w:rsid w:val="7C5D35F0"/>
    <w:rsid w:val="7C6E043B"/>
    <w:rsid w:val="7C7307B8"/>
    <w:rsid w:val="7C767BA3"/>
    <w:rsid w:val="7C7724B2"/>
    <w:rsid w:val="7C7A02DE"/>
    <w:rsid w:val="7C7C2BC3"/>
    <w:rsid w:val="7C7F48B5"/>
    <w:rsid w:val="7C8F4539"/>
    <w:rsid w:val="7C9314B9"/>
    <w:rsid w:val="7C9F0D28"/>
    <w:rsid w:val="7CA4598B"/>
    <w:rsid w:val="7CBA01BA"/>
    <w:rsid w:val="7CCB3032"/>
    <w:rsid w:val="7CD647E6"/>
    <w:rsid w:val="7CD66DCC"/>
    <w:rsid w:val="7CED65A5"/>
    <w:rsid w:val="7CF0080A"/>
    <w:rsid w:val="7CFB2C31"/>
    <w:rsid w:val="7CFE7F6F"/>
    <w:rsid w:val="7D09189F"/>
    <w:rsid w:val="7D0D4261"/>
    <w:rsid w:val="7D101F85"/>
    <w:rsid w:val="7D1134D1"/>
    <w:rsid w:val="7D17595C"/>
    <w:rsid w:val="7D2B7F7B"/>
    <w:rsid w:val="7D3F0E86"/>
    <w:rsid w:val="7D4C62F7"/>
    <w:rsid w:val="7D4D7BBF"/>
    <w:rsid w:val="7D604310"/>
    <w:rsid w:val="7D6A1784"/>
    <w:rsid w:val="7D704E5D"/>
    <w:rsid w:val="7D760768"/>
    <w:rsid w:val="7D8C7566"/>
    <w:rsid w:val="7D9114D1"/>
    <w:rsid w:val="7DAA7303"/>
    <w:rsid w:val="7DB22210"/>
    <w:rsid w:val="7DC13B56"/>
    <w:rsid w:val="7DC24845"/>
    <w:rsid w:val="7DCA6599"/>
    <w:rsid w:val="7DCC294E"/>
    <w:rsid w:val="7DE15B44"/>
    <w:rsid w:val="7DE3118E"/>
    <w:rsid w:val="7DE519B3"/>
    <w:rsid w:val="7DF53128"/>
    <w:rsid w:val="7DFC7552"/>
    <w:rsid w:val="7E1917F1"/>
    <w:rsid w:val="7E2D4C1A"/>
    <w:rsid w:val="7E3152AB"/>
    <w:rsid w:val="7E3170E6"/>
    <w:rsid w:val="7E346870"/>
    <w:rsid w:val="7E424900"/>
    <w:rsid w:val="7E45395E"/>
    <w:rsid w:val="7E6C72CE"/>
    <w:rsid w:val="7E910D30"/>
    <w:rsid w:val="7E92235E"/>
    <w:rsid w:val="7EA40295"/>
    <w:rsid w:val="7EAF6A9E"/>
    <w:rsid w:val="7EB968A5"/>
    <w:rsid w:val="7EBC1E5A"/>
    <w:rsid w:val="7EBE18FF"/>
    <w:rsid w:val="7EC73CBD"/>
    <w:rsid w:val="7ECC37C0"/>
    <w:rsid w:val="7ED310A0"/>
    <w:rsid w:val="7ED5139D"/>
    <w:rsid w:val="7EE75DB1"/>
    <w:rsid w:val="7EE96330"/>
    <w:rsid w:val="7EF047DC"/>
    <w:rsid w:val="7EF34A95"/>
    <w:rsid w:val="7F025C9B"/>
    <w:rsid w:val="7F12044F"/>
    <w:rsid w:val="7F1F5413"/>
    <w:rsid w:val="7F1F542F"/>
    <w:rsid w:val="7F2E4DB5"/>
    <w:rsid w:val="7F442D36"/>
    <w:rsid w:val="7F5D1C39"/>
    <w:rsid w:val="7F6B1AE3"/>
    <w:rsid w:val="7F6C67FD"/>
    <w:rsid w:val="7F713505"/>
    <w:rsid w:val="7F7E0B58"/>
    <w:rsid w:val="7F7F357B"/>
    <w:rsid w:val="7F893BC2"/>
    <w:rsid w:val="7F8F503A"/>
    <w:rsid w:val="7F925F65"/>
    <w:rsid w:val="7FA06711"/>
    <w:rsid w:val="7FAA4092"/>
    <w:rsid w:val="7FAB7A6B"/>
    <w:rsid w:val="7FAC082B"/>
    <w:rsid w:val="7FAE074D"/>
    <w:rsid w:val="7FBF140F"/>
    <w:rsid w:val="7FD02BD8"/>
    <w:rsid w:val="7FD27010"/>
    <w:rsid w:val="7FDF5177"/>
    <w:rsid w:val="7FEF3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en-US" w:bidi="en-US"/>
    </w:rPr>
  </w:style>
  <w:style w:type="paragraph" w:styleId="3">
    <w:name w:val="heading 1"/>
    <w:basedOn w:val="1"/>
    <w:next w:val="1"/>
    <w:link w:val="52"/>
    <w:qFormat/>
    <w:uiPriority w:val="9"/>
    <w:pPr>
      <w:keepNext/>
      <w:spacing w:before="240" w:after="60"/>
      <w:outlineLvl w:val="0"/>
    </w:pPr>
    <w:rPr>
      <w:rFonts w:ascii="Cambria" w:hAnsi="Cambria"/>
      <w:b/>
      <w:bCs/>
      <w:kern w:val="32"/>
      <w:sz w:val="32"/>
      <w:szCs w:val="32"/>
      <w:lang w:val="zh-CN" w:eastAsia="zh-CN" w:bidi="ar-SA"/>
    </w:rPr>
  </w:style>
  <w:style w:type="paragraph" w:styleId="4">
    <w:name w:val="heading 2"/>
    <w:basedOn w:val="1"/>
    <w:next w:val="1"/>
    <w:link w:val="53"/>
    <w:qFormat/>
    <w:uiPriority w:val="9"/>
    <w:pPr>
      <w:keepNext/>
      <w:spacing w:before="240" w:after="60"/>
      <w:outlineLvl w:val="1"/>
    </w:pPr>
    <w:rPr>
      <w:rFonts w:ascii="Cambria" w:hAnsi="Cambria"/>
      <w:b/>
      <w:bCs/>
      <w:i/>
      <w:iCs/>
      <w:sz w:val="28"/>
      <w:szCs w:val="28"/>
      <w:lang w:val="zh-CN" w:eastAsia="zh-CN" w:bidi="ar-SA"/>
    </w:rPr>
  </w:style>
  <w:style w:type="paragraph" w:styleId="5">
    <w:name w:val="heading 3"/>
    <w:basedOn w:val="1"/>
    <w:next w:val="1"/>
    <w:link w:val="54"/>
    <w:qFormat/>
    <w:uiPriority w:val="9"/>
    <w:pPr>
      <w:keepNext/>
      <w:spacing w:before="240" w:after="60"/>
      <w:outlineLvl w:val="2"/>
    </w:pPr>
    <w:rPr>
      <w:rFonts w:ascii="Cambria" w:hAnsi="Cambria"/>
      <w:b/>
      <w:bCs/>
      <w:sz w:val="26"/>
      <w:szCs w:val="26"/>
      <w:lang w:val="zh-CN" w:eastAsia="zh-CN" w:bidi="ar-SA"/>
    </w:rPr>
  </w:style>
  <w:style w:type="paragraph" w:styleId="6">
    <w:name w:val="heading 4"/>
    <w:basedOn w:val="1"/>
    <w:next w:val="1"/>
    <w:link w:val="55"/>
    <w:qFormat/>
    <w:uiPriority w:val="9"/>
    <w:pPr>
      <w:keepNext/>
      <w:spacing w:before="240" w:after="60"/>
      <w:outlineLvl w:val="3"/>
    </w:pPr>
    <w:rPr>
      <w:b/>
      <w:bCs/>
      <w:sz w:val="28"/>
      <w:szCs w:val="28"/>
      <w:lang w:val="zh-CN" w:eastAsia="zh-CN" w:bidi="ar-SA"/>
    </w:rPr>
  </w:style>
  <w:style w:type="paragraph" w:styleId="7">
    <w:name w:val="heading 5"/>
    <w:basedOn w:val="1"/>
    <w:next w:val="1"/>
    <w:link w:val="56"/>
    <w:qFormat/>
    <w:uiPriority w:val="9"/>
    <w:pPr>
      <w:spacing w:before="240" w:after="60"/>
      <w:outlineLvl w:val="4"/>
    </w:pPr>
    <w:rPr>
      <w:b/>
      <w:bCs/>
      <w:i/>
      <w:iCs/>
      <w:sz w:val="26"/>
      <w:szCs w:val="26"/>
      <w:lang w:val="zh-CN" w:eastAsia="zh-CN" w:bidi="ar-SA"/>
    </w:rPr>
  </w:style>
  <w:style w:type="paragraph" w:styleId="8">
    <w:name w:val="heading 6"/>
    <w:basedOn w:val="1"/>
    <w:next w:val="1"/>
    <w:link w:val="57"/>
    <w:qFormat/>
    <w:uiPriority w:val="9"/>
    <w:pPr>
      <w:spacing w:before="240" w:after="60"/>
      <w:outlineLvl w:val="5"/>
    </w:pPr>
    <w:rPr>
      <w:b/>
      <w:bCs/>
      <w:sz w:val="20"/>
      <w:szCs w:val="20"/>
      <w:lang w:val="zh-CN" w:eastAsia="zh-CN" w:bidi="ar-SA"/>
    </w:rPr>
  </w:style>
  <w:style w:type="paragraph" w:styleId="9">
    <w:name w:val="heading 7"/>
    <w:basedOn w:val="1"/>
    <w:next w:val="1"/>
    <w:link w:val="58"/>
    <w:qFormat/>
    <w:uiPriority w:val="9"/>
    <w:pPr>
      <w:spacing w:before="240" w:after="60"/>
      <w:outlineLvl w:val="6"/>
    </w:pPr>
    <w:rPr>
      <w:lang w:val="zh-CN" w:eastAsia="zh-CN" w:bidi="ar-SA"/>
    </w:rPr>
  </w:style>
  <w:style w:type="paragraph" w:styleId="10">
    <w:name w:val="heading 8"/>
    <w:basedOn w:val="1"/>
    <w:next w:val="1"/>
    <w:link w:val="59"/>
    <w:qFormat/>
    <w:uiPriority w:val="9"/>
    <w:pPr>
      <w:spacing w:before="240" w:after="60"/>
      <w:outlineLvl w:val="7"/>
    </w:pPr>
    <w:rPr>
      <w:i/>
      <w:iCs/>
      <w:lang w:val="zh-CN" w:eastAsia="zh-CN" w:bidi="ar-SA"/>
    </w:rPr>
  </w:style>
  <w:style w:type="paragraph" w:styleId="11">
    <w:name w:val="heading 9"/>
    <w:basedOn w:val="1"/>
    <w:next w:val="1"/>
    <w:link w:val="60"/>
    <w:qFormat/>
    <w:uiPriority w:val="9"/>
    <w:pPr>
      <w:spacing w:before="240" w:after="60"/>
      <w:outlineLvl w:val="8"/>
    </w:pPr>
    <w:rPr>
      <w:rFonts w:ascii="Cambria" w:hAnsi="Cambria"/>
      <w:sz w:val="20"/>
      <w:szCs w:val="20"/>
      <w:lang w:val="zh-CN" w:eastAsia="zh-CN" w:bidi="ar-SA"/>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0"/>
    <w:semiHidden/>
    <w:qFormat/>
    <w:uiPriority w:val="99"/>
    <w:pPr>
      <w:spacing w:after="120"/>
    </w:pPr>
    <w:rPr>
      <w:lang w:val="zh-CN" w:eastAsia="zh-CN" w:bidi="ar-SA"/>
    </w:rPr>
  </w:style>
  <w:style w:type="paragraph" w:styleId="12">
    <w:name w:val="toc 7"/>
    <w:basedOn w:val="1"/>
    <w:next w:val="1"/>
    <w:qFormat/>
    <w:uiPriority w:val="39"/>
    <w:pPr>
      <w:ind w:left="1260"/>
    </w:pPr>
    <w:rPr>
      <w:sz w:val="18"/>
      <w:szCs w:val="18"/>
    </w:rPr>
  </w:style>
  <w:style w:type="paragraph" w:styleId="13">
    <w:name w:val="Normal Indent"/>
    <w:basedOn w:val="1"/>
    <w:next w:val="1"/>
    <w:semiHidden/>
    <w:qFormat/>
    <w:uiPriority w:val="99"/>
    <w:pPr>
      <w:ind w:firstLine="420"/>
    </w:pPr>
  </w:style>
  <w:style w:type="paragraph" w:styleId="14">
    <w:name w:val="List Bullet"/>
    <w:basedOn w:val="1"/>
    <w:next w:val="1"/>
    <w:semiHidden/>
    <w:qFormat/>
    <w:uiPriority w:val="99"/>
    <w:pPr>
      <w:tabs>
        <w:tab w:val="left" w:pos="360"/>
      </w:tabs>
      <w:ind w:left="360" w:hanging="360" w:hangingChars="200"/>
    </w:pPr>
  </w:style>
  <w:style w:type="paragraph" w:styleId="15">
    <w:name w:val="Document Map"/>
    <w:basedOn w:val="1"/>
    <w:next w:val="1"/>
    <w:link w:val="61"/>
    <w:semiHidden/>
    <w:qFormat/>
    <w:uiPriority w:val="99"/>
    <w:pPr>
      <w:shd w:val="clear" w:color="auto" w:fill="000080"/>
    </w:pPr>
    <w:rPr>
      <w:lang w:val="zh-CN" w:eastAsia="zh-CN" w:bidi="ar-SA"/>
    </w:rPr>
  </w:style>
  <w:style w:type="paragraph" w:styleId="16">
    <w:name w:val="annotation text"/>
    <w:basedOn w:val="1"/>
    <w:next w:val="1"/>
    <w:link w:val="62"/>
    <w:semiHidden/>
    <w:qFormat/>
    <w:uiPriority w:val="99"/>
    <w:rPr>
      <w:lang w:val="zh-CN" w:eastAsia="zh-CN" w:bidi="ar-SA"/>
    </w:rPr>
  </w:style>
  <w:style w:type="paragraph" w:styleId="17">
    <w:name w:val="Body Text 3"/>
    <w:basedOn w:val="1"/>
    <w:next w:val="1"/>
    <w:link w:val="63"/>
    <w:qFormat/>
    <w:uiPriority w:val="99"/>
    <w:pPr>
      <w:spacing w:after="120"/>
    </w:pPr>
    <w:rPr>
      <w:sz w:val="16"/>
      <w:szCs w:val="16"/>
      <w:lang w:val="zh-CN" w:eastAsia="zh-CN" w:bidi="ar-SA"/>
    </w:rPr>
  </w:style>
  <w:style w:type="paragraph" w:styleId="18">
    <w:name w:val="Body Text Indent"/>
    <w:basedOn w:val="1"/>
    <w:next w:val="1"/>
    <w:link w:val="51"/>
    <w:qFormat/>
    <w:uiPriority w:val="99"/>
    <w:pPr>
      <w:ind w:firstLine="630"/>
    </w:pPr>
    <w:rPr>
      <w:rFonts w:ascii="宋体"/>
      <w:sz w:val="20"/>
      <w:szCs w:val="20"/>
      <w:lang w:val="zh-CN" w:eastAsia="zh-CN" w:bidi="ar-SA"/>
    </w:rPr>
  </w:style>
  <w:style w:type="paragraph" w:styleId="19">
    <w:name w:val="List Bullet 2"/>
    <w:basedOn w:val="14"/>
    <w:next w:val="1"/>
    <w:semiHidden/>
    <w:qFormat/>
    <w:uiPriority w:val="99"/>
    <w:pPr>
      <w:tabs>
        <w:tab w:val="left" w:pos="432"/>
        <w:tab w:val="clear" w:pos="360"/>
      </w:tabs>
      <w:spacing w:after="220" w:line="220" w:lineRule="atLeast"/>
      <w:ind w:left="2160" w:right="720" w:hanging="432" w:firstLineChars="0"/>
    </w:pPr>
  </w:style>
  <w:style w:type="paragraph" w:styleId="20">
    <w:name w:val="toc 5"/>
    <w:basedOn w:val="1"/>
    <w:next w:val="1"/>
    <w:qFormat/>
    <w:uiPriority w:val="39"/>
    <w:pPr>
      <w:ind w:left="840"/>
    </w:pPr>
    <w:rPr>
      <w:sz w:val="18"/>
      <w:szCs w:val="18"/>
    </w:rPr>
  </w:style>
  <w:style w:type="paragraph" w:styleId="21">
    <w:name w:val="toc 3"/>
    <w:basedOn w:val="1"/>
    <w:next w:val="1"/>
    <w:qFormat/>
    <w:uiPriority w:val="39"/>
    <w:pPr>
      <w:ind w:left="420"/>
    </w:pPr>
    <w:rPr>
      <w:iCs/>
      <w:sz w:val="20"/>
      <w:szCs w:val="20"/>
    </w:rPr>
  </w:style>
  <w:style w:type="paragraph" w:styleId="22">
    <w:name w:val="Plain Text"/>
    <w:basedOn w:val="1"/>
    <w:next w:val="1"/>
    <w:link w:val="64"/>
    <w:qFormat/>
    <w:uiPriority w:val="0"/>
    <w:rPr>
      <w:rFonts w:ascii="宋体" w:hAnsi="Courier New"/>
      <w:sz w:val="20"/>
      <w:szCs w:val="20"/>
      <w:lang w:val="zh-CN" w:eastAsia="zh-CN" w:bidi="ar-SA"/>
    </w:rPr>
  </w:style>
  <w:style w:type="paragraph" w:styleId="23">
    <w:name w:val="toc 8"/>
    <w:basedOn w:val="1"/>
    <w:next w:val="1"/>
    <w:qFormat/>
    <w:uiPriority w:val="39"/>
    <w:pPr>
      <w:ind w:left="1470"/>
    </w:pPr>
    <w:rPr>
      <w:sz w:val="18"/>
      <w:szCs w:val="18"/>
    </w:rPr>
  </w:style>
  <w:style w:type="paragraph" w:styleId="24">
    <w:name w:val="Date"/>
    <w:basedOn w:val="1"/>
    <w:next w:val="1"/>
    <w:link w:val="65"/>
    <w:semiHidden/>
    <w:qFormat/>
    <w:uiPriority w:val="99"/>
    <w:pPr>
      <w:ind w:left="100" w:leftChars="2500"/>
    </w:pPr>
    <w:rPr>
      <w:rFonts w:ascii="仿宋_GB2312" w:eastAsia="仿宋_GB2312"/>
      <w:b/>
      <w:bCs/>
      <w:lang w:val="zh-CN" w:eastAsia="zh-CN" w:bidi="ar-SA"/>
    </w:rPr>
  </w:style>
  <w:style w:type="paragraph" w:styleId="25">
    <w:name w:val="Body Text Indent 2"/>
    <w:basedOn w:val="1"/>
    <w:next w:val="1"/>
    <w:link w:val="66"/>
    <w:semiHidden/>
    <w:qFormat/>
    <w:uiPriority w:val="99"/>
    <w:pPr>
      <w:tabs>
        <w:tab w:val="left" w:pos="4970"/>
      </w:tabs>
      <w:spacing w:line="360" w:lineRule="auto"/>
      <w:ind w:firstLine="480" w:firstLineChars="200"/>
    </w:pPr>
    <w:rPr>
      <w:lang w:val="zh-CN" w:eastAsia="zh-CN" w:bidi="ar-SA"/>
    </w:rPr>
  </w:style>
  <w:style w:type="paragraph" w:styleId="26">
    <w:name w:val="Balloon Text"/>
    <w:basedOn w:val="1"/>
    <w:next w:val="1"/>
    <w:link w:val="67"/>
    <w:semiHidden/>
    <w:qFormat/>
    <w:uiPriority w:val="99"/>
    <w:rPr>
      <w:sz w:val="18"/>
      <w:szCs w:val="18"/>
      <w:lang w:val="zh-CN" w:eastAsia="zh-CN" w:bidi="ar-SA"/>
    </w:rPr>
  </w:style>
  <w:style w:type="paragraph" w:styleId="27">
    <w:name w:val="footer"/>
    <w:basedOn w:val="1"/>
    <w:link w:val="68"/>
    <w:qFormat/>
    <w:uiPriority w:val="99"/>
    <w:pPr>
      <w:tabs>
        <w:tab w:val="center" w:pos="4153"/>
        <w:tab w:val="right" w:pos="8306"/>
      </w:tabs>
      <w:snapToGrid w:val="0"/>
    </w:pPr>
    <w:rPr>
      <w:sz w:val="18"/>
      <w:szCs w:val="18"/>
      <w:lang w:val="zh-CN" w:eastAsia="zh-CN" w:bidi="ar-SA"/>
    </w:rPr>
  </w:style>
  <w:style w:type="paragraph" w:styleId="28">
    <w:name w:val="header"/>
    <w:basedOn w:val="1"/>
    <w:link w:val="69"/>
    <w:qFormat/>
    <w:uiPriority w:val="99"/>
    <w:pPr>
      <w:pBdr>
        <w:bottom w:val="single" w:color="auto" w:sz="6" w:space="1"/>
      </w:pBdr>
      <w:tabs>
        <w:tab w:val="center" w:pos="4153"/>
        <w:tab w:val="right" w:pos="8306"/>
      </w:tabs>
      <w:snapToGrid w:val="0"/>
      <w:jc w:val="center"/>
    </w:pPr>
    <w:rPr>
      <w:sz w:val="18"/>
      <w:szCs w:val="18"/>
      <w:lang w:val="zh-CN" w:eastAsia="zh-CN" w:bidi="ar-SA"/>
    </w:rPr>
  </w:style>
  <w:style w:type="paragraph" w:styleId="29">
    <w:name w:val="toc 1"/>
    <w:basedOn w:val="1"/>
    <w:next w:val="1"/>
    <w:qFormat/>
    <w:uiPriority w:val="39"/>
    <w:pPr>
      <w:spacing w:before="120" w:after="120"/>
    </w:pPr>
    <w:rPr>
      <w:b/>
      <w:bCs/>
      <w:caps/>
      <w:sz w:val="20"/>
      <w:szCs w:val="20"/>
    </w:rPr>
  </w:style>
  <w:style w:type="paragraph" w:styleId="30">
    <w:name w:val="toc 4"/>
    <w:basedOn w:val="1"/>
    <w:next w:val="1"/>
    <w:qFormat/>
    <w:uiPriority w:val="39"/>
    <w:pPr>
      <w:ind w:left="630"/>
    </w:pPr>
    <w:rPr>
      <w:sz w:val="18"/>
      <w:szCs w:val="18"/>
    </w:rPr>
  </w:style>
  <w:style w:type="paragraph" w:styleId="31">
    <w:name w:val="Subtitle"/>
    <w:basedOn w:val="1"/>
    <w:next w:val="1"/>
    <w:link w:val="70"/>
    <w:qFormat/>
    <w:uiPriority w:val="11"/>
    <w:pPr>
      <w:spacing w:after="60"/>
      <w:jc w:val="center"/>
      <w:outlineLvl w:val="1"/>
    </w:pPr>
    <w:rPr>
      <w:rFonts w:ascii="Cambria" w:hAnsi="Cambria"/>
      <w:lang w:val="zh-CN" w:eastAsia="zh-CN" w:bidi="ar-SA"/>
    </w:rPr>
  </w:style>
  <w:style w:type="paragraph" w:styleId="32">
    <w:name w:val="toc 6"/>
    <w:basedOn w:val="1"/>
    <w:next w:val="1"/>
    <w:qFormat/>
    <w:uiPriority w:val="39"/>
    <w:pPr>
      <w:ind w:left="1050"/>
    </w:pPr>
    <w:rPr>
      <w:sz w:val="18"/>
      <w:szCs w:val="18"/>
    </w:rPr>
  </w:style>
  <w:style w:type="paragraph" w:styleId="33">
    <w:name w:val="Body Text Indent 3"/>
    <w:basedOn w:val="1"/>
    <w:next w:val="1"/>
    <w:link w:val="71"/>
    <w:semiHidden/>
    <w:qFormat/>
    <w:uiPriority w:val="99"/>
    <w:pPr>
      <w:spacing w:line="360" w:lineRule="auto"/>
      <w:ind w:left="1978" w:leftChars="942"/>
    </w:pPr>
    <w:rPr>
      <w:rFonts w:hAnsi="宋体"/>
      <w:lang w:val="zh-CN" w:eastAsia="zh-CN" w:bidi="ar-SA"/>
    </w:rPr>
  </w:style>
  <w:style w:type="paragraph" w:styleId="34">
    <w:name w:val="toc 2"/>
    <w:basedOn w:val="1"/>
    <w:next w:val="1"/>
    <w:qFormat/>
    <w:uiPriority w:val="39"/>
    <w:pPr>
      <w:ind w:left="210"/>
    </w:pPr>
    <w:rPr>
      <w:smallCaps/>
      <w:sz w:val="20"/>
      <w:szCs w:val="20"/>
    </w:rPr>
  </w:style>
  <w:style w:type="paragraph" w:styleId="35">
    <w:name w:val="toc 9"/>
    <w:basedOn w:val="1"/>
    <w:next w:val="1"/>
    <w:qFormat/>
    <w:uiPriority w:val="39"/>
    <w:pPr>
      <w:ind w:left="1680"/>
    </w:pPr>
    <w:rPr>
      <w:sz w:val="18"/>
      <w:szCs w:val="18"/>
    </w:rPr>
  </w:style>
  <w:style w:type="paragraph" w:styleId="36">
    <w:name w:val="Body Text 2"/>
    <w:basedOn w:val="1"/>
    <w:next w:val="1"/>
    <w:link w:val="72"/>
    <w:semiHidden/>
    <w:qFormat/>
    <w:uiPriority w:val="99"/>
    <w:rPr>
      <w:rFonts w:eastAsia="楷体_GB2312"/>
      <w:b/>
      <w:bCs/>
      <w:lang w:val="zh-CN" w:eastAsia="zh-CN" w:bidi="ar-SA"/>
    </w:rPr>
  </w:style>
  <w:style w:type="paragraph" w:styleId="37">
    <w:name w:val="Normal (Web)"/>
    <w:basedOn w:val="1"/>
    <w:next w:val="1"/>
    <w:qFormat/>
    <w:uiPriority w:val="99"/>
    <w:pPr>
      <w:spacing w:before="100" w:beforeAutospacing="1" w:after="100" w:afterAutospacing="1"/>
    </w:pPr>
    <w:rPr>
      <w:rFonts w:ascii="宋体" w:hAnsi="宋体" w:cs="宋体"/>
    </w:rPr>
  </w:style>
  <w:style w:type="paragraph" w:styleId="38">
    <w:name w:val="Title"/>
    <w:basedOn w:val="1"/>
    <w:next w:val="1"/>
    <w:link w:val="73"/>
    <w:qFormat/>
    <w:uiPriority w:val="10"/>
    <w:pPr>
      <w:spacing w:before="240" w:after="60"/>
      <w:jc w:val="center"/>
      <w:outlineLvl w:val="0"/>
    </w:pPr>
    <w:rPr>
      <w:rFonts w:ascii="Cambria" w:hAnsi="Cambria"/>
      <w:b/>
      <w:bCs/>
      <w:kern w:val="28"/>
      <w:sz w:val="32"/>
      <w:szCs w:val="32"/>
      <w:lang w:val="zh-CN" w:eastAsia="zh-CN" w:bidi="ar-SA"/>
    </w:rPr>
  </w:style>
  <w:style w:type="paragraph" w:styleId="39">
    <w:name w:val="annotation subject"/>
    <w:basedOn w:val="16"/>
    <w:next w:val="16"/>
    <w:link w:val="74"/>
    <w:semiHidden/>
    <w:qFormat/>
    <w:uiPriority w:val="99"/>
    <w:rPr>
      <w:b/>
      <w:bCs/>
    </w:rPr>
  </w:style>
  <w:style w:type="paragraph" w:styleId="40">
    <w:name w:val="Body Text First Indent"/>
    <w:basedOn w:val="2"/>
    <w:next w:val="41"/>
    <w:qFormat/>
    <w:uiPriority w:val="0"/>
    <w:pPr>
      <w:spacing w:line="312" w:lineRule="auto"/>
      <w:ind w:firstLine="420"/>
    </w:pPr>
  </w:style>
  <w:style w:type="paragraph" w:styleId="41">
    <w:name w:val="Body Text First Indent 2"/>
    <w:basedOn w:val="18"/>
    <w:qFormat/>
    <w:uiPriority w:val="0"/>
    <w:pPr>
      <w:tabs>
        <w:tab w:val="left" w:pos="567"/>
      </w:tabs>
      <w:ind w:firstLine="420" w:firstLineChars="200"/>
    </w:pPr>
  </w:style>
  <w:style w:type="table" w:styleId="43">
    <w:name w:val="Table Grid"/>
    <w:basedOn w:val="4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locked/>
    <w:uiPriority w:val="22"/>
    <w:rPr>
      <w:b/>
      <w:bCs/>
    </w:rPr>
  </w:style>
  <w:style w:type="character" w:styleId="46">
    <w:name w:val="page number"/>
    <w:semiHidden/>
    <w:qFormat/>
    <w:uiPriority w:val="99"/>
    <w:rPr>
      <w:rFonts w:ascii="Times New Roman" w:hAnsi="Times New Roman" w:cs="Times New Roman"/>
    </w:rPr>
  </w:style>
  <w:style w:type="character" w:styleId="47">
    <w:name w:val="Emphasis"/>
    <w:qFormat/>
    <w:locked/>
    <w:uiPriority w:val="20"/>
    <w:rPr>
      <w:rFonts w:ascii="Calibri" w:hAnsi="Calibri"/>
      <w:b/>
      <w:i/>
      <w:iCs/>
    </w:rPr>
  </w:style>
  <w:style w:type="character" w:styleId="48">
    <w:name w:val="Hyperlink"/>
    <w:qFormat/>
    <w:uiPriority w:val="99"/>
    <w:rPr>
      <w:color w:val="0000FF"/>
      <w:u w:val="single"/>
    </w:rPr>
  </w:style>
  <w:style w:type="character" w:styleId="49">
    <w:name w:val="annotation reference"/>
    <w:qFormat/>
    <w:uiPriority w:val="99"/>
    <w:rPr>
      <w:rFonts w:ascii="Times New Roman" w:hAnsi="Times New Roman" w:cs="Times New Roman"/>
      <w:sz w:val="21"/>
      <w:szCs w:val="21"/>
    </w:rPr>
  </w:style>
  <w:style w:type="character" w:customStyle="1" w:styleId="50">
    <w:name w:val="正文文本 字符1"/>
    <w:link w:val="2"/>
    <w:semiHidden/>
    <w:qFormat/>
    <w:locked/>
    <w:uiPriority w:val="99"/>
    <w:rPr>
      <w:rFonts w:ascii="Times New Roman" w:hAnsi="Times New Roman" w:eastAsia="宋体" w:cs="Times New Roman"/>
      <w:sz w:val="24"/>
      <w:szCs w:val="24"/>
    </w:rPr>
  </w:style>
  <w:style w:type="character" w:customStyle="1" w:styleId="51">
    <w:name w:val="正文文本缩进 字符1"/>
    <w:link w:val="18"/>
    <w:qFormat/>
    <w:locked/>
    <w:uiPriority w:val="99"/>
    <w:rPr>
      <w:rFonts w:ascii="宋体" w:hAnsi="Times New Roman" w:eastAsia="宋体" w:cs="宋体"/>
      <w:sz w:val="20"/>
      <w:szCs w:val="20"/>
    </w:rPr>
  </w:style>
  <w:style w:type="character" w:customStyle="1" w:styleId="52">
    <w:name w:val="标题 1 字符1"/>
    <w:link w:val="3"/>
    <w:qFormat/>
    <w:locked/>
    <w:uiPriority w:val="9"/>
    <w:rPr>
      <w:rFonts w:ascii="Cambria" w:hAnsi="Cambria" w:eastAsia="宋体" w:cs="Calibri"/>
      <w:b/>
      <w:bCs/>
      <w:kern w:val="32"/>
      <w:sz w:val="32"/>
      <w:szCs w:val="32"/>
    </w:rPr>
  </w:style>
  <w:style w:type="character" w:customStyle="1" w:styleId="53">
    <w:name w:val="标题 2 字符1"/>
    <w:link w:val="4"/>
    <w:qFormat/>
    <w:locked/>
    <w:uiPriority w:val="9"/>
    <w:rPr>
      <w:rFonts w:ascii="Cambria" w:hAnsi="Cambria" w:eastAsia="宋体"/>
      <w:b/>
      <w:bCs/>
      <w:i/>
      <w:iCs/>
      <w:sz w:val="28"/>
      <w:szCs w:val="28"/>
    </w:rPr>
  </w:style>
  <w:style w:type="character" w:customStyle="1" w:styleId="54">
    <w:name w:val="标题 3 字符1"/>
    <w:link w:val="5"/>
    <w:qFormat/>
    <w:locked/>
    <w:uiPriority w:val="9"/>
    <w:rPr>
      <w:rFonts w:ascii="Cambria" w:hAnsi="Cambria" w:eastAsia="宋体" w:cs="Calibri"/>
      <w:b/>
      <w:bCs/>
      <w:sz w:val="26"/>
      <w:szCs w:val="26"/>
    </w:rPr>
  </w:style>
  <w:style w:type="character" w:customStyle="1" w:styleId="55">
    <w:name w:val="标题 4 字符1"/>
    <w:link w:val="6"/>
    <w:qFormat/>
    <w:locked/>
    <w:uiPriority w:val="9"/>
    <w:rPr>
      <w:rFonts w:cs="Calibri"/>
      <w:b/>
      <w:bCs/>
      <w:sz w:val="28"/>
      <w:szCs w:val="28"/>
    </w:rPr>
  </w:style>
  <w:style w:type="character" w:customStyle="1" w:styleId="56">
    <w:name w:val="标题 5 字符1"/>
    <w:link w:val="7"/>
    <w:qFormat/>
    <w:locked/>
    <w:uiPriority w:val="9"/>
    <w:rPr>
      <w:rFonts w:cs="Calibri"/>
      <w:b/>
      <w:bCs/>
      <w:i/>
      <w:iCs/>
      <w:sz w:val="26"/>
      <w:szCs w:val="26"/>
    </w:rPr>
  </w:style>
  <w:style w:type="character" w:customStyle="1" w:styleId="57">
    <w:name w:val="标题 6 字符1"/>
    <w:link w:val="8"/>
    <w:qFormat/>
    <w:locked/>
    <w:uiPriority w:val="9"/>
    <w:rPr>
      <w:rFonts w:cs="Calibri"/>
      <w:b/>
      <w:bCs/>
    </w:rPr>
  </w:style>
  <w:style w:type="character" w:customStyle="1" w:styleId="58">
    <w:name w:val="标题 7 字符1"/>
    <w:link w:val="9"/>
    <w:qFormat/>
    <w:locked/>
    <w:uiPriority w:val="9"/>
    <w:rPr>
      <w:rFonts w:cs="Calibri"/>
      <w:sz w:val="24"/>
      <w:szCs w:val="24"/>
    </w:rPr>
  </w:style>
  <w:style w:type="character" w:customStyle="1" w:styleId="59">
    <w:name w:val="标题 8 字符1"/>
    <w:link w:val="10"/>
    <w:qFormat/>
    <w:locked/>
    <w:uiPriority w:val="9"/>
    <w:rPr>
      <w:rFonts w:cs="Calibri"/>
      <w:i/>
      <w:iCs/>
      <w:sz w:val="24"/>
      <w:szCs w:val="24"/>
    </w:rPr>
  </w:style>
  <w:style w:type="character" w:customStyle="1" w:styleId="60">
    <w:name w:val="标题 9 字符1"/>
    <w:link w:val="11"/>
    <w:qFormat/>
    <w:locked/>
    <w:uiPriority w:val="9"/>
    <w:rPr>
      <w:rFonts w:ascii="Cambria" w:hAnsi="Cambria" w:eastAsia="宋体" w:cs="Calibri"/>
    </w:rPr>
  </w:style>
  <w:style w:type="character" w:customStyle="1" w:styleId="61">
    <w:name w:val="文档结构图 字符1"/>
    <w:link w:val="15"/>
    <w:semiHidden/>
    <w:qFormat/>
    <w:locked/>
    <w:uiPriority w:val="99"/>
    <w:rPr>
      <w:rFonts w:ascii="Times New Roman" w:hAnsi="Times New Roman" w:eastAsia="宋体" w:cs="Times New Roman"/>
      <w:sz w:val="24"/>
      <w:szCs w:val="24"/>
      <w:shd w:val="clear" w:color="auto" w:fill="000080"/>
    </w:rPr>
  </w:style>
  <w:style w:type="character" w:customStyle="1" w:styleId="62">
    <w:name w:val="批注文字 字符1"/>
    <w:link w:val="16"/>
    <w:semiHidden/>
    <w:qFormat/>
    <w:locked/>
    <w:uiPriority w:val="99"/>
    <w:rPr>
      <w:rFonts w:ascii="Times New Roman" w:hAnsi="Times New Roman" w:eastAsia="宋体" w:cs="Times New Roman"/>
      <w:sz w:val="24"/>
      <w:szCs w:val="24"/>
    </w:rPr>
  </w:style>
  <w:style w:type="character" w:customStyle="1" w:styleId="63">
    <w:name w:val="正文文本 3 字符1"/>
    <w:link w:val="17"/>
    <w:qFormat/>
    <w:locked/>
    <w:uiPriority w:val="99"/>
    <w:rPr>
      <w:rFonts w:ascii="Times New Roman" w:hAnsi="Times New Roman" w:eastAsia="宋体" w:cs="Times New Roman"/>
      <w:sz w:val="16"/>
      <w:szCs w:val="16"/>
    </w:rPr>
  </w:style>
  <w:style w:type="character" w:customStyle="1" w:styleId="64">
    <w:name w:val="纯文本 字符1"/>
    <w:link w:val="22"/>
    <w:qFormat/>
    <w:locked/>
    <w:uiPriority w:val="0"/>
    <w:rPr>
      <w:rFonts w:ascii="宋体" w:hAnsi="Courier New" w:eastAsia="宋体" w:cs="宋体"/>
      <w:sz w:val="20"/>
      <w:szCs w:val="20"/>
    </w:rPr>
  </w:style>
  <w:style w:type="character" w:customStyle="1" w:styleId="65">
    <w:name w:val="日期 字符1"/>
    <w:link w:val="24"/>
    <w:semiHidden/>
    <w:qFormat/>
    <w:locked/>
    <w:uiPriority w:val="99"/>
    <w:rPr>
      <w:rFonts w:ascii="仿宋_GB2312" w:hAnsi="Times New Roman" w:eastAsia="仿宋_GB2312" w:cs="仿宋_GB2312"/>
      <w:b/>
      <w:bCs/>
      <w:sz w:val="24"/>
      <w:szCs w:val="24"/>
    </w:rPr>
  </w:style>
  <w:style w:type="character" w:customStyle="1" w:styleId="66">
    <w:name w:val="正文文本缩进 2 字符1"/>
    <w:link w:val="25"/>
    <w:semiHidden/>
    <w:qFormat/>
    <w:locked/>
    <w:uiPriority w:val="99"/>
    <w:rPr>
      <w:rFonts w:ascii="Times New Roman" w:hAnsi="Times New Roman" w:eastAsia="宋体" w:cs="Times New Roman"/>
      <w:sz w:val="24"/>
      <w:szCs w:val="24"/>
    </w:rPr>
  </w:style>
  <w:style w:type="character" w:customStyle="1" w:styleId="67">
    <w:name w:val="批注框文本 字符1"/>
    <w:link w:val="26"/>
    <w:semiHidden/>
    <w:qFormat/>
    <w:locked/>
    <w:uiPriority w:val="99"/>
    <w:rPr>
      <w:rFonts w:ascii="Times New Roman" w:hAnsi="Times New Roman" w:eastAsia="宋体" w:cs="Times New Roman"/>
      <w:sz w:val="18"/>
      <w:szCs w:val="18"/>
    </w:rPr>
  </w:style>
  <w:style w:type="character" w:customStyle="1" w:styleId="68">
    <w:name w:val="页脚 字符1"/>
    <w:link w:val="27"/>
    <w:qFormat/>
    <w:locked/>
    <w:uiPriority w:val="99"/>
    <w:rPr>
      <w:sz w:val="18"/>
      <w:szCs w:val="18"/>
    </w:rPr>
  </w:style>
  <w:style w:type="character" w:customStyle="1" w:styleId="69">
    <w:name w:val="页眉 字符1"/>
    <w:link w:val="28"/>
    <w:qFormat/>
    <w:locked/>
    <w:uiPriority w:val="99"/>
    <w:rPr>
      <w:sz w:val="18"/>
      <w:szCs w:val="18"/>
    </w:rPr>
  </w:style>
  <w:style w:type="character" w:customStyle="1" w:styleId="70">
    <w:name w:val="副标题 字符1"/>
    <w:link w:val="31"/>
    <w:qFormat/>
    <w:locked/>
    <w:uiPriority w:val="11"/>
    <w:rPr>
      <w:rFonts w:ascii="Cambria" w:hAnsi="Cambria" w:eastAsia="宋体"/>
      <w:sz w:val="24"/>
      <w:szCs w:val="24"/>
    </w:rPr>
  </w:style>
  <w:style w:type="character" w:customStyle="1" w:styleId="71">
    <w:name w:val="正文文本缩进 3 字符1"/>
    <w:link w:val="33"/>
    <w:semiHidden/>
    <w:qFormat/>
    <w:locked/>
    <w:uiPriority w:val="99"/>
    <w:rPr>
      <w:rFonts w:ascii="Times New Roman" w:hAnsi="宋体" w:eastAsia="宋体" w:cs="Times New Roman"/>
      <w:sz w:val="24"/>
      <w:szCs w:val="24"/>
    </w:rPr>
  </w:style>
  <w:style w:type="character" w:customStyle="1" w:styleId="72">
    <w:name w:val="正文文本 2 字符1"/>
    <w:link w:val="36"/>
    <w:semiHidden/>
    <w:qFormat/>
    <w:locked/>
    <w:uiPriority w:val="99"/>
    <w:rPr>
      <w:rFonts w:ascii="Times New Roman" w:hAnsi="Times New Roman" w:eastAsia="楷体_GB2312" w:cs="Times New Roman"/>
      <w:b/>
      <w:bCs/>
      <w:sz w:val="24"/>
      <w:szCs w:val="24"/>
    </w:rPr>
  </w:style>
  <w:style w:type="character" w:customStyle="1" w:styleId="73">
    <w:name w:val="标题 字符1"/>
    <w:link w:val="38"/>
    <w:qFormat/>
    <w:locked/>
    <w:uiPriority w:val="10"/>
    <w:rPr>
      <w:rFonts w:ascii="Cambria" w:hAnsi="Cambria" w:eastAsia="宋体"/>
      <w:b/>
      <w:bCs/>
      <w:kern w:val="28"/>
      <w:sz w:val="32"/>
      <w:szCs w:val="32"/>
    </w:rPr>
  </w:style>
  <w:style w:type="character" w:customStyle="1" w:styleId="74">
    <w:name w:val="批注主题 字符1"/>
    <w:link w:val="39"/>
    <w:semiHidden/>
    <w:qFormat/>
    <w:locked/>
    <w:uiPriority w:val="99"/>
    <w:rPr>
      <w:rFonts w:ascii="Times New Roman" w:hAnsi="Times New Roman" w:eastAsia="宋体" w:cs="Times New Roman"/>
      <w:b/>
      <w:bCs/>
      <w:sz w:val="24"/>
      <w:szCs w:val="24"/>
    </w:rPr>
  </w:style>
  <w:style w:type="character" w:customStyle="1" w:styleId="75">
    <w:name w:val="已访问的超链接1"/>
    <w:semiHidden/>
    <w:qFormat/>
    <w:uiPriority w:val="99"/>
    <w:rPr>
      <w:color w:val="800080"/>
      <w:u w:val="single"/>
    </w:rPr>
  </w:style>
  <w:style w:type="character" w:customStyle="1" w:styleId="76">
    <w:name w:val="明显引用 字符"/>
    <w:link w:val="77"/>
    <w:qFormat/>
    <w:uiPriority w:val="30"/>
    <w:rPr>
      <w:b/>
      <w:i/>
      <w:sz w:val="24"/>
    </w:rPr>
  </w:style>
  <w:style w:type="paragraph" w:styleId="77">
    <w:name w:val="Intense Quote"/>
    <w:basedOn w:val="1"/>
    <w:next w:val="1"/>
    <w:link w:val="76"/>
    <w:qFormat/>
    <w:uiPriority w:val="30"/>
    <w:pPr>
      <w:ind w:left="720" w:right="720"/>
    </w:pPr>
    <w:rPr>
      <w:b/>
      <w:i/>
      <w:szCs w:val="20"/>
      <w:lang w:val="zh-CN" w:eastAsia="zh-CN" w:bidi="ar-SA"/>
    </w:rPr>
  </w:style>
  <w:style w:type="character" w:customStyle="1" w:styleId="78">
    <w:name w:val="标题 2 字符"/>
    <w:qFormat/>
    <w:locked/>
    <w:uiPriority w:val="99"/>
    <w:rPr>
      <w:rFonts w:ascii="宋体" w:hAnsi="Arial" w:eastAsia="宋体" w:cs="宋体"/>
      <w:sz w:val="32"/>
      <w:szCs w:val="32"/>
      <w:lang w:val="en-US" w:eastAsia="zh-CN"/>
    </w:rPr>
  </w:style>
  <w:style w:type="character" w:customStyle="1" w:styleId="79">
    <w:name w:val="明显强调1"/>
    <w:qFormat/>
    <w:uiPriority w:val="21"/>
    <w:rPr>
      <w:b/>
      <w:i/>
      <w:sz w:val="24"/>
      <w:szCs w:val="24"/>
      <w:u w:val="single"/>
    </w:rPr>
  </w:style>
  <w:style w:type="character" w:customStyle="1" w:styleId="80">
    <w:name w:val="标题 2 Char1"/>
    <w:qFormat/>
    <w:locked/>
    <w:uiPriority w:val="99"/>
    <w:rPr>
      <w:rFonts w:ascii="宋体" w:hAnsi="Arial"/>
      <w:sz w:val="32"/>
      <w:szCs w:val="32"/>
    </w:rPr>
  </w:style>
  <w:style w:type="character" w:customStyle="1" w:styleId="81">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82">
    <w:name w:val="纯文本 Char"/>
    <w:qFormat/>
    <w:locked/>
    <w:uiPriority w:val="0"/>
    <w:rPr>
      <w:rFonts w:ascii="宋体" w:hAnsi="Courier New" w:eastAsia="宋体"/>
      <w:kern w:val="2"/>
      <w:sz w:val="21"/>
      <w:szCs w:val="21"/>
      <w:lang w:bidi="ar-SA"/>
    </w:rPr>
  </w:style>
  <w:style w:type="character" w:customStyle="1" w:styleId="83">
    <w:name w:val="标题 6 字符"/>
    <w:semiHidden/>
    <w:qFormat/>
    <w:locked/>
    <w:uiPriority w:val="99"/>
    <w:rPr>
      <w:rFonts w:ascii="Arial" w:hAnsi="Arial" w:eastAsia="黑体" w:cs="Arial"/>
      <w:b/>
      <w:bCs/>
      <w:sz w:val="24"/>
      <w:szCs w:val="24"/>
      <w:lang w:val="en-US" w:eastAsia="zh-CN"/>
    </w:rPr>
  </w:style>
  <w:style w:type="character" w:customStyle="1" w:styleId="84">
    <w:name w:val="纯文本 字符"/>
    <w:qFormat/>
    <w:locked/>
    <w:uiPriority w:val="99"/>
    <w:rPr>
      <w:rFonts w:ascii="宋体" w:hAnsi="Courier New" w:eastAsia="宋体" w:cs="宋体"/>
      <w:sz w:val="20"/>
      <w:szCs w:val="20"/>
    </w:rPr>
  </w:style>
  <w:style w:type="character" w:customStyle="1" w:styleId="85">
    <w:name w:val="标题 1 字符"/>
    <w:qFormat/>
    <w:locked/>
    <w:uiPriority w:val="99"/>
    <w:rPr>
      <w:rFonts w:ascii="宋体" w:eastAsia="宋体" w:cs="宋体"/>
      <w:sz w:val="44"/>
      <w:szCs w:val="44"/>
      <w:lang w:val="en-US" w:eastAsia="zh-CN"/>
    </w:rPr>
  </w:style>
  <w:style w:type="character" w:customStyle="1" w:styleId="86">
    <w:name w:val="标题 字符"/>
    <w:qFormat/>
    <w:locked/>
    <w:uiPriority w:val="99"/>
    <w:rPr>
      <w:rFonts w:ascii="Cambria" w:hAnsi="Cambria" w:eastAsia="宋体" w:cs="Cambria"/>
      <w:b/>
      <w:bCs/>
      <w:kern w:val="0"/>
      <w:sz w:val="20"/>
      <w:szCs w:val="20"/>
    </w:rPr>
  </w:style>
  <w:style w:type="character" w:customStyle="1" w:styleId="87">
    <w:name w:val="副标题 Char1"/>
    <w:qFormat/>
    <w:locked/>
    <w:uiPriority w:val="99"/>
    <w:rPr>
      <w:rFonts w:ascii="Calibri Light" w:hAnsi="Calibri Light" w:eastAsia="宋体" w:cs="Calibri Light"/>
      <w:b/>
      <w:bCs/>
      <w:kern w:val="28"/>
      <w:sz w:val="20"/>
      <w:szCs w:val="20"/>
    </w:rPr>
  </w:style>
  <w:style w:type="character" w:customStyle="1" w:styleId="88">
    <w:name w:val="明显参考1"/>
    <w:qFormat/>
    <w:uiPriority w:val="32"/>
    <w:rPr>
      <w:b/>
      <w:sz w:val="24"/>
      <w:u w:val="single"/>
    </w:rPr>
  </w:style>
  <w:style w:type="character" w:customStyle="1" w:styleId="89">
    <w:name w:val="正文文本缩进 Char"/>
    <w:qFormat/>
    <w:locked/>
    <w:uiPriority w:val="0"/>
    <w:rPr>
      <w:rFonts w:ascii="宋体" w:eastAsia="宋体"/>
      <w:kern w:val="2"/>
      <w:sz w:val="32"/>
      <w:szCs w:val="32"/>
      <w:lang w:bidi="ar-SA"/>
    </w:rPr>
  </w:style>
  <w:style w:type="character" w:customStyle="1" w:styleId="90">
    <w:name w:val="标题 5 字符"/>
    <w:semiHidden/>
    <w:qFormat/>
    <w:locked/>
    <w:uiPriority w:val="99"/>
    <w:rPr>
      <w:rFonts w:eastAsia="宋体"/>
      <w:b/>
      <w:bCs/>
      <w:sz w:val="28"/>
      <w:szCs w:val="28"/>
      <w:lang w:val="en-US" w:eastAsia="zh-CN"/>
    </w:rPr>
  </w:style>
  <w:style w:type="character" w:customStyle="1" w:styleId="91">
    <w:name w:val="textcontents"/>
    <w:qFormat/>
    <w:uiPriority w:val="99"/>
  </w:style>
  <w:style w:type="character" w:customStyle="1" w:styleId="92">
    <w:name w:val="标题 4 Char1"/>
    <w:qFormat/>
    <w:locked/>
    <w:uiPriority w:val="99"/>
    <w:rPr>
      <w:rFonts w:ascii="Arial" w:hAnsi="Arial" w:eastAsia="黑体" w:cs="Calibri"/>
      <w:b/>
      <w:bCs/>
      <w:sz w:val="28"/>
      <w:szCs w:val="28"/>
      <w:lang w:bidi="ar-SA"/>
    </w:rPr>
  </w:style>
  <w:style w:type="character" w:customStyle="1" w:styleId="93">
    <w:name w:val="标题 8 字符"/>
    <w:semiHidden/>
    <w:qFormat/>
    <w:locked/>
    <w:uiPriority w:val="99"/>
    <w:rPr>
      <w:rFonts w:ascii="Arial" w:hAnsi="Arial" w:eastAsia="黑体" w:cs="Arial"/>
      <w:sz w:val="24"/>
      <w:szCs w:val="24"/>
      <w:lang w:val="en-US" w:eastAsia="zh-CN"/>
    </w:rPr>
  </w:style>
  <w:style w:type="character" w:customStyle="1" w:styleId="94">
    <w:name w:val="正文文本缩进 字符"/>
    <w:qFormat/>
    <w:locked/>
    <w:uiPriority w:val="99"/>
    <w:rPr>
      <w:rFonts w:ascii="宋体" w:hAnsi="Times New Roman" w:eastAsia="宋体" w:cs="宋体"/>
      <w:sz w:val="20"/>
      <w:szCs w:val="20"/>
    </w:rPr>
  </w:style>
  <w:style w:type="character" w:customStyle="1" w:styleId="95">
    <w:name w:val="标题 7 Char1"/>
    <w:qFormat/>
    <w:locked/>
    <w:uiPriority w:val="99"/>
    <w:rPr>
      <w:rFonts w:ascii="Calibri" w:hAnsi="Calibri" w:eastAsia="宋体" w:cs="Calibri"/>
      <w:b/>
      <w:bCs/>
      <w:sz w:val="24"/>
      <w:szCs w:val="24"/>
      <w:lang w:bidi="ar-SA"/>
    </w:rPr>
  </w:style>
  <w:style w:type="character" w:customStyle="1" w:styleId="96">
    <w:name w:val="页脚 Char"/>
    <w:qFormat/>
    <w:locked/>
    <w:uiPriority w:val="0"/>
    <w:rPr>
      <w:rFonts w:ascii="Calibri" w:hAnsi="Calibri"/>
      <w:kern w:val="2"/>
      <w:sz w:val="18"/>
      <w:szCs w:val="18"/>
      <w:lang w:bidi="ar-SA"/>
    </w:rPr>
  </w:style>
  <w:style w:type="character" w:customStyle="1" w:styleId="97">
    <w:name w:val="标题 7 字符"/>
    <w:semiHidden/>
    <w:qFormat/>
    <w:locked/>
    <w:uiPriority w:val="99"/>
    <w:rPr>
      <w:rFonts w:eastAsia="宋体"/>
      <w:b/>
      <w:bCs/>
      <w:sz w:val="24"/>
      <w:szCs w:val="24"/>
      <w:lang w:val="en-US" w:eastAsia="zh-CN"/>
    </w:rPr>
  </w:style>
  <w:style w:type="character" w:customStyle="1" w:styleId="98">
    <w:name w:val="不明显参考1"/>
    <w:qFormat/>
    <w:uiPriority w:val="31"/>
    <w:rPr>
      <w:sz w:val="24"/>
      <w:szCs w:val="24"/>
      <w:u w:val="single"/>
    </w:rPr>
  </w:style>
  <w:style w:type="character" w:customStyle="1" w:styleId="99">
    <w:name w:val="页眉 Char"/>
    <w:qFormat/>
    <w:uiPriority w:val="99"/>
    <w:rPr>
      <w:rFonts w:eastAsia="宋体"/>
      <w:sz w:val="18"/>
      <w:szCs w:val="18"/>
      <w:lang w:bidi="ar-SA"/>
    </w:rPr>
  </w:style>
  <w:style w:type="character" w:customStyle="1" w:styleId="100">
    <w:name w:val="Char Char10"/>
    <w:qFormat/>
    <w:uiPriority w:val="99"/>
    <w:rPr>
      <w:rFonts w:ascii="宋体" w:hAnsi="Courier New" w:eastAsia="宋体" w:cs="宋体"/>
      <w:kern w:val="2"/>
      <w:sz w:val="24"/>
      <w:szCs w:val="24"/>
      <w:lang w:val="en-US" w:eastAsia="zh-CN"/>
    </w:rPr>
  </w:style>
  <w:style w:type="character" w:customStyle="1" w:styleId="101">
    <w:name w:val="样式111 Char"/>
    <w:link w:val="102"/>
    <w:qFormat/>
    <w:locked/>
    <w:uiPriority w:val="0"/>
    <w:rPr>
      <w:rFonts w:ascii="Calibri" w:hAnsi="Calibri" w:eastAsia="宋体"/>
      <w:kern w:val="2"/>
      <w:sz w:val="21"/>
      <w:szCs w:val="22"/>
      <w:lang w:val="en-US" w:eastAsia="zh-CN" w:bidi="ar-SA"/>
    </w:rPr>
  </w:style>
  <w:style w:type="paragraph" w:customStyle="1" w:styleId="102">
    <w:name w:val="样式111"/>
    <w:basedOn w:val="1"/>
    <w:link w:val="101"/>
    <w:qFormat/>
    <w:uiPriority w:val="0"/>
    <w:pPr>
      <w:ind w:left="550" w:leftChars="550"/>
    </w:pPr>
    <w:rPr>
      <w:rFonts w:ascii="Calibri" w:hAnsi="Calibri"/>
      <w:kern w:val="2"/>
      <w:sz w:val="21"/>
      <w:szCs w:val="22"/>
      <w:lang w:eastAsia="zh-CN" w:bidi="ar-SA"/>
    </w:rPr>
  </w:style>
  <w:style w:type="character" w:customStyle="1" w:styleId="103">
    <w:name w:val="标题 9 Char1"/>
    <w:qFormat/>
    <w:locked/>
    <w:uiPriority w:val="99"/>
    <w:rPr>
      <w:rFonts w:ascii="Arial" w:hAnsi="Arial" w:eastAsia="黑体" w:cs="Calibri"/>
      <w:sz w:val="21"/>
      <w:szCs w:val="21"/>
      <w:lang w:bidi="ar-SA"/>
    </w:rPr>
  </w:style>
  <w:style w:type="character" w:customStyle="1" w:styleId="104">
    <w:name w:val="页眉 字符"/>
    <w:qFormat/>
    <w:locked/>
    <w:uiPriority w:val="99"/>
    <w:rPr>
      <w:sz w:val="18"/>
      <w:szCs w:val="18"/>
    </w:rPr>
  </w:style>
  <w:style w:type="character" w:customStyle="1" w:styleId="105">
    <w:name w:val="标题 3 字符"/>
    <w:semiHidden/>
    <w:qFormat/>
    <w:locked/>
    <w:uiPriority w:val="99"/>
    <w:rPr>
      <w:rFonts w:eastAsia="宋体"/>
      <w:b/>
      <w:bCs/>
      <w:sz w:val="32"/>
      <w:szCs w:val="32"/>
      <w:lang w:val="en-US" w:eastAsia="zh-CN"/>
    </w:rPr>
  </w:style>
  <w:style w:type="character" w:customStyle="1" w:styleId="106">
    <w:name w:val="标题 8 Char1"/>
    <w:qFormat/>
    <w:locked/>
    <w:uiPriority w:val="99"/>
    <w:rPr>
      <w:rFonts w:ascii="Arial" w:hAnsi="Arial" w:eastAsia="黑体" w:cs="Calibri"/>
      <w:sz w:val="24"/>
      <w:szCs w:val="24"/>
      <w:lang w:bidi="ar-SA"/>
    </w:rPr>
  </w:style>
  <w:style w:type="character" w:customStyle="1" w:styleId="107">
    <w:name w:val="标题 4 字符"/>
    <w:semiHidden/>
    <w:qFormat/>
    <w:locked/>
    <w:uiPriority w:val="99"/>
    <w:rPr>
      <w:rFonts w:ascii="Arial" w:hAnsi="Arial" w:eastAsia="黑体" w:cs="Arial"/>
      <w:b/>
      <w:bCs/>
      <w:sz w:val="28"/>
      <w:szCs w:val="28"/>
      <w:lang w:val="en-US" w:eastAsia="zh-CN"/>
    </w:rPr>
  </w:style>
  <w:style w:type="character" w:customStyle="1" w:styleId="108">
    <w:name w:val="正文文本缩进 2 字符"/>
    <w:semiHidden/>
    <w:qFormat/>
    <w:locked/>
    <w:uiPriority w:val="99"/>
    <w:rPr>
      <w:rFonts w:ascii="Times New Roman" w:hAnsi="Times New Roman" w:eastAsia="宋体" w:cs="Times New Roman"/>
      <w:sz w:val="24"/>
      <w:szCs w:val="24"/>
    </w:rPr>
  </w:style>
  <w:style w:type="character" w:customStyle="1" w:styleId="109">
    <w:name w:val="Char Char3"/>
    <w:qFormat/>
    <w:uiPriority w:val="99"/>
    <w:rPr>
      <w:rFonts w:ascii="宋体" w:hAnsi="宋体" w:eastAsia="宋体" w:cs="宋体"/>
      <w:sz w:val="18"/>
      <w:szCs w:val="18"/>
      <w:lang w:val="en-US" w:eastAsia="zh-CN"/>
    </w:rPr>
  </w:style>
  <w:style w:type="character" w:customStyle="1" w:styleId="110">
    <w:name w:val="正文文本 3 Char"/>
    <w:qFormat/>
    <w:locked/>
    <w:uiPriority w:val="0"/>
    <w:rPr>
      <w:kern w:val="2"/>
      <w:sz w:val="16"/>
      <w:szCs w:val="16"/>
      <w:lang w:bidi="ar-SA"/>
    </w:rPr>
  </w:style>
  <w:style w:type="character" w:customStyle="1" w:styleId="111">
    <w:name w:val="日期 字符"/>
    <w:semiHidden/>
    <w:qFormat/>
    <w:locked/>
    <w:uiPriority w:val="99"/>
    <w:rPr>
      <w:rFonts w:ascii="仿宋_GB2312" w:hAnsi="Times New Roman" w:eastAsia="仿宋_GB2312" w:cs="仿宋_GB2312"/>
      <w:b/>
      <w:bCs/>
      <w:sz w:val="24"/>
      <w:szCs w:val="24"/>
    </w:rPr>
  </w:style>
  <w:style w:type="character" w:customStyle="1" w:styleId="112">
    <w:name w:val="标题 3 Char1"/>
    <w:qFormat/>
    <w:locked/>
    <w:uiPriority w:val="99"/>
    <w:rPr>
      <w:rFonts w:ascii="Calibri" w:hAnsi="Calibri" w:eastAsia="宋体" w:cs="Calibri"/>
      <w:b/>
      <w:bCs/>
      <w:sz w:val="32"/>
      <w:szCs w:val="32"/>
      <w:lang w:val="en-US" w:eastAsia="zh-CN" w:bidi="ar-SA"/>
    </w:rPr>
  </w:style>
  <w:style w:type="character" w:customStyle="1" w:styleId="113">
    <w:name w:val="Intense Quote Char"/>
    <w:link w:val="114"/>
    <w:qFormat/>
    <w:locked/>
    <w:uiPriority w:val="99"/>
    <w:rPr>
      <w:b/>
      <w:bCs/>
      <w:i/>
      <w:iCs/>
      <w:color w:val="4F81BD"/>
      <w:sz w:val="22"/>
      <w:szCs w:val="22"/>
    </w:rPr>
  </w:style>
  <w:style w:type="paragraph" w:customStyle="1" w:styleId="114">
    <w:name w:val="明显引用1"/>
    <w:basedOn w:val="1"/>
    <w:next w:val="1"/>
    <w:link w:val="113"/>
    <w:qFormat/>
    <w:uiPriority w:val="99"/>
    <w:pPr>
      <w:pBdr>
        <w:bottom w:val="single" w:color="4F81BD" w:sz="4" w:space="4"/>
      </w:pBdr>
      <w:spacing w:before="200" w:after="280"/>
      <w:ind w:left="936" w:right="936"/>
    </w:pPr>
    <w:rPr>
      <w:b/>
      <w:bCs/>
      <w:i/>
      <w:iCs/>
      <w:color w:val="4F81BD"/>
      <w:sz w:val="22"/>
      <w:szCs w:val="22"/>
      <w:lang w:val="zh-CN" w:eastAsia="zh-CN" w:bidi="ar-SA"/>
    </w:rPr>
  </w:style>
  <w:style w:type="character" w:customStyle="1" w:styleId="115">
    <w:name w:val="正文文本缩进 3 字符"/>
    <w:semiHidden/>
    <w:qFormat/>
    <w:locked/>
    <w:uiPriority w:val="99"/>
    <w:rPr>
      <w:rFonts w:ascii="Times New Roman" w:hAnsi="宋体" w:eastAsia="宋体" w:cs="Times New Roman"/>
      <w:sz w:val="24"/>
      <w:szCs w:val="24"/>
    </w:rPr>
  </w:style>
  <w:style w:type="character" w:customStyle="1" w:styleId="116">
    <w:name w:val="书籍标题1"/>
    <w:qFormat/>
    <w:uiPriority w:val="33"/>
    <w:rPr>
      <w:rFonts w:ascii="Cambria" w:hAnsi="Cambria" w:eastAsia="宋体"/>
      <w:b/>
      <w:i/>
      <w:sz w:val="24"/>
      <w:szCs w:val="24"/>
    </w:rPr>
  </w:style>
  <w:style w:type="character" w:customStyle="1" w:styleId="117">
    <w:name w:val="p0 Char Char"/>
    <w:link w:val="118"/>
    <w:qFormat/>
    <w:locked/>
    <w:uiPriority w:val="99"/>
    <w:rPr>
      <w:rFonts w:ascii="Times New Roman" w:hAnsi="Times New Roman" w:eastAsia="宋体" w:cs="Times New Roman"/>
      <w:kern w:val="0"/>
      <w:sz w:val="21"/>
      <w:szCs w:val="21"/>
    </w:rPr>
  </w:style>
  <w:style w:type="paragraph" w:customStyle="1" w:styleId="118">
    <w:name w:val="p0"/>
    <w:basedOn w:val="1"/>
    <w:next w:val="1"/>
    <w:link w:val="117"/>
    <w:qFormat/>
    <w:uiPriority w:val="99"/>
    <w:rPr>
      <w:sz w:val="21"/>
      <w:szCs w:val="21"/>
      <w:lang w:val="zh-CN" w:eastAsia="zh-CN" w:bidi="ar-SA"/>
    </w:rPr>
  </w:style>
  <w:style w:type="character" w:customStyle="1" w:styleId="119">
    <w:name w:val="apple-style-span"/>
    <w:qFormat/>
    <w:uiPriority w:val="99"/>
  </w:style>
  <w:style w:type="character" w:customStyle="1" w:styleId="120">
    <w:name w:val="正文文本 字符"/>
    <w:semiHidden/>
    <w:qFormat/>
    <w:locked/>
    <w:uiPriority w:val="99"/>
    <w:rPr>
      <w:rFonts w:ascii="Times New Roman" w:hAnsi="Times New Roman" w:eastAsia="宋体" w:cs="Times New Roman"/>
      <w:sz w:val="24"/>
      <w:szCs w:val="24"/>
    </w:rPr>
  </w:style>
  <w:style w:type="character" w:customStyle="1" w:styleId="121">
    <w:name w:val="标题 9 字符"/>
    <w:semiHidden/>
    <w:qFormat/>
    <w:locked/>
    <w:uiPriority w:val="99"/>
    <w:rPr>
      <w:rFonts w:ascii="Arial" w:hAnsi="Arial" w:eastAsia="黑体" w:cs="Arial"/>
      <w:sz w:val="21"/>
      <w:szCs w:val="21"/>
      <w:lang w:val="en-US" w:eastAsia="zh-CN"/>
    </w:rPr>
  </w:style>
  <w:style w:type="character" w:customStyle="1" w:styleId="122">
    <w:name w:val="标题 6 Char1"/>
    <w:qFormat/>
    <w:locked/>
    <w:uiPriority w:val="99"/>
    <w:rPr>
      <w:rFonts w:ascii="Arial" w:hAnsi="Arial" w:eastAsia="黑体" w:cs="Calibri"/>
      <w:b/>
      <w:bCs/>
      <w:sz w:val="24"/>
      <w:szCs w:val="24"/>
      <w:lang w:bidi="ar-SA"/>
    </w:rPr>
  </w:style>
  <w:style w:type="character" w:customStyle="1" w:styleId="123">
    <w:name w:val="副标题 字符"/>
    <w:qFormat/>
    <w:locked/>
    <w:uiPriority w:val="99"/>
    <w:rPr>
      <w:rFonts w:ascii="Calibri Light" w:hAnsi="Calibri Light" w:eastAsia="宋体" w:cs="Calibri Light"/>
      <w:b/>
      <w:bCs/>
      <w:kern w:val="28"/>
      <w:sz w:val="20"/>
      <w:szCs w:val="20"/>
    </w:rPr>
  </w:style>
  <w:style w:type="character" w:customStyle="1" w:styleId="124">
    <w:name w:val="不明显强调1"/>
    <w:qFormat/>
    <w:uiPriority w:val="19"/>
    <w:rPr>
      <w:i/>
      <w:color w:val="5A5A5A"/>
    </w:rPr>
  </w:style>
  <w:style w:type="character" w:customStyle="1" w:styleId="125">
    <w:name w:val="批注框文本 字符"/>
    <w:semiHidden/>
    <w:qFormat/>
    <w:locked/>
    <w:uiPriority w:val="99"/>
    <w:rPr>
      <w:rFonts w:ascii="Times New Roman" w:hAnsi="Times New Roman" w:eastAsia="宋体" w:cs="Times New Roman"/>
      <w:sz w:val="18"/>
      <w:szCs w:val="18"/>
    </w:rPr>
  </w:style>
  <w:style w:type="character" w:customStyle="1" w:styleId="126">
    <w:name w:val="正文文本 2 字符"/>
    <w:semiHidden/>
    <w:qFormat/>
    <w:locked/>
    <w:uiPriority w:val="99"/>
    <w:rPr>
      <w:rFonts w:ascii="Times New Roman" w:hAnsi="Times New Roman" w:eastAsia="楷体_GB2312" w:cs="Times New Roman"/>
      <w:b/>
      <w:bCs/>
      <w:sz w:val="24"/>
      <w:szCs w:val="24"/>
    </w:rPr>
  </w:style>
  <w:style w:type="character" w:customStyle="1" w:styleId="127">
    <w:name w:val="引用 字符"/>
    <w:link w:val="128"/>
    <w:qFormat/>
    <w:uiPriority w:val="29"/>
    <w:rPr>
      <w:i/>
      <w:sz w:val="24"/>
      <w:szCs w:val="24"/>
    </w:rPr>
  </w:style>
  <w:style w:type="paragraph" w:styleId="128">
    <w:name w:val="Quote"/>
    <w:basedOn w:val="1"/>
    <w:next w:val="1"/>
    <w:link w:val="127"/>
    <w:qFormat/>
    <w:uiPriority w:val="29"/>
    <w:rPr>
      <w:i/>
      <w:lang w:val="zh-CN" w:eastAsia="zh-CN" w:bidi="ar-SA"/>
    </w:rPr>
  </w:style>
  <w:style w:type="character" w:customStyle="1" w:styleId="129">
    <w:name w:val="页脚 字符"/>
    <w:qFormat/>
    <w:locked/>
    <w:uiPriority w:val="99"/>
    <w:rPr>
      <w:sz w:val="18"/>
      <w:szCs w:val="18"/>
    </w:rPr>
  </w:style>
  <w:style w:type="character" w:customStyle="1" w:styleId="130">
    <w:name w:val="标题 5 Char1"/>
    <w:qFormat/>
    <w:locked/>
    <w:uiPriority w:val="99"/>
    <w:rPr>
      <w:rFonts w:ascii="Calibri" w:hAnsi="Calibri" w:eastAsia="宋体" w:cs="Calibri"/>
      <w:b/>
      <w:bCs/>
      <w:sz w:val="28"/>
      <w:szCs w:val="28"/>
      <w:lang w:bidi="ar-SA"/>
    </w:rPr>
  </w:style>
  <w:style w:type="character" w:customStyle="1" w:styleId="131">
    <w:name w:val="textcontents1"/>
    <w:qFormat/>
    <w:uiPriority w:val="99"/>
    <w:rPr>
      <w:color w:val="000000"/>
      <w:sz w:val="22"/>
      <w:szCs w:val="22"/>
    </w:rPr>
  </w:style>
  <w:style w:type="character" w:customStyle="1" w:styleId="132">
    <w:name w:val="正文文本 3 字符"/>
    <w:qFormat/>
    <w:locked/>
    <w:uiPriority w:val="99"/>
    <w:rPr>
      <w:rFonts w:ascii="Times New Roman" w:hAnsi="Times New Roman" w:eastAsia="宋体" w:cs="Times New Roman"/>
      <w:sz w:val="16"/>
      <w:szCs w:val="16"/>
    </w:rPr>
  </w:style>
  <w:style w:type="character" w:customStyle="1" w:styleId="133">
    <w:name w:val="标题 1 Char1"/>
    <w:qFormat/>
    <w:locked/>
    <w:uiPriority w:val="99"/>
    <w:rPr>
      <w:rFonts w:ascii="宋体" w:hAnsi="Calibri" w:eastAsia="宋体" w:cs="Calibri"/>
      <w:sz w:val="44"/>
      <w:szCs w:val="44"/>
      <w:lang w:bidi="ar-SA"/>
    </w:rPr>
  </w:style>
  <w:style w:type="character" w:customStyle="1" w:styleId="134">
    <w:name w:val="15"/>
    <w:qFormat/>
    <w:uiPriority w:val="99"/>
    <w:rPr>
      <w:rFonts w:ascii="Times New Roman" w:hAnsi="Times New Roman" w:cs="Times New Roman"/>
      <w:color w:val="auto"/>
      <w:u w:val="none"/>
    </w:rPr>
  </w:style>
  <w:style w:type="character" w:customStyle="1" w:styleId="135">
    <w:name w:val="标题 Char1"/>
    <w:qFormat/>
    <w:locked/>
    <w:uiPriority w:val="99"/>
    <w:rPr>
      <w:rFonts w:ascii="Cambria" w:hAnsi="Cambria" w:eastAsia="宋体" w:cs="Cambria"/>
      <w:b/>
      <w:bCs/>
      <w:kern w:val="0"/>
      <w:sz w:val="20"/>
      <w:szCs w:val="20"/>
    </w:rPr>
  </w:style>
  <w:style w:type="character" w:customStyle="1" w:styleId="136">
    <w:name w:val="批注主题 字符"/>
    <w:semiHidden/>
    <w:qFormat/>
    <w:locked/>
    <w:uiPriority w:val="99"/>
    <w:rPr>
      <w:rFonts w:ascii="Times New Roman" w:hAnsi="Times New Roman" w:eastAsia="宋体" w:cs="Times New Roman"/>
      <w:b/>
      <w:bCs/>
      <w:sz w:val="24"/>
      <w:szCs w:val="24"/>
    </w:rPr>
  </w:style>
  <w:style w:type="character" w:customStyle="1" w:styleId="137">
    <w:name w:val="批注文字 字符"/>
    <w:semiHidden/>
    <w:qFormat/>
    <w:locked/>
    <w:uiPriority w:val="99"/>
    <w:rPr>
      <w:rFonts w:ascii="Times New Roman" w:hAnsi="Times New Roman" w:eastAsia="宋体" w:cs="Times New Roman"/>
      <w:sz w:val="24"/>
      <w:szCs w:val="24"/>
    </w:rPr>
  </w:style>
  <w:style w:type="paragraph" w:customStyle="1" w:styleId="138">
    <w:name w:val="CM31"/>
    <w:basedOn w:val="139"/>
    <w:next w:val="139"/>
    <w:qFormat/>
    <w:uiPriority w:val="99"/>
    <w:pPr>
      <w:spacing w:line="426" w:lineRule="atLeast"/>
    </w:pPr>
    <w:rPr>
      <w:color w:val="auto"/>
    </w:rPr>
  </w:style>
  <w:style w:type="paragraph" w:customStyle="1" w:styleId="139">
    <w:name w:val="Default"/>
    <w:next w:val="1"/>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40">
    <w:name w:val="font0"/>
    <w:basedOn w:val="1"/>
    <w:next w:val="1"/>
    <w:qFormat/>
    <w:uiPriority w:val="99"/>
    <w:pPr>
      <w:spacing w:before="100" w:beforeAutospacing="1" w:after="100" w:afterAutospacing="1"/>
    </w:pPr>
    <w:rPr>
      <w:rFonts w:ascii="宋体" w:hAnsi="宋体" w:cs="宋体"/>
    </w:rPr>
  </w:style>
  <w:style w:type="paragraph" w:customStyle="1" w:styleId="141">
    <w:name w:val="列出段落2"/>
    <w:basedOn w:val="1"/>
    <w:qFormat/>
    <w:uiPriority w:val="0"/>
    <w:pPr>
      <w:ind w:firstLine="420" w:firstLineChars="200"/>
    </w:pPr>
    <w:rPr>
      <w:szCs w:val="22"/>
    </w:rPr>
  </w:style>
  <w:style w:type="paragraph" w:styleId="142">
    <w:name w:val="No Spacing"/>
    <w:basedOn w:val="1"/>
    <w:qFormat/>
    <w:uiPriority w:val="1"/>
    <w:rPr>
      <w:szCs w:val="32"/>
    </w:rPr>
  </w:style>
  <w:style w:type="paragraph" w:customStyle="1" w:styleId="143">
    <w:name w:val="CM25"/>
    <w:basedOn w:val="139"/>
    <w:next w:val="139"/>
    <w:qFormat/>
    <w:uiPriority w:val="99"/>
    <w:pPr>
      <w:spacing w:line="426" w:lineRule="atLeast"/>
    </w:pPr>
    <w:rPr>
      <w:color w:val="auto"/>
    </w:rPr>
  </w:style>
  <w:style w:type="paragraph" w:customStyle="1" w:styleId="144">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145">
    <w:name w:val="CM35"/>
    <w:basedOn w:val="139"/>
    <w:next w:val="139"/>
    <w:qFormat/>
    <w:uiPriority w:val="99"/>
    <w:rPr>
      <w:color w:val="auto"/>
    </w:rPr>
  </w:style>
  <w:style w:type="paragraph" w:customStyle="1" w:styleId="146">
    <w:name w:val="Char"/>
    <w:basedOn w:val="1"/>
    <w:next w:val="1"/>
    <w:qFormat/>
    <w:uiPriority w:val="99"/>
  </w:style>
  <w:style w:type="paragraph" w:customStyle="1" w:styleId="147">
    <w:name w:val="_Style 4"/>
    <w:basedOn w:val="3"/>
    <w:next w:val="1"/>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48">
    <w:name w:val="列出段落1"/>
    <w:basedOn w:val="1"/>
    <w:qFormat/>
    <w:uiPriority w:val="99"/>
    <w:pPr>
      <w:ind w:firstLine="420" w:firstLineChars="200"/>
    </w:pPr>
  </w:style>
  <w:style w:type="paragraph" w:customStyle="1" w:styleId="149">
    <w:name w:val="x_msonormal"/>
    <w:basedOn w:val="1"/>
    <w:qFormat/>
    <w:uiPriority w:val="99"/>
    <w:pPr>
      <w:spacing w:before="100" w:beforeAutospacing="1" w:after="100" w:afterAutospacing="1"/>
    </w:pPr>
    <w:rPr>
      <w:rFonts w:ascii="宋体" w:hAnsi="宋体" w:cs="宋体"/>
    </w:rPr>
  </w:style>
  <w:style w:type="paragraph" w:customStyle="1" w:styleId="150">
    <w:name w:val="Char Char Char Char Char Char Char"/>
    <w:basedOn w:val="1"/>
    <w:next w:val="1"/>
    <w:qFormat/>
    <w:uiPriority w:val="99"/>
    <w:pPr>
      <w:spacing w:after="160" w:line="240" w:lineRule="exact"/>
    </w:pPr>
    <w:rPr>
      <w:rFonts w:ascii="Arial" w:hAnsi="Arial" w:cs="Arial"/>
      <w:b/>
      <w:bCs/>
    </w:rPr>
  </w:style>
  <w:style w:type="paragraph" w:customStyle="1" w:styleId="151">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152">
    <w:name w:val="CM6"/>
    <w:basedOn w:val="139"/>
    <w:next w:val="139"/>
    <w:qFormat/>
    <w:uiPriority w:val="99"/>
    <w:pPr>
      <w:spacing w:line="428" w:lineRule="atLeast"/>
    </w:pPr>
    <w:rPr>
      <w:color w:val="auto"/>
    </w:rPr>
  </w:style>
  <w:style w:type="paragraph" w:customStyle="1" w:styleId="153">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54">
    <w:name w:val="文一"/>
    <w:basedOn w:val="1"/>
    <w:next w:val="1"/>
    <w:qFormat/>
    <w:uiPriority w:val="99"/>
    <w:pPr>
      <w:topLinePunct/>
      <w:adjustRightInd w:val="0"/>
      <w:snapToGrid w:val="0"/>
      <w:spacing w:line="360" w:lineRule="auto"/>
      <w:ind w:firstLine="200" w:firstLineChars="200"/>
    </w:pPr>
    <w:rPr>
      <w:spacing w:val="4"/>
    </w:rPr>
  </w:style>
  <w:style w:type="paragraph" w:styleId="155">
    <w:name w:val="List Paragraph"/>
    <w:basedOn w:val="1"/>
    <w:qFormat/>
    <w:uiPriority w:val="34"/>
    <w:pPr>
      <w:ind w:left="720"/>
      <w:contextualSpacing/>
    </w:pPr>
  </w:style>
  <w:style w:type="paragraph" w:customStyle="1" w:styleId="156">
    <w:name w:val="xl26"/>
    <w:basedOn w:val="1"/>
    <w:next w:val="1"/>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57">
    <w:name w:val="CM5"/>
    <w:basedOn w:val="139"/>
    <w:next w:val="139"/>
    <w:qFormat/>
    <w:uiPriority w:val="99"/>
    <w:pPr>
      <w:spacing w:line="428" w:lineRule="atLeast"/>
    </w:pPr>
    <w:rPr>
      <w:color w:val="auto"/>
    </w:rPr>
  </w:style>
  <w:style w:type="paragraph" w:customStyle="1" w:styleId="158">
    <w:name w:val="CM39"/>
    <w:basedOn w:val="139"/>
    <w:next w:val="139"/>
    <w:qFormat/>
    <w:uiPriority w:val="99"/>
    <w:rPr>
      <w:color w:val="auto"/>
    </w:rPr>
  </w:style>
  <w:style w:type="paragraph" w:customStyle="1" w:styleId="159">
    <w:name w:val="TOC 标题1"/>
    <w:basedOn w:val="3"/>
    <w:next w:val="1"/>
    <w:qFormat/>
    <w:uiPriority w:val="39"/>
    <w:pPr>
      <w:outlineLvl w:val="9"/>
    </w:pPr>
  </w:style>
  <w:style w:type="paragraph" w:customStyle="1" w:styleId="160">
    <w:name w:val="TOC 标题11"/>
    <w:basedOn w:val="3"/>
    <w:next w:val="1"/>
    <w:qFormat/>
    <w:uiPriority w:val="99"/>
    <w:pPr>
      <w:tabs>
        <w:tab w:val="left" w:pos="432"/>
      </w:tabs>
      <w:spacing w:before="480" w:after="0" w:line="276" w:lineRule="auto"/>
      <w:outlineLvl w:val="9"/>
    </w:pPr>
    <w:rPr>
      <w:rFonts w:cs="Cambria"/>
      <w:b w:val="0"/>
      <w:bCs w:val="0"/>
      <w:color w:val="365F91"/>
    </w:rPr>
  </w:style>
  <w:style w:type="paragraph" w:customStyle="1" w:styleId="161">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62">
    <w:name w:val="修订1"/>
    <w:hidden/>
    <w:unhideWhenUsed/>
    <w:qFormat/>
    <w:uiPriority w:val="99"/>
    <w:rPr>
      <w:rFonts w:ascii="Times New Roman" w:hAnsi="Times New Roman" w:eastAsia="宋体" w:cs="Times New Roman"/>
      <w:sz w:val="24"/>
      <w:szCs w:val="24"/>
      <w:lang w:val="en-US" w:eastAsia="en-US" w:bidi="en-US"/>
    </w:rPr>
  </w:style>
  <w:style w:type="paragraph" w:customStyle="1" w:styleId="163">
    <w:name w:val="WPSOffice手动目录 1"/>
    <w:qFormat/>
    <w:uiPriority w:val="0"/>
    <w:rPr>
      <w:rFonts w:ascii="Times New Roman" w:hAnsi="Times New Roman" w:eastAsia="宋体" w:cs="Times New Roman"/>
      <w:lang w:val="en-US" w:eastAsia="zh-CN" w:bidi="ar-SA"/>
    </w:rPr>
  </w:style>
  <w:style w:type="paragraph" w:customStyle="1" w:styleId="16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66">
    <w:name w:val="正文文本 (5)"/>
    <w:basedOn w:val="1"/>
    <w:qFormat/>
    <w:uiPriority w:val="0"/>
    <w:pPr>
      <w:widowControl w:val="0"/>
      <w:spacing w:before="40" w:after="380"/>
      <w:jc w:val="center"/>
    </w:pPr>
    <w:rPr>
      <w:rFonts w:ascii="宋体" w:hAnsi="宋体" w:cs="宋体"/>
      <w:sz w:val="36"/>
      <w:szCs w:val="36"/>
      <w:lang w:val="zh-CN" w:eastAsia="zh-CN" w:bidi="zh-CN"/>
    </w:rPr>
  </w:style>
  <w:style w:type="paragraph" w:customStyle="1" w:styleId="167">
    <w:name w:val="正文文本1"/>
    <w:basedOn w:val="1"/>
    <w:qFormat/>
    <w:uiPriority w:val="0"/>
    <w:pPr>
      <w:widowControl w:val="0"/>
      <w:spacing w:after="100" w:line="480" w:lineRule="auto"/>
    </w:pPr>
    <w:rPr>
      <w:rFonts w:ascii="宋体" w:hAnsi="宋体" w:cs="宋体"/>
      <w:sz w:val="22"/>
      <w:szCs w:val="22"/>
      <w:lang w:val="zh-CN" w:eastAsia="zh-CN" w:bidi="zh-CN"/>
    </w:rPr>
  </w:style>
  <w:style w:type="paragraph" w:customStyle="1" w:styleId="168">
    <w:name w:val="页眉或页脚 (2)"/>
    <w:basedOn w:val="1"/>
    <w:qFormat/>
    <w:uiPriority w:val="0"/>
    <w:pPr>
      <w:widowControl w:val="0"/>
    </w:pPr>
    <w:rPr>
      <w:rFonts w:eastAsia="Times New Roman"/>
      <w:sz w:val="20"/>
      <w:szCs w:val="20"/>
      <w:lang w:val="zh-CN" w:eastAsia="zh-CN" w:bidi="zh-CN"/>
    </w:rPr>
  </w:style>
  <w:style w:type="paragraph" w:customStyle="1" w:styleId="169">
    <w:name w:val="修订2"/>
    <w:hidden/>
    <w:semiHidden/>
    <w:qFormat/>
    <w:uiPriority w:val="99"/>
    <w:rPr>
      <w:rFonts w:ascii="Times New Roman" w:hAnsi="Times New Roman" w:eastAsia="宋体" w:cs="Times New Roman"/>
      <w:sz w:val="24"/>
      <w:szCs w:val="24"/>
      <w:lang w:val="en-US" w:eastAsia="en-US" w:bidi="en-US"/>
    </w:rPr>
  </w:style>
  <w:style w:type="character" w:customStyle="1" w:styleId="170">
    <w:name w:val="NormalCharacter"/>
    <w:qFormat/>
    <w:uiPriority w:val="0"/>
  </w:style>
  <w:style w:type="paragraph" w:customStyle="1" w:styleId="171">
    <w:name w:val="修订3"/>
    <w:hidden/>
    <w:unhideWhenUsed/>
    <w:qFormat/>
    <w:uiPriority w:val="99"/>
    <w:rPr>
      <w:rFonts w:ascii="Times New Roman" w:hAnsi="Times New Roman" w:eastAsia="宋体" w:cs="Times New Roman"/>
      <w:sz w:val="24"/>
      <w:szCs w:val="24"/>
      <w:lang w:val="en-US" w:eastAsia="en-US" w:bidi="en-US"/>
    </w:rPr>
  </w:style>
  <w:style w:type="paragraph" w:customStyle="1" w:styleId="172">
    <w:name w:val="修订4"/>
    <w:hidden/>
    <w:unhideWhenUsed/>
    <w:qFormat/>
    <w:uiPriority w:val="99"/>
    <w:rPr>
      <w:rFonts w:ascii="Times New Roman" w:hAnsi="Times New Roman" w:eastAsia="宋体" w:cs="Times New Roman"/>
      <w:sz w:val="24"/>
      <w:szCs w:val="24"/>
      <w:lang w:val="en-US" w:eastAsia="en-US" w:bidi="en-US"/>
    </w:rPr>
  </w:style>
  <w:style w:type="paragraph" w:customStyle="1" w:styleId="173">
    <w:name w:val="修订5"/>
    <w:hidden/>
    <w:unhideWhenUsed/>
    <w:qFormat/>
    <w:uiPriority w:val="99"/>
    <w:rPr>
      <w:rFonts w:ascii="Times New Roman" w:hAnsi="Times New Roman" w:eastAsia="宋体" w:cs="Times New Roman"/>
      <w:sz w:val="24"/>
      <w:szCs w:val="24"/>
      <w:lang w:val="en-US" w:eastAsia="en-US" w:bidi="en-US"/>
    </w:rPr>
  </w:style>
  <w:style w:type="paragraph" w:customStyle="1" w:styleId="174">
    <w:name w:val="修订6"/>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10DE5D-DC87-424D-BE88-E3E3AFE1F07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283</Pages>
  <Words>36378</Words>
  <Characters>207360</Characters>
  <Lines>1728</Lines>
  <Paragraphs>486</Paragraphs>
  <TotalTime>7</TotalTime>
  <ScaleCrop>false</ScaleCrop>
  <LinksUpToDate>false</LinksUpToDate>
  <CharactersWithSpaces>243252</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2023-10-13T04:12:00Z</dcterms:created>
  <dc:creator>86136</dc:creator>
  <cp:lastModifiedBy>卓工</cp:lastModifiedBy>
  <cp:lastPrinted>2021-12-27T09:36:00Z</cp:lastPrinted>
  <dcterms:modified xsi:type="dcterms:W3CDTF">2023-10-13T10:06:35Z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ECC67D8F0B214B70AD6C5D66AAE26F42_13</vt:lpwstr>
  </property>
</Properties>
</file>