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jc w:val="center"/>
        <w:rPr>
          <w:rFonts w:cs="宋体"/>
          <w:b/>
          <w:color w:val="auto"/>
          <w:sz w:val="36"/>
          <w:szCs w:val="36"/>
          <w:highlight w:val="none"/>
          <w:u w:val="none"/>
        </w:rPr>
      </w:pPr>
      <w:r>
        <w:rPr>
          <w:rFonts w:hint="eastAsia" w:cs="宋体"/>
          <w:b/>
          <w:color w:val="auto"/>
          <w:sz w:val="36"/>
          <w:szCs w:val="36"/>
          <w:highlight w:val="none"/>
          <w:u w:val="none"/>
        </w:rPr>
        <w:t>中山大学附属第一医院东院区改扩建工程</w:t>
      </w:r>
    </w:p>
    <w:p>
      <w:pPr>
        <w:pStyle w:val="10"/>
        <w:spacing w:line="360" w:lineRule="auto"/>
        <w:jc w:val="center"/>
        <w:rPr>
          <w:rFonts w:cs="宋体"/>
          <w:b/>
          <w:color w:val="auto"/>
          <w:sz w:val="36"/>
          <w:szCs w:val="36"/>
          <w:highlight w:val="none"/>
          <w:u w:val="none"/>
        </w:rPr>
      </w:pPr>
      <w:r>
        <w:rPr>
          <w:rFonts w:hint="eastAsia" w:cs="宋体"/>
          <w:b/>
          <w:color w:val="auto"/>
          <w:sz w:val="36"/>
          <w:szCs w:val="36"/>
          <w:highlight w:val="none"/>
          <w:u w:val="none"/>
        </w:rPr>
        <w:t>勘察</w:t>
      </w:r>
      <w:r>
        <w:rPr>
          <w:rFonts w:cs="宋体"/>
          <w:b/>
          <w:color w:val="auto"/>
          <w:sz w:val="36"/>
          <w:szCs w:val="36"/>
          <w:highlight w:val="none"/>
          <w:u w:val="none"/>
        </w:rPr>
        <w:t>设计施工总承包</w:t>
      </w:r>
      <w:r>
        <w:rPr>
          <w:rFonts w:hint="eastAsia" w:cs="宋体"/>
          <w:b/>
          <w:color w:val="auto"/>
          <w:sz w:val="36"/>
          <w:szCs w:val="36"/>
          <w:highlight w:val="none"/>
          <w:u w:val="none"/>
        </w:rPr>
        <w:t>招标公告</w:t>
      </w:r>
    </w:p>
    <w:p>
      <w:pPr>
        <w:spacing w:line="400" w:lineRule="exact"/>
        <w:ind w:firstLine="420" w:firstLineChars="200"/>
        <w:rPr>
          <w:rFonts w:ascii="宋体" w:hAnsi="宋体"/>
          <w:color w:val="auto"/>
          <w:szCs w:val="21"/>
          <w:highlight w:val="none"/>
        </w:rPr>
      </w:pP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0" w:name="_Toc247513934"/>
      <w:bookmarkStart w:id="1" w:name="_Toc247527535"/>
      <w:bookmarkStart w:id="2" w:name="_Toc25027"/>
      <w:bookmarkStart w:id="3" w:name="_Toc5026"/>
      <w:bookmarkStart w:id="4" w:name="_Toc144974480"/>
      <w:bookmarkStart w:id="5" w:name="_Toc152045512"/>
      <w:bookmarkStart w:id="6" w:name="_Toc152042288"/>
      <w:r>
        <w:rPr>
          <w:rFonts w:hint="eastAsia" w:asciiTheme="minorEastAsia" w:hAnsiTheme="minorEastAsia" w:eastAsiaTheme="minorEastAsia" w:cstheme="minorEastAsia"/>
          <w:b/>
          <w:bCs/>
          <w:color w:val="auto"/>
          <w:sz w:val="32"/>
          <w:szCs w:val="32"/>
          <w:highlight w:val="none"/>
        </w:rPr>
        <w:t>1. 招标条件</w:t>
      </w:r>
      <w:bookmarkEnd w:id="0"/>
      <w:bookmarkEnd w:id="1"/>
      <w:bookmarkEnd w:id="2"/>
      <w:bookmarkEnd w:id="3"/>
      <w:bookmarkEnd w:id="4"/>
      <w:bookmarkEnd w:id="5"/>
      <w:bookmarkEnd w:id="6"/>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rPr>
        <w:t xml:space="preserve"> 中山大学附属第一医院东院区改扩建工程 </w:t>
      </w:r>
      <w:r>
        <w:rPr>
          <w:rFonts w:ascii="宋体" w:hAnsi="宋体"/>
          <w:color w:val="auto"/>
          <w:sz w:val="24"/>
          <w:szCs w:val="24"/>
          <w:highlight w:val="none"/>
        </w:rPr>
        <w:t>已由</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国家卫生健康委员会</w:t>
      </w:r>
      <w:r>
        <w:rPr>
          <w:rFonts w:ascii="宋体" w:hAnsi="宋体"/>
          <w:color w:val="auto"/>
          <w:sz w:val="24"/>
          <w:szCs w:val="24"/>
          <w:highlight w:val="none"/>
          <w:u w:val="single"/>
        </w:rPr>
        <w:t xml:space="preserve"> </w:t>
      </w:r>
      <w:r>
        <w:rPr>
          <w:rFonts w:ascii="宋体" w:hAnsi="宋体"/>
          <w:color w:val="auto"/>
          <w:sz w:val="24"/>
          <w:szCs w:val="24"/>
          <w:highlight w:val="none"/>
        </w:rPr>
        <w:t>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国卫规划函【2023】36号 </w:t>
      </w:r>
      <w:r>
        <w:rPr>
          <w:rFonts w:ascii="宋体" w:hAnsi="宋体"/>
          <w:color w:val="auto"/>
          <w:sz w:val="24"/>
          <w:szCs w:val="24"/>
          <w:highlight w:val="none"/>
        </w:rPr>
        <w:t>批准建设，</w:t>
      </w:r>
      <w:r>
        <w:rPr>
          <w:rFonts w:hint="eastAsia" w:ascii="宋体" w:hAnsi="宋体"/>
          <w:color w:val="auto"/>
          <w:sz w:val="24"/>
          <w:szCs w:val="24"/>
          <w:highlight w:val="none"/>
        </w:rPr>
        <w:t>建设</w:t>
      </w:r>
      <w:r>
        <w:rPr>
          <w:rFonts w:ascii="宋体" w:hAnsi="宋体"/>
          <w:color w:val="auto"/>
          <w:sz w:val="24"/>
          <w:szCs w:val="24"/>
          <w:highlight w:val="none"/>
        </w:rPr>
        <w:t>业主为</w:t>
      </w:r>
      <w:r>
        <w:rPr>
          <w:rFonts w:hint="eastAsia" w:ascii="宋体" w:hAnsi="宋体"/>
          <w:color w:val="auto"/>
          <w:sz w:val="24"/>
          <w:szCs w:val="24"/>
          <w:highlight w:val="none"/>
          <w:u w:val="single"/>
        </w:rPr>
        <w:t xml:space="preserve"> 中山大学附属第一医院</w:t>
      </w:r>
      <w:r>
        <w:rPr>
          <w:rFonts w:ascii="宋体" w:hAnsi="宋体"/>
          <w:color w:val="auto"/>
          <w:sz w:val="24"/>
          <w:szCs w:val="24"/>
          <w:highlight w:val="none"/>
        </w:rPr>
        <w:t>，建设资金来</w:t>
      </w:r>
      <w:r>
        <w:rPr>
          <w:rFonts w:hint="eastAsia" w:ascii="宋体" w:hAnsi="宋体"/>
          <w:color w:val="auto"/>
          <w:sz w:val="24"/>
          <w:szCs w:val="24"/>
          <w:highlight w:val="none"/>
        </w:rPr>
        <w:t>源为</w:t>
      </w:r>
      <w:r>
        <w:rPr>
          <w:rFonts w:hint="eastAsia" w:ascii="宋体" w:hAnsi="宋体"/>
          <w:color w:val="auto"/>
          <w:sz w:val="24"/>
          <w:szCs w:val="24"/>
          <w:highlight w:val="none"/>
          <w:u w:val="single"/>
        </w:rPr>
        <w:t xml:space="preserve"> 中央财政、地方财政（广东省、广州市黄埔区）和医院自筹</w:t>
      </w:r>
      <w:r>
        <w:rPr>
          <w:rFonts w:ascii="宋体" w:hAnsi="宋体"/>
          <w:color w:val="auto"/>
          <w:sz w:val="24"/>
          <w:szCs w:val="24"/>
          <w:highlight w:val="none"/>
        </w:rPr>
        <w:t>，招标人为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中山大学附属第一医院</w:t>
      </w:r>
      <w:r>
        <w:rPr>
          <w:rFonts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 xml:space="preserve"> 勘察设计</w:t>
      </w:r>
      <w:r>
        <w:rPr>
          <w:rFonts w:ascii="宋体" w:hAnsi="宋体"/>
          <w:color w:val="auto"/>
          <w:sz w:val="24"/>
          <w:szCs w:val="24"/>
          <w:highlight w:val="none"/>
          <w:u w:val="single"/>
        </w:rPr>
        <w:t>施工</w:t>
      </w:r>
      <w:r>
        <w:rPr>
          <w:rFonts w:hint="eastAsia" w:ascii="宋体" w:hAnsi="宋体"/>
          <w:color w:val="auto"/>
          <w:sz w:val="24"/>
          <w:szCs w:val="24"/>
          <w:highlight w:val="none"/>
          <w:u w:val="single"/>
        </w:rPr>
        <w:t xml:space="preserve">总承包 </w:t>
      </w:r>
      <w:r>
        <w:rPr>
          <w:rFonts w:ascii="宋体" w:hAnsi="宋体"/>
          <w:color w:val="auto"/>
          <w:sz w:val="24"/>
          <w:szCs w:val="24"/>
          <w:highlight w:val="none"/>
        </w:rPr>
        <w:t>进行公开招标。</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7" w:name="_Toc19680"/>
      <w:bookmarkStart w:id="8" w:name="_Toc247527536"/>
      <w:bookmarkStart w:id="9" w:name="_Toc247513935"/>
      <w:bookmarkStart w:id="10" w:name="_Toc144974481"/>
      <w:bookmarkStart w:id="11" w:name="_Toc30111"/>
      <w:bookmarkStart w:id="12" w:name="_Toc152045513"/>
      <w:bookmarkStart w:id="13" w:name="_Toc152042289"/>
      <w:r>
        <w:rPr>
          <w:rFonts w:hint="eastAsia" w:asciiTheme="minorEastAsia" w:hAnsiTheme="minorEastAsia" w:eastAsiaTheme="minorEastAsia" w:cstheme="minorEastAsia"/>
          <w:b/>
          <w:bCs/>
          <w:color w:val="auto"/>
          <w:sz w:val="32"/>
          <w:szCs w:val="32"/>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color w:val="auto"/>
          <w:sz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color w:val="auto"/>
          <w:sz w:val="24"/>
          <w:highlight w:val="none"/>
        </w:rPr>
        <w:t>工程名称：</w:t>
      </w:r>
      <w:r>
        <w:rPr>
          <w:rFonts w:hint="eastAsia" w:ascii="宋体" w:hAnsi="宋体"/>
          <w:color w:val="auto"/>
          <w:sz w:val="24"/>
          <w:szCs w:val="24"/>
          <w:highlight w:val="none"/>
          <w:u w:val="single"/>
        </w:rPr>
        <w:t>中山大学附属第一医院东院区改扩建工程勘察设计施工总承包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2.2工程建设地点：</w:t>
      </w:r>
      <w:r>
        <w:rPr>
          <w:rFonts w:hint="eastAsia" w:ascii="宋体" w:hAnsi="宋体"/>
          <w:color w:val="auto"/>
          <w:sz w:val="24"/>
          <w:szCs w:val="24"/>
          <w:highlight w:val="none"/>
          <w:u w:val="single"/>
        </w:rPr>
        <w:t>黄埔东路183号，中山大学附属第一医院东院区内。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2.3工程建设规模和工程投资：</w:t>
      </w:r>
      <w:r>
        <w:rPr>
          <w:rFonts w:hint="eastAsia" w:ascii="宋体" w:hAnsi="宋体"/>
          <w:color w:val="auto"/>
          <w:sz w:val="24"/>
          <w:szCs w:val="24"/>
          <w:highlight w:val="none"/>
          <w:u w:val="single"/>
        </w:rPr>
        <w:t>新建一栋综合住院大楼及发热门诊，配套室外液氧站。建设内容包括七项设施用房、大型医疗设备用房、培训用房、文化活动用房、便民服务用房、室外工程及配套公用工程。项目新建建筑面积为172000㎡，其中地上建筑面积为116520㎡，地下建筑面积55480㎡。</w:t>
      </w:r>
      <w:r>
        <w:rPr>
          <w:rFonts w:hint="eastAsia" w:ascii="宋体" w:hAnsi="宋体" w:cs="宋体"/>
          <w:color w:val="auto"/>
          <w:sz w:val="24"/>
          <w:highlight w:val="none"/>
          <w:u w:val="single"/>
        </w:rPr>
        <w:t>最大跨度约16米，最大单体（综合住院大楼，不含地下室）建筑面积为115035㎡，高度99.9米。</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工程估算总投资为</w:t>
      </w:r>
      <w:r>
        <w:rPr>
          <w:rFonts w:hint="eastAsia" w:ascii="宋体" w:hAnsi="宋体"/>
          <w:color w:val="auto"/>
          <w:sz w:val="24"/>
          <w:szCs w:val="24"/>
          <w:highlight w:val="none"/>
          <w:u w:val="single"/>
        </w:rPr>
        <w:t>220407万元。其中：工程费用166203.28万元</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2.4最高投标限价</w:t>
      </w:r>
      <w:r>
        <w:rPr>
          <w:rFonts w:ascii="宋体" w:hAnsi="宋体"/>
          <w:color w:val="auto"/>
          <w:sz w:val="24"/>
          <w:szCs w:val="24"/>
          <w:highlight w:val="none"/>
        </w:rPr>
        <w:t>：</w:t>
      </w:r>
      <w:r>
        <w:rPr>
          <w:rFonts w:hint="eastAsia" w:ascii="宋体" w:hAnsi="宋体"/>
          <w:color w:val="auto"/>
          <w:sz w:val="24"/>
          <w:szCs w:val="24"/>
          <w:highlight w:val="none"/>
          <w:u w:val="single"/>
        </w:rPr>
        <w:t>本工程最高投标限价为166203.28万元，其中：勘察费最高投标限价为947.98万元（岩土工程勘察（含超前钻）费综合单价最高投标限价为150元/米），设计费最高投标限价为3718.36万元，BIM技术应用费最高投标限价为429.86万元，施工费最高投标限价为161107.08万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注：①设计投标经济补偿：本工程不设投标补偿，投标费用由投标人自理（包括但不限于未中标的投标单位的设计方案，初步设计的设计费用等）；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②本工程实行全过程限额设计和施工，限额投资。工程变更需经过招标人审定后方可实施。</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w:t>
      </w:r>
      <w:r>
        <w:rPr>
          <w:rFonts w:ascii="宋体" w:hAnsi="宋体"/>
          <w:color w:val="auto"/>
          <w:sz w:val="24"/>
          <w:szCs w:val="24"/>
          <w:highlight w:val="none"/>
        </w:rPr>
        <w:t>计划</w:t>
      </w:r>
      <w:r>
        <w:rPr>
          <w:rFonts w:hint="eastAsia" w:ascii="宋体" w:hAnsi="宋体"/>
          <w:color w:val="auto"/>
          <w:sz w:val="24"/>
          <w:szCs w:val="24"/>
          <w:highlight w:val="none"/>
        </w:rPr>
        <w:t>总工期：</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2.5.1勘察工期：</w:t>
      </w:r>
      <w:r>
        <w:rPr>
          <w:rFonts w:hint="eastAsia" w:ascii="宋体" w:hAnsi="宋体" w:cs="宋体"/>
          <w:color w:val="auto"/>
          <w:sz w:val="24"/>
          <w:szCs w:val="24"/>
          <w:highlight w:val="none"/>
        </w:rPr>
        <w:t>详见勘察设计任务书和可行性研究报告。</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2.5.2设计工期：</w:t>
      </w:r>
      <w:r>
        <w:rPr>
          <w:rFonts w:hint="eastAsia" w:ascii="宋体" w:hAnsi="宋体" w:cs="宋体"/>
          <w:color w:val="auto"/>
          <w:sz w:val="24"/>
          <w:szCs w:val="24"/>
          <w:highlight w:val="none"/>
        </w:rPr>
        <w:t>详见勘察设计任务书和可行性研究报告。</w:t>
      </w:r>
    </w:p>
    <w:p>
      <w:pPr>
        <w:spacing w:line="360" w:lineRule="auto"/>
        <w:ind w:firstLine="480" w:firstLineChars="200"/>
        <w:rPr>
          <w:rFonts w:ascii="宋体" w:hAnsi="宋体"/>
          <w:b/>
          <w:color w:val="auto"/>
          <w:sz w:val="24"/>
          <w:szCs w:val="24"/>
          <w:highlight w:val="none"/>
          <w:u w:val="single"/>
        </w:rPr>
      </w:pPr>
      <w:r>
        <w:rPr>
          <w:rFonts w:hint="eastAsia" w:ascii="宋体" w:hAnsi="宋体"/>
          <w:bCs/>
          <w:color w:val="auto"/>
          <w:sz w:val="24"/>
          <w:szCs w:val="24"/>
          <w:highlight w:val="none"/>
        </w:rPr>
        <w:t>2.5.3施工工期：</w:t>
      </w:r>
      <w:r>
        <w:rPr>
          <w:rFonts w:hint="eastAsia" w:ascii="宋体" w:hAnsi="宋体"/>
          <w:bCs/>
          <w:color w:val="auto"/>
          <w:sz w:val="24"/>
          <w:szCs w:val="24"/>
          <w:highlight w:val="none"/>
          <w:u w:val="single"/>
        </w:rPr>
        <w:t>暂定1309日历天。（</w:t>
      </w:r>
      <w:r>
        <w:rPr>
          <w:rFonts w:hint="eastAsia" w:ascii="宋体" w:hAnsi="宋体"/>
          <w:color w:val="auto"/>
          <w:sz w:val="24"/>
          <w:szCs w:val="24"/>
          <w:highlight w:val="none"/>
          <w:u w:val="single"/>
        </w:rPr>
        <w:t>本工程正式签署合同时，施工工期按中标投标文件承诺工期。）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包含勘察阶段（包含岩土工程勘察、工程物探含管线探测）及设计各阶段（方案设计及修改、初步设计阶段、施工图设计阶段以及各阶段的相关报批审查时间等）；施工阶段（施工实施建设阶段、竣工验收、资料编制归档、交付使用手续办理等以及各阶段的相关报批、报建、检验、审查、备案等时间）。具体以招标人实际要求通知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2.6质量要求</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2.6.1勘察质量要求：</w:t>
      </w:r>
      <w:r>
        <w:rPr>
          <w:rFonts w:hint="eastAsia" w:ascii="宋体" w:hAnsi="宋体"/>
          <w:color w:val="auto"/>
          <w:sz w:val="24"/>
          <w:szCs w:val="24"/>
          <w:highlight w:val="none"/>
          <w:u w:val="single"/>
        </w:rPr>
        <w:t>符合建设工程勘察设计的相关标准、规范及本工程勘察设计任务书的要求。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2.6.2设计质量要求：</w:t>
      </w:r>
      <w:r>
        <w:rPr>
          <w:rFonts w:hint="eastAsia" w:ascii="宋体" w:hAnsi="宋体"/>
          <w:color w:val="auto"/>
          <w:sz w:val="24"/>
          <w:szCs w:val="24"/>
          <w:highlight w:val="none"/>
          <w:u w:val="single"/>
        </w:rPr>
        <w:t>符合《建设工程质量管理条例》、《建设工程勘察设计管理条例》、《建筑工程设计文件编制深度规定（2016年版）》等国家及地方有关工程设计管理法规和规章，达到行业相关规范技术标准等要求。设计标识/运行标识认证达到绿色建筑二星认证。</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施工</w:t>
      </w:r>
      <w:r>
        <w:rPr>
          <w:rFonts w:hint="eastAsia" w:ascii="宋体" w:hAnsi="宋体"/>
          <w:color w:val="auto"/>
          <w:sz w:val="24"/>
          <w:szCs w:val="24"/>
          <w:highlight w:val="none"/>
        </w:rPr>
        <w:t>质量要求：</w:t>
      </w:r>
      <w:r>
        <w:rPr>
          <w:rFonts w:hint="eastAsia" w:ascii="宋体" w:hAnsi="宋体"/>
          <w:color w:val="auto"/>
          <w:sz w:val="24"/>
          <w:szCs w:val="24"/>
          <w:highlight w:val="none"/>
          <w:u w:val="single"/>
        </w:rPr>
        <w:t>合格，符合设计图纸要求和国家、省、市相关法律法规规定要求及行业颁发的工程质量验收标准。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按照国家最新颁布《建筑工程施工质量验收统一标准》（GB 50300-2013）及相应配套的各专业验收规范，一次验收合格。</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4安全及文明施工目标：</w:t>
      </w:r>
      <w:r>
        <w:rPr>
          <w:rFonts w:hint="eastAsia" w:ascii="宋体" w:hAnsi="宋体"/>
          <w:color w:val="auto"/>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5绿色建筑等级要求：</w:t>
      </w:r>
      <w:r>
        <w:rPr>
          <w:rFonts w:hint="eastAsia" w:ascii="宋体" w:hAnsi="宋体"/>
          <w:color w:val="auto"/>
          <w:sz w:val="24"/>
          <w:szCs w:val="24"/>
          <w:highlight w:val="none"/>
          <w:u w:val="single"/>
        </w:rPr>
        <w:t>广东省建筑业绿色施工示范工程、绿建二星或以上。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2.7标段划分及各标段招标内容：</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rPr>
        <w:t>2.7.1标段划分：</w:t>
      </w:r>
      <w:r>
        <w:rPr>
          <w:rFonts w:hint="eastAsia" w:ascii="宋体" w:hAnsi="宋体" w:cs="宋体"/>
          <w:color w:val="auto"/>
          <w:kern w:val="0"/>
          <w:sz w:val="24"/>
          <w:szCs w:val="24"/>
          <w:highlight w:val="none"/>
          <w:u w:val="single"/>
        </w:rPr>
        <w:t>本工程设为一个标段。</w:t>
      </w:r>
    </w:p>
    <w:p>
      <w:pPr>
        <w:spacing w:line="360" w:lineRule="auto"/>
        <w:ind w:firstLine="480" w:firstLineChars="200"/>
        <w:rPr>
          <w:rFonts w:ascii="宋体" w:hAnsi="宋体"/>
          <w:color w:val="auto"/>
          <w:sz w:val="24"/>
          <w:szCs w:val="24"/>
          <w:highlight w:val="none"/>
          <w:u w:val="single"/>
        </w:rPr>
      </w:pPr>
      <w:bookmarkStart w:id="14" w:name="OLE_LINK1"/>
      <w:r>
        <w:rPr>
          <w:rFonts w:hint="eastAsia" w:ascii="宋体" w:hAnsi="宋体" w:cs="宋体"/>
          <w:color w:val="auto"/>
          <w:kern w:val="0"/>
          <w:sz w:val="24"/>
          <w:szCs w:val="24"/>
          <w:highlight w:val="none"/>
        </w:rPr>
        <w:t>2.7.2</w:t>
      </w:r>
      <w:r>
        <w:rPr>
          <w:rFonts w:hint="eastAsia" w:ascii="宋体" w:hAnsi="宋体"/>
          <w:color w:val="auto"/>
          <w:sz w:val="24"/>
          <w:szCs w:val="24"/>
          <w:highlight w:val="none"/>
        </w:rPr>
        <w:t>招标内容：</w:t>
      </w:r>
      <w:r>
        <w:rPr>
          <w:rFonts w:hint="eastAsia" w:ascii="宋体" w:hAnsi="宋体"/>
          <w:color w:val="auto"/>
          <w:sz w:val="24"/>
          <w:szCs w:val="24"/>
          <w:highlight w:val="none"/>
          <w:u w:val="single"/>
        </w:rPr>
        <w:t>中山大学附属第一医院东院区改扩建工程的勘察、设计以及施工，包括但不限于以下内容</w:t>
      </w:r>
      <w:r>
        <w:rPr>
          <w:rFonts w:hint="eastAsia" w:ascii="宋体" w:hAnsi="宋体"/>
          <w:color w:val="auto"/>
          <w:sz w:val="24"/>
          <w:szCs w:val="24"/>
          <w:highlight w:val="none"/>
        </w:rPr>
        <w:t>：</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7</w:t>
      </w:r>
      <w:r>
        <w:rPr>
          <w:rFonts w:ascii="宋体" w:hAnsi="宋体"/>
          <w:b/>
          <w:color w:val="auto"/>
          <w:sz w:val="24"/>
          <w:szCs w:val="24"/>
          <w:highlight w:val="none"/>
        </w:rPr>
        <w:t>.</w:t>
      </w:r>
      <w:r>
        <w:rPr>
          <w:rFonts w:hint="eastAsia" w:ascii="宋体" w:hAnsi="宋体"/>
          <w:b/>
          <w:color w:val="auto"/>
          <w:sz w:val="24"/>
          <w:szCs w:val="24"/>
          <w:highlight w:val="none"/>
        </w:rPr>
        <w:t>2.1工程前期阶段：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（1）现状摸查及编制摸查报告，岩土工程勘察，包括但不限于初步勘察、详细勘察、超前钻、物探、地下管线探测、土壤氡浓度检测、抽水试验等工作。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（2）本项目全过程设计，包括：负责配合项目的修规调整，负责方案设计、报建图设计和报建通编制、初步设计（含初步设计概算）、施工图设计及报审。范围主要包括：</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设计内容（包括但不限于）：建筑、结构、室内装修、人防、给排水、强电（含高压、照明）、暖通、消防（到末端）、弱电、交通流线、室外红线范围内的道路、广场、室外绿化、景观；室外其他专业工程，包括室外电气、路灯（含光纤电缆）、室外给排水、消防、外水、外电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2）项目场地软基处理设计（含第三方监测方案）；涉及项目的其他专业设计（如市政高压进线工程、高低压配电工程、钢结构，钢网架、幕墙等）。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其他工作内容（包括但不限于）：场地岩土工程勘察、配合修建性详细规划设计、方案优化、方案报建、初步设计、施工图设计、编制工程概算、施工图预算、通过施工图审查以及政府要求的其他审查工作。参加图纸会审、技术交底、施工现场指导和配合服务、施工阶段至竣工验收全过程的各项服务（含设计驻场）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BIM技术运用：本项目要求充分运用BIM技术，要求在设计阶段利用BIM模块进行参数化设计、日照能耗分析、交通线规划、管线优化、结构分析、风向分析、环境分析、造价分析等等；并利用BIM建模来优化设计、保证有效衔接施工管理工作。</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7</w:t>
      </w:r>
      <w:r>
        <w:rPr>
          <w:rFonts w:ascii="宋体" w:hAnsi="宋体"/>
          <w:b/>
          <w:color w:val="auto"/>
          <w:sz w:val="24"/>
          <w:szCs w:val="24"/>
          <w:highlight w:val="none"/>
        </w:rPr>
        <w:t>.2</w:t>
      </w:r>
      <w:r>
        <w:rPr>
          <w:rFonts w:hint="eastAsia" w:ascii="宋体" w:hAnsi="宋体"/>
          <w:b/>
          <w:color w:val="auto"/>
          <w:sz w:val="24"/>
          <w:szCs w:val="24"/>
          <w:highlight w:val="none"/>
        </w:rPr>
        <w:t>.2工程实施阶段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项目设计（含可研）范围内所有工程内容的施工（包工、包料、包税、包工期、包质量、包安全生产、包文明施工、包劳保、包验收、包保修。包承包范围内工程验收通过、包移交、包结算、包资料整理、包施工承包管理和现场整体组织、包专业协调及配合、包保修等），施工范围包括但不限于：地下室工程（包括：土方工程、基坑支护、桩基工程、土建工程、装饰工程、安装工程、电气工程、给排水工程、消防工程（含消防弱电工程）、通风防排烟工程、弱电工程、人防工程）、地上工程（包括：土建工程、装饰工程、安装工程（含：电气工程、给排水工程、消防工程（含消防弱电工程）、通风空调工程、弱电工程、电梯工程））、室外与配套公用工程（包括：道路广场、给排水及消防、供配电工程、弱电及智能化工程、路灯及室外泛光工程、绿化工程、标识系统）、绿色建筑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（1）负责</w:t>
      </w:r>
      <w:r>
        <w:rPr>
          <w:rFonts w:hint="eastAsia"/>
          <w:color w:val="auto"/>
          <w:sz w:val="24"/>
          <w:szCs w:val="24"/>
          <w:highlight w:val="none"/>
        </w:rPr>
        <w:t>积极</w:t>
      </w:r>
      <w:r>
        <w:rPr>
          <w:rFonts w:hint="eastAsia" w:ascii="宋体" w:hAnsi="宋体"/>
          <w:color w:val="auto"/>
          <w:sz w:val="24"/>
          <w:szCs w:val="24"/>
          <w:highlight w:val="none"/>
        </w:rPr>
        <w:t>配合办理工程开工及验收所需的各项报监、报建、报验手续，包括但不限于办理施工许可证（或临时施工许可）、报监手续、余泥排放证、排污手续、排水接驳、水质检测、排水许可证、临水临电、水电气等专业报建报装、分项分部工程验收、环保验收、消防验收、人防验收、卫生验收、永久排水许可证、节能验收、质量验收、规划验收、永久用电用水验收等工作，并支付办理上述工作中应由承包人承担的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BIM技术运用：本项目要求充分运用BIM，利用BIM模块进行施工模拟、方案优化、施工安全、进度控制、造价分析、实时反馈、工程自动化、供应链管理、场地布局规划、建筑垃圾处理等等。承包人应当按发包人要求提交成果文件，包括但不限于：符合招标文件要求的BIM模型；根据监理单位及发包人要求完成的碰撞检测报告和阶段成果报告；根据监理单位及发包人要求提交相应的模型渲染图，可视化效果真实的漫游动画以及施工组织模拟动画和施工进度模拟动画，渲染图和动画的材质贴图与设计要求一致，灯光效果与现场实际相符。项目结束时承包人应向发包人提交真实准确的竣工BIM文件，包括BIM模型、BIM应用资料和相关数据文本等。项目中的BIM模型成果及过程中产生的数据（含BIM模型软硬件）都归本项目业主单位所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（3）完成按有关规定应由承包人负责的检验监测工作，及配合发包人委托的第三方检测工作，由此发生的附属工程及工作费用承包人在投标报价时综合考虑，发包人不再另行支付。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负责施工期间至移交前的场地管理、保安、保洁、防噪音、防扬尘及绿化养护等管理工作；负责设置卫生垃圾池和建筑垃圾外运工作；负责设置施工污水收集过滤系统，保证污水排放不得影响周边环境；配合发包人做好各项迎检工作，对场地进行清扫和布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（5）项目红线范围内的场地围蔽施工及至本合同项下全部工程移交前的保修维护工作（该部分费用包含在承包人合同价款中）。</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组织本项目的整体竣工验收及备案和整体工程资料汇总及整理归档工作，包括结算资料整理汇总、施工图预算编制、竣工图编制及签审、规划验收电子报批文件、设计变更（含造价分析）；在本工程范围内工程资料正式移交给发包人及相关建设主管部门之前所产生的费用均包括在承包人合同价款中。</w:t>
      </w:r>
    </w:p>
    <w:p>
      <w:pPr>
        <w:spacing w:line="460" w:lineRule="exact"/>
        <w:ind w:firstLine="542" w:firstLineChars="225"/>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7</w:t>
      </w:r>
      <w:r>
        <w:rPr>
          <w:rFonts w:ascii="宋体" w:hAnsi="宋体"/>
          <w:b/>
          <w:bCs/>
          <w:color w:val="auto"/>
          <w:sz w:val="24"/>
          <w:szCs w:val="24"/>
          <w:highlight w:val="none"/>
        </w:rPr>
        <w:t>.2.</w:t>
      </w:r>
      <w:r>
        <w:rPr>
          <w:rFonts w:hint="eastAsia" w:ascii="宋体" w:hAnsi="宋体"/>
          <w:b/>
          <w:bCs/>
          <w:color w:val="auto"/>
          <w:sz w:val="24"/>
          <w:szCs w:val="24"/>
          <w:highlight w:val="none"/>
        </w:rPr>
        <w:t>3工程建设其他服务</w:t>
      </w:r>
    </w:p>
    <w:bookmarkEnd w:id="14"/>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包括但不限于：城市基础设施配套、场地准备及临时设施、工程保险、水土保持方案编制、绿色建筑工程咨询、地质灾害危险性评估、地震安全性评价、消防性能化设计评估、高可靠性供电、消防设施检测、测量测绘、劳动安全卫生评价、专项评价及验收、旧房拆除、雷电灾害风险评估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2.7.2.4如承包人不具备项目中各专业部分的相应资质，承包人应在征得发包人同意后专业分包给具备相关资质的单位并签订分包合同。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2.7.2.5根据发包人、勘察设计任务书、技术需求书等要求进行限额设计及施工。</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2.7.2.6本次招标范围不含</w:t>
      </w:r>
      <w:r>
        <w:rPr>
          <w:rFonts w:hint="eastAsia" w:ascii="宋体" w:hAnsi="宋体"/>
          <w:color w:val="auto"/>
          <w:sz w:val="24"/>
          <w:szCs w:val="24"/>
          <w:highlight w:val="none"/>
        </w:rPr>
        <w:t>：由招标人实施的对本工程的建设管理、项目前期咨询、工程招标、工程建设监理、检验监测、全过程造价咨询服务、结算审核；本建设项目的其他工程建设内容均纳入本次招标范围。</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2.8前期服务机构：</w:t>
      </w:r>
      <w:r>
        <w:rPr>
          <w:rFonts w:hint="eastAsia" w:ascii="宋体" w:hAnsi="宋体"/>
          <w:color w:val="auto"/>
          <w:sz w:val="24"/>
          <w:szCs w:val="24"/>
          <w:highlight w:val="none"/>
          <w:u w:val="single"/>
        </w:rPr>
        <w:t>广州市国际工程咨询有限公司（可研编制单位）。</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3.投标人资格要求：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3.1投标人参加投标的意思表达清楚，投标人代表被授权有效；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3.2投标人（若为联合体投标，指联合体各方）均具有独立法人资格，按国家法律经营；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3.3投标人持有建设行政主管部门颁发的企业资质证书；</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3.4投标人（若为联合体投标，由承担施工任务的施工方提供）持有建设行政主管部门颁发的有效的安全生产许可证；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3.5投标人</w:t>
      </w:r>
      <w:r>
        <w:rPr>
          <w:rFonts w:hint="eastAsia" w:ascii="宋体" w:hAnsi="宋体"/>
          <w:b/>
          <w:bCs/>
          <w:color w:val="auto"/>
          <w:sz w:val="24"/>
          <w:szCs w:val="24"/>
          <w:highlight w:val="none"/>
        </w:rPr>
        <w:t>同时</w:t>
      </w:r>
      <w:r>
        <w:rPr>
          <w:rFonts w:hint="eastAsia" w:ascii="宋体" w:hAnsi="宋体"/>
          <w:color w:val="auto"/>
          <w:sz w:val="24"/>
          <w:szCs w:val="24"/>
          <w:highlight w:val="none"/>
        </w:rPr>
        <w:t>具有承接本工程所需的勘察类、设计类和施工类资质：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（1）工程勘察资质：</w:t>
      </w:r>
      <w:r>
        <w:rPr>
          <w:rFonts w:hint="eastAsia" w:ascii="宋体" w:hAnsi="宋体"/>
          <w:color w:val="auto"/>
          <w:sz w:val="24"/>
          <w:szCs w:val="24"/>
          <w:highlight w:val="none"/>
          <w:u w:val="single"/>
        </w:rPr>
        <w:t>工程勘察综合类甲级资质，或工程勘察专业类（岩土工程）甲级资质，或工程勘察专业类（岩土工程（勘察））甲级资质；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香港企业参加投标的，须在广东省住房和城乡建设主管部门备案且备案的业务范围应符合本招标项目对工程勘察资质的要求。</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（2）工程设计资质：</w:t>
      </w:r>
      <w:r>
        <w:rPr>
          <w:rFonts w:hint="eastAsia" w:ascii="宋体" w:hAnsi="宋体"/>
          <w:color w:val="auto"/>
          <w:sz w:val="24"/>
          <w:szCs w:val="24"/>
          <w:highlight w:val="none"/>
          <w:u w:val="single"/>
        </w:rPr>
        <w:t>工程设计综合甲级资质，或建筑行业设计甲级资质，或建筑行业（建筑工程）专业设计甲级资质，或建筑设计事务所资质；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香港企业参加投标的，须在广东省住房和城乡建设主管部门备案且备案的业务范围应符合本招标项目对工程设计资质的要求；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外国或澳门、台湾的设计企业必须选择一家符合上述条件的内地企业进行合作设计。香港企业如不单独参加投标，也必须选择一家符合上述条件的内地企业进行合作设计。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（3）施工资质：</w:t>
      </w:r>
      <w:r>
        <w:rPr>
          <w:rFonts w:hint="eastAsia" w:ascii="宋体" w:hAnsi="宋体"/>
          <w:color w:val="auto"/>
          <w:sz w:val="24"/>
          <w:szCs w:val="24"/>
          <w:highlight w:val="none"/>
          <w:u w:val="single"/>
        </w:rPr>
        <w:t>建筑工程施工总承包一级（或以上）资质；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注：</w:t>
      </w:r>
      <w:r>
        <w:rPr>
          <w:rFonts w:hint="eastAsia" w:ascii="宋体" w:hAnsi="宋体" w:cs="宋体"/>
          <w:color w:val="auto"/>
          <w:sz w:val="24"/>
          <w:szCs w:val="24"/>
          <w:highlight w:val="none"/>
          <w:u w:val="single"/>
        </w:rPr>
        <w:t>（1）工程勘察设计资质：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①国内申请人具体资质要求按照《建设工程勘察设计资质管理规定》（建设部令第160号）、《建设工程勘察设计资质管理规定实施意见》（建市[2007]202号）、《工程勘察资质标准》（建市[2013]9号）、《工程设计资质标准》（建市〔2007〕86号）、《住房和城乡建设部办公厅关于建设工程企业资质延续有关事项的通知》（建办市函〔2020〕334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Fonts w:hint="eastAsia" w:ascii="宋体" w:hAnsi="宋体"/>
          <w:color w:val="auto"/>
          <w:sz w:val="24"/>
          <w:szCs w:val="24"/>
          <w:highlight w:val="none"/>
          <w:u w:val="single"/>
        </w:rPr>
        <w:t>http://zfcxjst.gd.gov.cn/xxgk/wjtz/content/post_3137220.html）确定。</w:t>
      </w:r>
      <w:r>
        <w:rPr>
          <w:rFonts w:hint="eastAsia" w:ascii="宋体" w:hAnsi="宋体"/>
          <w:color w:val="auto"/>
          <w:sz w:val="24"/>
          <w:szCs w:val="24"/>
          <w:highlight w:val="none"/>
          <w:u w:val="single"/>
        </w:rPr>
        <w:fldChar w:fldCharType="end"/>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工程施工资质：资质内容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（3）经招标人同意，中标人可以把中标项目的部分非主体、非关键性工作分包给具有相应资质和能力的专业单位实施，不免除中标人的相关责任，但不得再次分包。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3.6投标人拟担任本工程主要负责人资格要求：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s="宋体"/>
          <w:color w:val="auto"/>
          <w:sz w:val="24"/>
          <w:szCs w:val="24"/>
          <w:highlight w:val="none"/>
        </w:rPr>
        <w:t>勘察负责人（若为联合体投标，由承担勘察任务的勘察方提供）的要求为：</w:t>
      </w:r>
      <w:r>
        <w:rPr>
          <w:rFonts w:hint="eastAsia" w:ascii="宋体" w:hAnsi="宋体" w:cs="宋体"/>
          <w:color w:val="auto"/>
          <w:sz w:val="24"/>
          <w:szCs w:val="24"/>
          <w:highlight w:val="none"/>
          <w:u w:val="single"/>
        </w:rPr>
        <w:t>具有注册岩土工程师（岩土）资格，或在广东省住房和城乡建设主管部门备案且备案的业务范围符合本招标项目对勘察负责人要求的香港专业人士，拟投入人员应为本单位正式员工；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（2）设计负责人（若为联合体投标，由承担设计任务的设计方提供）的要求为：</w:t>
      </w:r>
      <w:r>
        <w:rPr>
          <w:rFonts w:hint="eastAsia" w:ascii="宋体" w:hAnsi="宋体"/>
          <w:color w:val="auto"/>
          <w:sz w:val="24"/>
          <w:szCs w:val="24"/>
          <w:highlight w:val="none"/>
          <w:u w:val="single"/>
        </w:rPr>
        <w:t>具有一级注册建筑师资格，或在广东省住房和城乡建设主管部门备案且备案的业务范围符合本招标项目对设计负责人要求的香港专业人士</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（3）项目负责人（兼施工负责人，若为联合体投标，由承担施工任务的施工方提供）的要求为：</w:t>
      </w:r>
      <w:r>
        <w:rPr>
          <w:rFonts w:hint="eastAsia" w:ascii="宋体" w:hAnsi="宋体"/>
          <w:color w:val="auto"/>
          <w:sz w:val="24"/>
          <w:szCs w:val="24"/>
          <w:highlight w:val="none"/>
          <w:u w:val="single"/>
        </w:rPr>
        <w:t>建筑工程专业一级注册建造师，项目负责人持有在有效期内的安全生产考核合格证（B类）或建筑施工企业项目负责人安全生产考核合格证书。投标登记时对投标人该项目负责人进行锁定</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（4）技术负责人（若为联合体投标，由承担施工任务的施工方提供）的要求为：</w:t>
      </w:r>
      <w:r>
        <w:rPr>
          <w:rFonts w:hint="eastAsia" w:ascii="宋体" w:hAnsi="宋体"/>
          <w:color w:val="auto"/>
          <w:sz w:val="24"/>
          <w:szCs w:val="24"/>
          <w:highlight w:val="none"/>
          <w:u w:val="single"/>
        </w:rPr>
        <w:t>建筑工程施工类专业高级或以上技术职称</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备注：①根据建办市[2019]50号文《住房和城乡建设部办公厅关于取消一级建造师临时执业证书的通知》，注册建造师不含注册临时建造师。注册建造师的专业及等级标准按《注册建造师执业管理办法（试行）执行》及《注册建造师执业工程规模标准（试行）》执行。</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根据《住房和城乡建设部办公厅关于全面实行一级建造师电子注册证书的通知》（建办市〔2021〕40号），自2022年1月1日起，一级建造师统一使用电子证书，纸质注册证书作废，具体操作流程可查阅《住房和城乡建设部一级建造师电子证照申领和使用手册》。</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u w:val="single"/>
        </w:rPr>
        <w:t>③</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项目负责人在任职期间不得担任专职安全员，项目专职安全员在任职期间也不得担任项目负责人。勘察负责人、设计负责人、项目负责人、技术负责人及项目专职安全员不为同一人。</w:t>
      </w:r>
    </w:p>
    <w:p>
      <w:pPr>
        <w:pStyle w:val="2"/>
        <w:spacing w:line="360" w:lineRule="auto"/>
        <w:ind w:firstLine="480" w:firstLineChars="200"/>
        <w:rPr>
          <w:color w:val="auto"/>
          <w:sz w:val="24"/>
          <w:szCs w:val="24"/>
          <w:highlight w:val="none"/>
        </w:rPr>
      </w:pPr>
      <w:r>
        <w:rPr>
          <w:rFonts w:hint="eastAsia" w:hAnsi="宋体" w:cs="宋体"/>
          <w:color w:val="auto"/>
          <w:kern w:val="0"/>
          <w:sz w:val="24"/>
          <w:szCs w:val="24"/>
          <w:highlight w:val="none"/>
          <w:u w:val="single"/>
        </w:rPr>
        <w:t>④</w:t>
      </w:r>
      <w:r>
        <w:rPr>
          <w:rFonts w:hint="eastAsia" w:hAnsi="宋体"/>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7</w:t>
      </w:r>
      <w:r>
        <w:rPr>
          <w:rFonts w:hint="eastAsia" w:ascii="宋体" w:hAnsi="宋体" w:cs="宋体"/>
          <w:color w:val="auto"/>
          <w:sz w:val="24"/>
          <w:szCs w:val="24"/>
          <w:highlight w:val="none"/>
        </w:rPr>
        <w:t>专职安全员（若为联合体投标，由承担施工任务的施工方提供）须持有在有效期内的安全生产考核合格证书（C类）或建筑施工企业专职安全生产管理人员安全生产考核合格证书（C3）</w:t>
      </w:r>
      <w:r>
        <w:rPr>
          <w:rFonts w:hint="eastAsia" w:ascii="宋体" w:hAnsi="宋体" w:cs="宋体"/>
          <w:color w:val="auto"/>
          <w:sz w:val="24"/>
          <w:szCs w:val="24"/>
          <w:highlight w:val="none"/>
          <w:u w:val="single"/>
        </w:rPr>
        <w:t>，拟投入人员应为本单位正式员工</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3.8类似工程业绩：施工业绩：投标人（若为联合体，指承担施工任务的施工方）自2020年1月1日至今完成过质量合格的类似工程业绩（类似工程是指合同</w:t>
      </w:r>
      <w:r>
        <w:rPr>
          <w:rFonts w:hint="eastAsia" w:ascii="宋体" w:hAnsi="宋体"/>
          <w:color w:val="auto"/>
          <w:sz w:val="24"/>
          <w:szCs w:val="24"/>
          <w:highlight w:val="none"/>
          <w:lang w:val="zh-TW" w:eastAsia="zh-TW"/>
        </w:rPr>
        <w:t>金额大于或等于5</w:t>
      </w:r>
      <w:r>
        <w:rPr>
          <w:rFonts w:hint="eastAsia" w:ascii="宋体" w:hAnsi="宋体"/>
          <w:color w:val="auto"/>
          <w:sz w:val="24"/>
          <w:szCs w:val="24"/>
          <w:highlight w:val="none"/>
        </w:rPr>
        <w:t>5</w:t>
      </w:r>
      <w:r>
        <w:rPr>
          <w:rFonts w:hint="eastAsia" w:ascii="宋体" w:hAnsi="宋体"/>
          <w:color w:val="auto"/>
          <w:sz w:val="24"/>
          <w:szCs w:val="24"/>
          <w:highlight w:val="none"/>
          <w:lang w:val="zh-TW" w:eastAsia="zh-TW"/>
        </w:rPr>
        <w:t>000万元的建筑工程施工总承包或设计施工总承包（施工部分）业绩</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业绩取自广州市住建行业信用管理平台。投标人须提供类似工程业绩的项目名称、业绩在广州市住建行业信用管理平台中项目编号及业绩在广州市住建行业信用管理平台的网页信息截图（网页信息截图须能清晰显示带有“住建行业信用管理平台”名称，并至少包含“项目基本信息”等信息）以供核对，并加盖投标人企业电子印章（业绩相关附件的上传件取广州市住建行业信用管理平台，投标阶段可不重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（1）项目金额以中标通知书为准，如中标通知书上没有显示施工部分金额或免招标的，以施工总承包合同或工程总承包合同（施工部分）（不含补充合同）为准。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（2）完成时间以竣工验收文件为准。验收文件至少具有建设单位、设计、施工和监理单位盖章。</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（3）平台内业绩上传件不符合上述要求的或登记的工程资质内容与施工合同等业绩证明资料不相符的，该项业绩不予认定。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9投标人已按照本招标公告附件一的内容签署盖章的投标人声明。</w:t>
      </w:r>
    </w:p>
    <w:p>
      <w:pPr>
        <w:spacing w:line="360" w:lineRule="auto"/>
        <w:ind w:firstLine="480" w:firstLineChars="200"/>
        <w:rPr>
          <w:rFonts w:ascii="宋体" w:hAnsi="宋体"/>
          <w:color w:val="auto"/>
          <w:sz w:val="24"/>
          <w:szCs w:val="24"/>
          <w:highlight w:val="none"/>
        </w:rPr>
      </w:pPr>
      <w:bookmarkStart w:id="15" w:name="_Toc266881397"/>
      <w:bookmarkStart w:id="16" w:name="_Toc245023997"/>
      <w:bookmarkStart w:id="17" w:name="_Toc253143216"/>
      <w:bookmarkStart w:id="18" w:name="_Toc266093545"/>
      <w:bookmarkStart w:id="19" w:name="_Toc249846223"/>
      <w:bookmarkStart w:id="20" w:name="_Toc249845968"/>
      <w:r>
        <w:rPr>
          <w:rFonts w:hint="eastAsia" w:ascii="宋体" w:hAnsi="宋体"/>
          <w:color w:val="auto"/>
          <w:sz w:val="24"/>
          <w:szCs w:val="24"/>
          <w:highlight w:val="none"/>
        </w:rPr>
        <w:t>3.10关于联合体投标：</w:t>
      </w:r>
      <w:bookmarkEnd w:id="15"/>
      <w:bookmarkEnd w:id="16"/>
      <w:bookmarkEnd w:id="17"/>
      <w:bookmarkEnd w:id="18"/>
      <w:bookmarkEnd w:id="19"/>
      <w:bookmarkEnd w:id="20"/>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3.10.1</w:t>
      </w:r>
      <w:r>
        <w:rPr>
          <w:rFonts w:hint="eastAsia" w:ascii="宋体" w:hAnsi="宋体"/>
          <w:color w:val="auto"/>
          <w:sz w:val="24"/>
          <w:szCs w:val="24"/>
          <w:highlight w:val="none"/>
          <w:u w:val="single"/>
        </w:rPr>
        <w:t>允许联合体投标，只接受最多由</w:t>
      </w:r>
      <w:r>
        <w:rPr>
          <w:rFonts w:ascii="宋体" w:hAnsi="宋体"/>
          <w:color w:val="auto"/>
          <w:sz w:val="24"/>
          <w:szCs w:val="24"/>
          <w:highlight w:val="none"/>
          <w:u w:val="single"/>
        </w:rPr>
        <w:t>3</w:t>
      </w:r>
      <w:r>
        <w:rPr>
          <w:rFonts w:hint="eastAsia" w:ascii="宋体" w:hAnsi="宋体"/>
          <w:color w:val="auto"/>
          <w:sz w:val="24"/>
          <w:szCs w:val="24"/>
          <w:highlight w:val="none"/>
          <w:u w:val="single"/>
        </w:rPr>
        <w:t>家单位（即</w:t>
      </w:r>
      <w:r>
        <w:rPr>
          <w:rFonts w:ascii="宋体" w:hAnsi="宋体"/>
          <w:color w:val="auto"/>
          <w:sz w:val="24"/>
          <w:szCs w:val="24"/>
          <w:highlight w:val="none"/>
          <w:u w:val="single"/>
        </w:rPr>
        <w:t>1</w:t>
      </w:r>
      <w:r>
        <w:rPr>
          <w:rFonts w:hint="eastAsia" w:ascii="宋体" w:hAnsi="宋体"/>
          <w:color w:val="auto"/>
          <w:sz w:val="24"/>
          <w:szCs w:val="24"/>
          <w:highlight w:val="none"/>
          <w:u w:val="single"/>
        </w:rPr>
        <w:t>家勘察单位、</w:t>
      </w:r>
      <w:r>
        <w:rPr>
          <w:rFonts w:ascii="宋体" w:hAnsi="宋体"/>
          <w:color w:val="auto"/>
          <w:sz w:val="24"/>
          <w:szCs w:val="24"/>
          <w:highlight w:val="none"/>
          <w:u w:val="single"/>
        </w:rPr>
        <w:t>1</w:t>
      </w:r>
      <w:r>
        <w:rPr>
          <w:rFonts w:hint="eastAsia" w:ascii="宋体" w:hAnsi="宋体"/>
          <w:color w:val="auto"/>
          <w:sz w:val="24"/>
          <w:szCs w:val="24"/>
          <w:highlight w:val="none"/>
          <w:u w:val="single"/>
        </w:rPr>
        <w:t>家设计单位、1家施工单位）组成的联合体，组成联合体投标的须由承担施工任务的施工方为联合体主办方</w:t>
      </w:r>
      <w:r>
        <w:rPr>
          <w:rFonts w:hint="eastAsia" w:ascii="宋体" w:hAnsi="宋体"/>
          <w:color w:val="auto"/>
          <w:sz w:val="24"/>
          <w:szCs w:val="24"/>
          <w:highlight w:val="none"/>
        </w:rPr>
        <w:t>。联合体投标的须签定联合体协议书（格式详见招标公告附件二）。联合体协议书应明确约定各方拟承担的工作和责任。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3.10.2投标人拟任本项目项目负责人、设计负责人、勘察负责人必须是联合体中对应分工成员的正式员工；以上人员不得重复兼任。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3.10.3联合体的资格条件按联合体任务分工进行评审（其中施工资质、安全生产许可证、专职安全员、项目负责人、技术负责人以承担施工任务的施工方为准；工程设计资质及设计负责人以承担设计任务的设计方为准；工程勘察资质及勘察负责人以承担勘察任务的勘察方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3.10.4联合体各方不得再以自己名义单独或加入其他联合体参加本项目的投标。</w:t>
      </w:r>
    </w:p>
    <w:p>
      <w:pPr>
        <w:wordWrap w:val="0"/>
        <w:spacing w:line="360" w:lineRule="auto"/>
        <w:ind w:firstLine="480" w:firstLineChars="200"/>
        <w:rPr>
          <w:rFonts w:ascii="宋体" w:hAnsi="宋体"/>
          <w:color w:val="auto"/>
          <w:sz w:val="24"/>
          <w:szCs w:val="24"/>
          <w:highlight w:val="none"/>
        </w:rPr>
      </w:pPr>
      <w:bookmarkStart w:id="21" w:name="_Toc245023998"/>
      <w:bookmarkStart w:id="22" w:name="_Toc253143217"/>
      <w:bookmarkStart w:id="23" w:name="_Toc266881398"/>
      <w:bookmarkStart w:id="24" w:name="_Toc249845969"/>
      <w:bookmarkStart w:id="25" w:name="_Toc266093546"/>
      <w:bookmarkStart w:id="26" w:name="_Toc249846224"/>
      <w:r>
        <w:rPr>
          <w:rFonts w:hint="eastAsia" w:ascii="宋体" w:hAnsi="宋体"/>
          <w:color w:val="auto"/>
          <w:sz w:val="24"/>
          <w:szCs w:val="24"/>
          <w:highlight w:val="none"/>
        </w:rPr>
        <w:t>3.11资格审查前，投标人（若为联合体投标，指联合体各方）须在广州市住房和城乡建设局建立企业信用档案，拟担任本工程项目负责人、技术负责人、专职安全员、设计负责人及勘察负责人（若为联合体投标，由承担相应任务方提供）须是本企业信用管理平台中登记的在册人员。（信用档案办理详见《广州市住建行业信用管理平台勘察企业信息录入办理指引》http://zfcj.gz.gov.cn/zwgk/zsdwxxgkzl/gzsjzyglfwzx/bszy/content/post_8077254.html、《广州市住建行业信用管理平台设计企业信息录入指引》</w:t>
      </w:r>
      <w:r>
        <w:rPr>
          <w:rFonts w:ascii="宋体" w:hAnsi="宋体" w:cs="宋体"/>
          <w:color w:val="auto"/>
          <w:sz w:val="24"/>
          <w:szCs w:val="24"/>
          <w:highlight w:val="none"/>
          <w:u w:val="single"/>
        </w:rPr>
        <w:t>http://zfcj.gz.gov.cn/zwgk/zsdwxxgkzl/gzsjzyglfwzx/bszy/content/post_9116013.html</w:t>
      </w:r>
      <w:r>
        <w:rPr>
          <w:rFonts w:hint="eastAsia" w:ascii="宋体" w:hAnsi="宋体"/>
          <w:color w:val="auto"/>
          <w:sz w:val="24"/>
          <w:szCs w:val="24"/>
          <w:highlight w:val="none"/>
        </w:rPr>
        <w:t>、《广州市住建行业信用管理平台施工企业信息录入指引》</w:t>
      </w:r>
      <w:r>
        <w:rPr>
          <w:rFonts w:hint="eastAsia"/>
          <w:color w:val="auto"/>
          <w:highlight w:val="none"/>
        </w:rPr>
        <w:fldChar w:fldCharType="begin"/>
      </w:r>
      <w:r>
        <w:rPr>
          <w:color w:val="auto"/>
          <w:highlight w:val="none"/>
        </w:rPr>
        <w:instrText xml:space="preserve"> HYPERLINK "http://zfcj.gz.gov.cn/zwgk/zsdwxxgkzl/gzsjzyglfwzx/bszy/content/post_8484886.html）" </w:instrText>
      </w:r>
      <w:r>
        <w:rPr>
          <w:rFonts w:hint="eastAsia"/>
          <w:color w:val="auto"/>
          <w:highlight w:val="none"/>
        </w:rPr>
        <w:fldChar w:fldCharType="separate"/>
      </w:r>
      <w:r>
        <w:rPr>
          <w:rFonts w:ascii="宋体" w:hAnsi="宋体" w:cs="宋体"/>
          <w:color w:val="auto"/>
          <w:sz w:val="24"/>
          <w:szCs w:val="24"/>
          <w:highlight w:val="none"/>
          <w:u w:val="single"/>
        </w:rPr>
        <w:t>http://zfcj.gz.gov.cn/zwgk/zsdwxxgkzl/gzsjzyglfwzx/bszy/content/post_8484886.html</w:t>
      </w:r>
      <w:r>
        <w:rPr>
          <w:rFonts w:hint="eastAsia" w:ascii="宋体" w:hAnsi="宋体"/>
          <w:color w:val="auto"/>
          <w:sz w:val="24"/>
          <w:szCs w:val="24"/>
          <w:highlight w:val="none"/>
        </w:rPr>
        <w:t>）</w:t>
      </w:r>
      <w:r>
        <w:rPr>
          <w:rFonts w:hint="eastAsia" w:ascii="宋体" w:hAnsi="宋体"/>
          <w:color w:val="auto"/>
          <w:sz w:val="24"/>
          <w:szCs w:val="24"/>
          <w:highlight w:val="none"/>
        </w:rPr>
        <w:fldChar w:fldCharType="end"/>
      </w:r>
    </w:p>
    <w:p>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3.12投标人（或联合体各方）未被列入拖欠农民工工资失信联合惩戒对象名单。</w:t>
      </w:r>
    </w:p>
    <w:p>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3.13</w:t>
      </w:r>
      <w:r>
        <w:rPr>
          <w:rFonts w:hint="eastAsia" w:ascii="宋体" w:hAnsi="宋体"/>
          <w:color w:val="auto"/>
          <w:sz w:val="24"/>
          <w:szCs w:val="24"/>
          <w:highlight w:val="none"/>
          <w:u w:val="single"/>
        </w:rPr>
        <w:t>投标人（或联合体各方）未出现以下情形：与其它投标人的单位负责人为同一人或者存在控股、管理关系的（按投标人提供的《投标人声明》第八条内容进行评审）。如不同投标人出现单位负责人为同一人或者存在控股、管理关系的情形，则否决其投标。</w:t>
      </w:r>
    </w:p>
    <w:p>
      <w:pPr>
        <w:spacing w:line="460" w:lineRule="exact"/>
        <w:ind w:firstLine="537" w:firstLineChars="224"/>
        <w:rPr>
          <w:rFonts w:ascii="Arial" w:hAnsi="Arial"/>
          <w:b/>
          <w:bCs/>
          <w:color w:val="auto"/>
          <w:sz w:val="32"/>
          <w:szCs w:val="32"/>
          <w:highlight w:val="none"/>
        </w:rPr>
      </w:pPr>
      <w:r>
        <w:rPr>
          <w:rFonts w:hint="eastAsia" w:ascii="宋体" w:hAnsi="宋体"/>
          <w:color w:val="auto"/>
          <w:sz w:val="24"/>
          <w:szCs w:val="24"/>
          <w:highlight w:val="none"/>
        </w:rPr>
        <w:t>注：</w:t>
      </w:r>
      <w:r>
        <w:rPr>
          <w:rFonts w:ascii="宋体" w:hAnsi="宋体"/>
          <w:color w:val="auto"/>
          <w:sz w:val="24"/>
          <w:szCs w:val="24"/>
          <w:highlight w:val="none"/>
        </w:rPr>
        <w:t>未在招标公告第3条单列的资审合格条件，不作为资审不合格的依据。</w:t>
      </w:r>
    </w:p>
    <w:bookmarkEnd w:id="21"/>
    <w:bookmarkEnd w:id="22"/>
    <w:bookmarkEnd w:id="23"/>
    <w:bookmarkEnd w:id="24"/>
    <w:bookmarkEnd w:id="25"/>
    <w:bookmarkEnd w:id="26"/>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4.招标文件的获取</w:t>
      </w:r>
    </w:p>
    <w:p>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公告发布时间：</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p>
    <w:p>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4.2凡有意参加投标者，请于</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广州交易集团有限公司（广州公共资源交易中心）网站 </w:t>
      </w:r>
      <w:r>
        <w:rPr>
          <w:rFonts w:hint="eastAsia" w:ascii="宋体" w:hAnsi="宋体"/>
          <w:color w:val="auto"/>
          <w:sz w:val="24"/>
          <w:szCs w:val="24"/>
          <w:highlight w:val="none"/>
        </w:rPr>
        <w:t>下载招标文件。</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3本项目资格审查方式：资格后审。</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名时为招标失败。招标人分析招标失败原因，修正招标方案，重新组织招标。</w:t>
      </w:r>
    </w:p>
    <w:p>
      <w:pPr>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w:t>
      </w:r>
      <w:r>
        <w:rPr>
          <w:rFonts w:hint="eastAsia" w:ascii="宋体" w:hAnsi="宋体"/>
          <w:color w:val="auto"/>
          <w:sz w:val="24"/>
          <w:szCs w:val="24"/>
          <w:highlight w:val="none"/>
          <w:u w:val="single"/>
        </w:rPr>
        <w:t>2资格审查结果及中标结果将在广州交易集团有限公司（广州公共资源交易中心）网站等法定媒体公示，公开接受投标人的监督。</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5.投标文件的递交与开标时间</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5.1本项目采用电子投标，投标文件递交截止时间（投标截止时间，下同）为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2023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u w:val="single"/>
        </w:rPr>
        <w:t>具体递交要求按照广州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（广州公共资源交易中心）交易平台关于全流程电子化项目的相关指南进行操作。详见：广州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（广州公共资源交易中心）最新指引。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在投标截止时间后半小时内为投标人投标文件解密时间，投标人通过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5.2投标截止时间与开标开始时间是否有变化，请密切留意招标答疑中的相关信息。</w:t>
      </w:r>
      <w:r>
        <w:rPr>
          <w:rFonts w:hint="eastAsia" w:ascii="宋体" w:hAnsi="宋体" w:cs="宋体"/>
          <w:color w:val="auto"/>
          <w:sz w:val="24"/>
          <w:szCs w:val="24"/>
          <w:highlight w:val="none"/>
          <w:u w:val="single"/>
        </w:rPr>
        <w:t>本项目各项投标活动具体可通过广州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（广州公共资源交易中心）网站查询具体的时间和场地安排。投标人可登录广州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首页，点击“交易业务-建设工程”专栏中的“项目查询（日程安排、答疑纪要）”，输入项目编号或项目名称查询最新信息。递交投标文件截止时间及开标时间是否有变化，请密切留意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（广州公共资源交易中心）网站的相关信息。</w:t>
      </w:r>
      <w:r>
        <w:rPr>
          <w:rFonts w:hint="eastAsia" w:ascii="宋体" w:hAnsi="宋体" w:cs="宋体"/>
          <w:color w:val="auto"/>
          <w:sz w:val="24"/>
          <w:szCs w:val="24"/>
          <w:highlight w:val="none"/>
        </w:rPr>
        <w:t>递交投标文件截止时间后，开标开始时间因故推迟的，相关评标信息仍以原递交投标文件截止时间的信息为准。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交易平台网站办理网上投标登记手续。完成所有投标文件的上传，并取得回执码，</w:t>
      </w:r>
      <w:r>
        <w:rPr>
          <w:rFonts w:hint="eastAsia" w:ascii="宋体" w:hAnsi="宋体" w:cs="宋体"/>
          <w:b/>
          <w:bCs/>
          <w:color w:val="auto"/>
          <w:sz w:val="24"/>
          <w:szCs w:val="24"/>
          <w:highlight w:val="none"/>
        </w:rPr>
        <w:t>投标截止时间前未完成投标文件传输的，视为未递交投标文件</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5.5在投标文件递交截止时间之前，投标人可以撤回或替换已递交的投标文件；可以修改网上投标登记相关信息。</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5.6递交投标文件光盘备用：</w:t>
      </w:r>
    </w:p>
    <w:p>
      <w:pP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递交时间：</w:t>
      </w:r>
      <w:r>
        <w:rPr>
          <w:rFonts w:hint="eastAsia" w:ascii="宋体" w:hAnsi="宋体" w:cs="宋体"/>
          <w:color w:val="auto"/>
          <w:sz w:val="24"/>
          <w:szCs w:val="24"/>
          <w:highlight w:val="none"/>
          <w:u w:val="single"/>
        </w:rPr>
        <w:t>2023年  月  日  时  分至2023年  月  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分；</w:t>
      </w:r>
    </w:p>
    <w:p>
      <w:pP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递交地点：</w:t>
      </w:r>
      <w:r>
        <w:rPr>
          <w:rFonts w:hint="eastAsia" w:ascii="宋体" w:hAnsi="宋体" w:cs="宋体"/>
          <w:color w:val="auto"/>
          <w:sz w:val="24"/>
          <w:szCs w:val="24"/>
          <w:highlight w:val="none"/>
          <w:u w:val="single"/>
        </w:rPr>
        <w:t>广州公共资源交易中心第  开标室（中心本部）。</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5.7开标开始时间：</w:t>
      </w:r>
      <w:r>
        <w:rPr>
          <w:rFonts w:hint="eastAsia" w:ascii="宋体" w:hAnsi="宋体" w:cs="宋体"/>
          <w:color w:val="auto"/>
          <w:sz w:val="24"/>
          <w:szCs w:val="24"/>
          <w:highlight w:val="none"/>
          <w:u w:val="single"/>
        </w:rPr>
        <w:t>202</w:t>
      </w:r>
      <w:r>
        <w:rPr>
          <w:rFonts w:ascii="宋体" w:hAnsi="宋体" w:cs="宋体"/>
          <w:color w:val="auto"/>
          <w:sz w:val="24"/>
          <w:szCs w:val="24"/>
          <w:highlight w:val="none"/>
          <w:u w:val="single"/>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900" w:firstLineChars="375"/>
        <w:rPr>
          <w:color w:val="auto"/>
          <w:highlight w:val="none"/>
          <w:u w:val="single"/>
        </w:rPr>
      </w:pPr>
      <w:r>
        <w:rPr>
          <w:rFonts w:hint="eastAsia" w:ascii="宋体" w:hAnsi="宋体" w:cs="宋体"/>
          <w:color w:val="auto"/>
          <w:sz w:val="24"/>
          <w:szCs w:val="24"/>
          <w:highlight w:val="none"/>
        </w:rPr>
        <w:t>开标地点：</w:t>
      </w:r>
      <w:r>
        <w:rPr>
          <w:rFonts w:hint="eastAsia" w:ascii="宋体" w:hAnsi="宋体" w:cs="宋体"/>
          <w:color w:val="auto"/>
          <w:sz w:val="24"/>
          <w:szCs w:val="24"/>
          <w:highlight w:val="none"/>
          <w:u w:val="single"/>
        </w:rPr>
        <w:t>广州公共资源交易中心第  开标室（中心本部）。</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6.发布公告的媒介</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本次招标公告同时在</w:t>
      </w:r>
      <w:r>
        <w:rPr>
          <w:rFonts w:hint="eastAsia" w:ascii="宋体" w:hAnsi="宋体"/>
          <w:color w:val="auto"/>
          <w:sz w:val="24"/>
          <w:szCs w:val="21"/>
          <w:highlight w:val="none"/>
          <w:u w:val="single"/>
        </w:rPr>
        <w:t>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http://www.gzggzy.cn</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http://www.cebpubservice.com/</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)、广东省招标投标监管网（网址：https://www.gdzwfw.gov.cn/ztbjg-portal/#/index）发布，本公告的修改、</w:t>
      </w:r>
      <w:r>
        <w:rPr>
          <w:rFonts w:hint="eastAsia" w:ascii="宋体" w:hAnsi="宋体"/>
          <w:color w:val="auto"/>
          <w:sz w:val="24"/>
          <w:szCs w:val="21"/>
          <w:highlight w:val="none"/>
        </w:rPr>
        <w:t>补充，在广州交易集团有限公司（广州公共资源交易中心）网站发布。招标公告、公示信息的发布时间和内容，以在广东省招标投标监管网（网址：</w:t>
      </w:r>
      <w:r>
        <w:rPr>
          <w:rFonts w:hint="eastAsia" w:ascii="宋体" w:hAnsi="宋体"/>
          <w:color w:val="auto"/>
          <w:sz w:val="24"/>
          <w:szCs w:val="21"/>
          <w:highlight w:val="none"/>
          <w:u w:val="single"/>
        </w:rPr>
        <w:t>https://www.gdzwfw.gov.cn/ztbjg-portal/#/index</w:t>
      </w:r>
      <w:r>
        <w:rPr>
          <w:rFonts w:hint="eastAsia" w:ascii="宋体" w:hAnsi="宋体"/>
          <w:color w:val="auto"/>
          <w:sz w:val="24"/>
          <w:szCs w:val="21"/>
          <w:highlight w:val="none"/>
        </w:rPr>
        <w:t>）发布的为准。</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7.其他说明</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7.2投标时是否需要提交设计模型：否。</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7.3投标文件全部采用电子文档，投标人按招标文件要求提交投标文件。若投标文件中的部分内容要求取自广州市住建行业信用管理平台的，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7.4参加投标之前，投标人应查询企业信息登记情况、拟登记人员的使用状态，以免出现企业信息以及拟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8.联系方式</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rPr>
        <w:t>中山大学附属第一医院</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苏老师</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020-87608345</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广东省广州市越秀区中山二路58号</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广东省机电设备招标有限公司</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卓工、</w:t>
      </w:r>
      <w:r>
        <w:rPr>
          <w:rFonts w:hint="eastAsia" w:ascii="宋体" w:hAnsi="宋体" w:cs="宋体"/>
          <w:color w:val="auto"/>
          <w:sz w:val="24"/>
          <w:szCs w:val="24"/>
          <w:highlight w:val="none"/>
          <w:u w:val="single"/>
          <w:lang w:eastAsia="zh-CN"/>
        </w:rPr>
        <w:t>王</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020-8</w:t>
      </w:r>
      <w:r>
        <w:rPr>
          <w:rFonts w:ascii="宋体" w:hAnsi="宋体" w:cs="宋体"/>
          <w:color w:val="auto"/>
          <w:sz w:val="24"/>
          <w:szCs w:val="24"/>
          <w:highlight w:val="none"/>
          <w:u w:val="single"/>
        </w:rPr>
        <w:t>3543621</w:t>
      </w:r>
      <w:r>
        <w:rPr>
          <w:rFonts w:hint="eastAsia" w:ascii="宋体" w:hAnsi="宋体" w:cs="宋体"/>
          <w:color w:val="auto"/>
          <w:sz w:val="24"/>
          <w:szCs w:val="24"/>
          <w:highlight w:val="none"/>
          <w:u w:val="single"/>
          <w:lang w:eastAsia="zh-CN"/>
        </w:rPr>
        <w:t>、83544078</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广州市越秀区环市中路316号金鹰大厦</w:t>
      </w:r>
      <w:r>
        <w:rPr>
          <w:rFonts w:ascii="宋体" w:hAnsi="宋体" w:cs="宋体"/>
          <w:color w:val="auto"/>
          <w:sz w:val="24"/>
          <w:szCs w:val="24"/>
          <w:highlight w:val="none"/>
          <w:u w:val="single"/>
        </w:rPr>
        <w:t>10</w:t>
      </w:r>
      <w:r>
        <w:rPr>
          <w:rFonts w:hint="eastAsia" w:ascii="宋体" w:hAnsi="宋体" w:cs="宋体"/>
          <w:color w:val="auto"/>
          <w:sz w:val="24"/>
          <w:szCs w:val="24"/>
          <w:highlight w:val="none"/>
          <w:u w:val="single"/>
        </w:rPr>
        <w:t>楼</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广州市建设工程招标管理办公室</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020-28866214</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广州市天河区天润路333号3楼</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潜在投标人或利害关系人对本招标公告及招标文件有异议的，应当在投标截止时间10日前向招标人书面提出。</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中山大学附属第一医院</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rPr>
        <w:t>020-28823002-87</w:t>
      </w:r>
    </w:p>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广东省广州市越秀区中山二路58号</w:t>
      </w:r>
    </w:p>
    <w:p>
      <w:pPr>
        <w:wordWrap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注：潜在投标人或利害关系人可以通过线下或线上的形式提出异议。线上提出异议的，应通过交易平台提交，招标人也应通过交易平台答复线上提出的异议。具体按照交易平台相关指南进行操作。详见：</w:t>
      </w:r>
      <w:r>
        <w:rPr>
          <w:rFonts w:hint="eastAsia" w:ascii="宋体" w:hAnsi="宋体"/>
          <w:color w:val="auto"/>
          <w:sz w:val="24"/>
          <w:szCs w:val="21"/>
          <w:highlight w:val="none"/>
          <w:u w:val="single"/>
        </w:rPr>
        <w:t>广州交易集团有限公司（广州公共资源交易中心）</w:t>
      </w:r>
      <w:r>
        <w:rPr>
          <w:rFonts w:hint="eastAsia" w:ascii="宋体" w:hAnsi="宋体" w:cs="宋体"/>
          <w:color w:val="auto"/>
          <w:sz w:val="24"/>
          <w:szCs w:val="24"/>
          <w:highlight w:val="none"/>
          <w:u w:val="single"/>
        </w:rPr>
        <w:t>网站-&gt;服务指南-&gt;系统帮助-&gt;操作手册-&gt;《发起及受理异议操作指引》（http://www.gzggzy.cn/fwznxtbzczsc/928325.jhtml）。作出答复前，应当暂停招标投标活动。</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9.特别提示</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投标人在本项目招标人的工程项目中存在下列行为的，</w:t>
      </w:r>
      <w:r>
        <w:rPr>
          <w:rFonts w:hint="eastAsia" w:ascii="宋体" w:hAnsi="宋体"/>
          <w:color w:val="auto"/>
          <w:sz w:val="24"/>
          <w:szCs w:val="24"/>
          <w:highlight w:val="none"/>
          <w:u w:val="single"/>
          <w:shd w:val="clear" w:color="auto" w:fill="FFFFFF"/>
        </w:rPr>
        <w:t>将被拒绝一年内参与招标人后续工程投标。（注：自招标人发出通知之日起计）</w:t>
      </w:r>
      <w:r>
        <w:rPr>
          <w:rFonts w:hint="eastAsia" w:ascii="宋体" w:hAnsi="宋体"/>
          <w:color w:val="auto"/>
          <w:sz w:val="24"/>
          <w:szCs w:val="24"/>
          <w:highlight w:val="none"/>
          <w:shd w:val="clear" w:color="auto" w:fill="FFFFFF"/>
        </w:rPr>
        <w:t>：</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1.将中标工程转包或者违法分包的；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2.在中标工程中不执行质量、安全生产相关规定的，造成质量或安全事故的；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3.存在围标或串标情形的；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4.在投标文件中提供虚假材料的；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5.存在行贿情形的；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6.拖欠农民工工资的；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7.未按照国家、省、市有关建筑施工实名制管理和工人工资支付分账管理的规定执行，被行政监管部门处罚的。</w:t>
      </w:r>
    </w:p>
    <w:p>
      <w:pPr>
        <w:spacing w:line="460" w:lineRule="exact"/>
        <w:ind w:firstLine="537" w:firstLineChars="224"/>
        <w:rPr>
          <w:color w:val="auto"/>
          <w:highlight w:val="none"/>
        </w:rPr>
      </w:pPr>
      <w:r>
        <w:rPr>
          <w:rFonts w:hint="eastAsia" w:ascii="宋体" w:hAnsi="宋体"/>
          <w:color w:val="auto"/>
          <w:sz w:val="24"/>
          <w:szCs w:val="24"/>
          <w:highlight w:val="none"/>
          <w:shd w:val="clear" w:color="auto" w:fill="FFFFFF"/>
        </w:rPr>
        <w:t>8.中标人在项目实施过程中选取的专业分包单位或劳务企业或劳务班组长与投标时不一致的（如有）。</w:t>
      </w:r>
    </w:p>
    <w:p>
      <w:pPr>
        <w:spacing w:line="460" w:lineRule="exact"/>
        <w:ind w:right="136" w:rightChars="65" w:firstLine="3578" w:firstLineChars="1491"/>
        <w:rPr>
          <w:rFonts w:hint="eastAsia" w:ascii="宋体" w:hAnsi="宋体"/>
          <w:color w:val="auto"/>
          <w:sz w:val="24"/>
          <w:highlight w:val="none"/>
        </w:rPr>
      </w:pPr>
    </w:p>
    <w:p>
      <w:pPr>
        <w:spacing w:line="460" w:lineRule="exact"/>
        <w:ind w:right="136" w:rightChars="65" w:firstLine="3578" w:firstLineChars="1491"/>
        <w:rPr>
          <w:rFonts w:hint="eastAsia" w:ascii="宋体" w:hAnsi="宋体"/>
          <w:color w:val="auto"/>
          <w:sz w:val="24"/>
          <w:highlight w:val="none"/>
        </w:rPr>
      </w:pPr>
    </w:p>
    <w:p>
      <w:pPr>
        <w:spacing w:line="460" w:lineRule="exact"/>
        <w:ind w:right="136" w:rightChars="65" w:firstLine="3578" w:firstLineChars="1491"/>
        <w:rPr>
          <w:rFonts w:ascii="宋体" w:hAnsi="宋体"/>
          <w:color w:val="auto"/>
          <w:sz w:val="24"/>
          <w:highlight w:val="none"/>
        </w:rPr>
      </w:pPr>
      <w:bookmarkStart w:id="33" w:name="_GoBack"/>
      <w:bookmarkEnd w:id="33"/>
      <w:r>
        <w:rPr>
          <w:rFonts w:hint="eastAsia" w:ascii="宋体" w:hAnsi="宋体"/>
          <w:color w:val="auto"/>
          <w:sz w:val="24"/>
          <w:highlight w:val="none"/>
        </w:rPr>
        <w:t>招标人：中山大学附属第一医院</w:t>
      </w:r>
    </w:p>
    <w:p>
      <w:pPr>
        <w:tabs>
          <w:tab w:val="left" w:pos="4140"/>
          <w:tab w:val="left" w:pos="4500"/>
        </w:tabs>
        <w:spacing w:line="460" w:lineRule="exact"/>
        <w:ind w:right="136" w:rightChars="65" w:firstLine="3578" w:firstLineChars="1491"/>
        <w:rPr>
          <w:rFonts w:ascii="宋体" w:hAnsi="宋体"/>
          <w:color w:val="auto"/>
          <w:sz w:val="24"/>
          <w:highlight w:val="none"/>
        </w:rPr>
      </w:pPr>
      <w:r>
        <w:rPr>
          <w:rFonts w:hint="eastAsia" w:ascii="宋体" w:hAnsi="宋体"/>
          <w:color w:val="auto"/>
          <w:sz w:val="24"/>
          <w:highlight w:val="none"/>
        </w:rPr>
        <w:t>招标代理单位：广东省机电设备招标有限公司</w:t>
      </w:r>
    </w:p>
    <w:p>
      <w:pPr>
        <w:snapToGrid w:val="0"/>
        <w:spacing w:line="460" w:lineRule="exact"/>
        <w:ind w:right="136" w:rightChars="65" w:firstLine="3578" w:firstLineChars="1491"/>
        <w:rPr>
          <w:rFonts w:ascii="宋体" w:hAnsi="宋体"/>
          <w:color w:val="auto"/>
          <w:sz w:val="24"/>
          <w:highlight w:val="none"/>
        </w:rPr>
      </w:pPr>
      <w:r>
        <w:rPr>
          <w:rFonts w:ascii="宋体" w:hAnsi="宋体"/>
          <w:color w:val="auto"/>
          <w:sz w:val="24"/>
          <w:highlight w:val="none"/>
        </w:rPr>
        <w:t>2023</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p>
    <w:p>
      <w:pPr>
        <w:widowControl/>
        <w:jc w:val="left"/>
        <w:rPr>
          <w:rFonts w:ascii="宋体" w:hAnsi="宋体"/>
          <w:color w:val="auto"/>
          <w:sz w:val="24"/>
          <w:highlight w:val="none"/>
        </w:rPr>
      </w:pPr>
      <w:bookmarkStart w:id="27" w:name="_Toc249846231"/>
      <w:bookmarkStart w:id="28" w:name="_Toc253143223"/>
      <w:bookmarkStart w:id="29" w:name="_Toc266093552"/>
      <w:bookmarkStart w:id="30" w:name="_Toc245024004"/>
      <w:bookmarkStart w:id="31" w:name="_Toc266881404"/>
      <w:bookmarkStart w:id="32" w:name="_Toc249845976"/>
      <w:r>
        <w:rPr>
          <w:rFonts w:ascii="宋体" w:hAnsi="宋体"/>
          <w:color w:val="auto"/>
          <w:sz w:val="24"/>
          <w:highlight w:val="none"/>
        </w:rPr>
        <w:br w:type="page"/>
      </w:r>
    </w:p>
    <w:p>
      <w:pPr>
        <w:adjustRightInd w:val="0"/>
        <w:snapToGrid w:val="0"/>
        <w:spacing w:line="324" w:lineRule="auto"/>
        <w:jc w:val="left"/>
        <w:rPr>
          <w:color w:val="auto"/>
          <w:highlight w:val="none"/>
        </w:rPr>
      </w:pPr>
      <w:r>
        <w:rPr>
          <w:rFonts w:hint="eastAsia" w:ascii="宋体" w:hAnsi="宋体" w:cs="宋体"/>
          <w:color w:val="auto"/>
          <w:sz w:val="24"/>
          <w:highlight w:val="none"/>
        </w:rPr>
        <w:t>附件一：</w:t>
      </w:r>
    </w:p>
    <w:bookmarkEnd w:id="27"/>
    <w:bookmarkEnd w:id="28"/>
    <w:bookmarkEnd w:id="29"/>
    <w:bookmarkEnd w:id="30"/>
    <w:bookmarkEnd w:id="31"/>
    <w:bookmarkEnd w:id="32"/>
    <w:p>
      <w:pPr>
        <w:spacing w:line="4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投标人声明</w:t>
      </w:r>
    </w:p>
    <w:p>
      <w:pPr>
        <w:rPr>
          <w:rFonts w:ascii="宋体" w:hAnsi="宋体"/>
          <w:color w:val="auto"/>
          <w:sz w:val="24"/>
          <w:szCs w:val="24"/>
          <w:highlight w:val="none"/>
        </w:rPr>
      </w:pPr>
    </w:p>
    <w:p>
      <w:pPr>
        <w:spacing w:line="460" w:lineRule="exact"/>
        <w:rPr>
          <w:rFonts w:ascii="宋体" w:hAnsi="宋体"/>
          <w:color w:val="auto"/>
          <w:sz w:val="24"/>
          <w:szCs w:val="24"/>
          <w:highlight w:val="none"/>
        </w:rPr>
      </w:pPr>
      <w:r>
        <w:rPr>
          <w:rFonts w:hint="eastAsia" w:ascii="宋体" w:hAnsi="宋体"/>
          <w:color w:val="auto"/>
          <w:sz w:val="24"/>
          <w:szCs w:val="24"/>
          <w:highlight w:val="none"/>
        </w:rPr>
        <w:t>广州市住房和城乡建设局、本招标项目招标人及招标监管机构：</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本公司就参加</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一、我方保证投标文件及其后提供的一切材料都是真实的。如我方成为本项目中标候选人，我方同意并授权招标人将我方投标文件商务部分的人员、业绩、奖项等资料进行公开。</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二、我方保证在本项目投标中不与其他单位围标、串标，不出让投标资格，不向招标人或评标委员会成员行贿。</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三、我方不存在下列情形之一：</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（一）为招标人不具有独立法人资格的附属机构（单位）；</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（二）为本标段前期准备提供设计或咨询服务或者与本项目设计人或提供咨询服务的机构存在附属关系的；</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（三）为本标段监理人或者与本标段监理人存在隶属关系或者其他利害关系；</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（四）为本标段的代建人；</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（五）为本标段提供招标代理服务的；</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（六）与本标段的监理人或代建人或招标代理机构同为一个法定代表人的；</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（七）与本标段的监理人或代建人或招标代理机构互相控股或参股的；</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（八）与本标段的监理人或代建人或招标代理机构相互任职或工作的；</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（九）与本标段的检测机构有隶属关系或者其他利害关系；</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（十）与招标人存在利害关系且可能影响招标公正性；</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（十一）被依法暂停或取消投标资格的；（</w:t>
      </w:r>
      <w:r>
        <w:rPr>
          <w:rFonts w:hint="eastAsia" w:hAnsi="宋体" w:cs="宋体"/>
          <w:bCs/>
          <w:color w:val="auto"/>
          <w:kern w:val="0"/>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auto"/>
          <w:kern w:val="0"/>
          <w:sz w:val="24"/>
          <w:szCs w:val="24"/>
          <w:highlight w:val="none"/>
        </w:rPr>
        <w:t>）</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（十二）被责令停产停业、暂扣或者吊销许可证、暂扣或者吊销执照的；（</w:t>
      </w:r>
      <w:r>
        <w:rPr>
          <w:rFonts w:hint="eastAsia" w:hAnsi="宋体" w:cs="宋体"/>
          <w:bCs/>
          <w:color w:val="auto"/>
          <w:kern w:val="0"/>
          <w:sz w:val="24"/>
          <w:szCs w:val="24"/>
          <w:highlight w:val="none"/>
          <w:lang w:val="zh-CN"/>
        </w:rPr>
        <w:t>本项事实应当以根据《中华人民共和国行政处罚法》依法作出并已经生效的行政处罚决定为认定依据。</w:t>
      </w:r>
      <w:r>
        <w:rPr>
          <w:rFonts w:hint="eastAsia" w:hAnsi="宋体" w:cs="宋体"/>
          <w:bCs/>
          <w:color w:val="auto"/>
          <w:kern w:val="0"/>
          <w:sz w:val="24"/>
          <w:szCs w:val="24"/>
          <w:highlight w:val="none"/>
        </w:rPr>
        <w:t>）</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（十三）进入清算程序，或被宣布破产，或其他丧失履约能力的情形；</w:t>
      </w:r>
    </w:p>
    <w:p>
      <w:pPr>
        <w:pStyle w:val="2"/>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（十四）在最近三年内有严重违约或重大工程质量问题的；（</w:t>
      </w:r>
      <w:r>
        <w:rPr>
          <w:rFonts w:hint="eastAsia" w:hAnsi="宋体" w:cs="宋体"/>
          <w:bCs/>
          <w:color w:val="auto"/>
          <w:kern w:val="0"/>
          <w:sz w:val="24"/>
          <w:szCs w:val="24"/>
          <w:highlight w:val="none"/>
          <w:lang w:val="zh-CN"/>
        </w:rPr>
        <w:t>“严重违约”事实应当以</w:t>
      </w:r>
      <w:r>
        <w:rPr>
          <w:rFonts w:hint="eastAsia" w:hAnsi="宋体" w:cs="宋体"/>
          <w:bCs/>
          <w:color w:val="auto"/>
          <w:kern w:val="0"/>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adjustRightInd w:val="0"/>
        <w:snapToGrid w:val="0"/>
        <w:spacing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（十五）法律法规规定的其他情形。</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四、我方保证本项目拟派的项目负责人没有在其他在建工程项目中担任工程总承包项目负责人、施工项目负责人，本项目拟派的施工项目负责人、专职安全员没有在其他在建项目中任职。</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七、我方承诺，切实落实《住房城乡建设部</w:t>
      </w:r>
      <w:r>
        <w:rPr>
          <w:rFonts w:ascii="宋体" w:hAnsi="宋体" w:eastAsia="宋体"/>
          <w:color w:val="auto"/>
          <w:sz w:val="24"/>
          <w:szCs w:val="24"/>
          <w:highlight w:val="none"/>
        </w:rPr>
        <w:t xml:space="preserve"> 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《广州市住房和城乡建设局关于印发&lt;广州市建筑施工实名制管理办法&gt;的通知》（穗建规字〔2020〕18号）、《广州市建设领域工人工资支付分账管理实施细则》（穗建规字〔2020〕37号）</w:t>
      </w:r>
      <w:r>
        <w:rPr>
          <w:rFonts w:ascii="宋体" w:hAnsi="宋体" w:eastAsia="宋体"/>
          <w:color w:val="auto"/>
          <w:sz w:val="24"/>
          <w:szCs w:val="24"/>
          <w:highlight w:val="none"/>
        </w:rPr>
        <w:t>、《关于印发广州市房屋建筑及市政工程实名制和工资支付分账平台化管理工作方案的通知》（穗建筑〔201</w:t>
      </w:r>
      <w:r>
        <w:rPr>
          <w:rFonts w:hint="eastAsia" w:ascii="宋体" w:hAnsi="宋体" w:eastAsia="宋体"/>
          <w:color w:val="auto"/>
          <w:sz w:val="24"/>
          <w:szCs w:val="24"/>
          <w:highlight w:val="none"/>
        </w:rPr>
        <w:t>8</w:t>
      </w:r>
      <w:r>
        <w:rPr>
          <w:rFonts w:ascii="宋体" w:hAnsi="宋体" w:eastAsia="宋体"/>
          <w:color w:val="auto"/>
          <w:sz w:val="24"/>
          <w:szCs w:val="24"/>
          <w:highlight w:val="none"/>
        </w:rPr>
        <w:t>〕183号）、《广州市住房和城乡建设委员会关于转发&lt;广东省住房和城乡建设厅关</w:t>
      </w:r>
      <w:r>
        <w:rPr>
          <w:rFonts w:hint="eastAsia" w:ascii="宋体" w:hAnsi="宋体" w:eastAsia="宋体"/>
          <w:color w:val="auto"/>
          <w:sz w:val="24"/>
          <w:szCs w:val="24"/>
          <w:highlight w:val="none"/>
        </w:rPr>
        <w:t>于房屋建筑和市政基础设施工程用工实名管理暂行办法</w:t>
      </w:r>
      <w:r>
        <w:rPr>
          <w:rFonts w:ascii="宋体" w:hAnsi="宋体" w:eastAsia="宋体"/>
          <w:color w:val="auto"/>
          <w:sz w:val="24"/>
          <w:szCs w:val="24"/>
          <w:highlight w:val="none"/>
        </w:rPr>
        <w:t>&gt;的通知》（穗建筑〔2018〕981号）等关于用工实名制和工人工资支付分账管理的各项规定。</w:t>
      </w:r>
      <w:r>
        <w:rPr>
          <w:rFonts w:hint="eastAsia" w:ascii="宋体" w:hAnsi="宋体" w:eastAsia="宋体"/>
          <w:color w:val="auto"/>
          <w:sz w:val="24"/>
          <w:szCs w:val="24"/>
          <w:highlight w:val="none"/>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八、与我方单位负责人为同一人或者与我方存在控股、管理关系的其他单位包括：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。（注：本条由投标人如实填写，如有，应列出的联合体各方全部满足招标公告资质要求的相关单位的名称；如无，则填写“无”。）</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21"/>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adjustRightInd w:val="0"/>
        <w:snapToGrid w:val="0"/>
        <w:spacing w:line="44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adjustRightInd w:val="0"/>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特此声明</w:t>
      </w:r>
    </w:p>
    <w:p>
      <w:pPr>
        <w:spacing w:line="276" w:lineRule="auto"/>
        <w:ind w:firstLine="480" w:firstLineChars="200"/>
        <w:rPr>
          <w:rFonts w:ascii="宋体" w:hAnsi="宋体"/>
          <w:color w:val="auto"/>
          <w:sz w:val="24"/>
          <w:szCs w:val="24"/>
          <w:highlight w:val="none"/>
        </w:rPr>
      </w:pPr>
    </w:p>
    <w:p>
      <w:pPr>
        <w:pStyle w:val="22"/>
        <w:spacing w:line="480" w:lineRule="auto"/>
        <w:ind w:left="0" w:right="138" w:firstLine="4320" w:firstLineChars="18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pPr>
        <w:pStyle w:val="22"/>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p>
    <w:p>
      <w:pPr>
        <w:pStyle w:val="22"/>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项目负责人（兼施工负责人）签字：</w:t>
      </w:r>
    </w:p>
    <w:p>
      <w:pPr>
        <w:pStyle w:val="22"/>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pPr>
        <w:pStyle w:val="22"/>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设计负责人签字：</w:t>
      </w:r>
    </w:p>
    <w:p>
      <w:pPr>
        <w:pStyle w:val="22"/>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勘察负责人签字：</w:t>
      </w:r>
    </w:p>
    <w:p>
      <w:pPr>
        <w:pStyle w:val="22"/>
        <w:spacing w:line="520" w:lineRule="exact"/>
        <w:ind w:left="0" w:right="136" w:firstLine="5040" w:firstLineChars="21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pStyle w:val="22"/>
        <w:spacing w:line="480" w:lineRule="auto"/>
        <w:ind w:left="0" w:right="138" w:firstLine="4560" w:firstLineChars="19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（企业公章）</w:t>
      </w:r>
    </w:p>
    <w:p>
      <w:pPr>
        <w:pStyle w:val="22"/>
        <w:ind w:left="0" w:right="138"/>
        <w:jc w:val="left"/>
        <w:rPr>
          <w:rFonts w:ascii="宋体" w:hAnsi="宋体" w:eastAsia="宋体"/>
          <w:color w:val="auto"/>
          <w:sz w:val="24"/>
          <w:szCs w:val="24"/>
          <w:highlight w:val="none"/>
        </w:rPr>
      </w:pPr>
    </w:p>
    <w:p>
      <w:pP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1、联合体投标的，“声明企业”应填写联合体各方成员的单位全称【格式表示为：(主)单位全称（成)单位全称（成)……】，“企业公章”可由联合体主办方加盖企业公章；“法定代表人签字”仅由联合体主办方法定代表人签字即可。</w:t>
      </w:r>
    </w:p>
    <w:p>
      <w:pP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2、投标人拟派项目负责人（兼施工负责人）、技术负责人、设计负责人及勘察负责人应在本投标人声明上签字。</w:t>
      </w:r>
    </w:p>
    <w:p>
      <w:pPr>
        <w:rPr>
          <w:rFonts w:ascii="宋体" w:hAnsi="宋体"/>
          <w:color w:val="auto"/>
          <w:sz w:val="24"/>
          <w:szCs w:val="24"/>
          <w:highlight w:val="none"/>
        </w:rPr>
      </w:pPr>
      <w:r>
        <w:rPr>
          <w:rFonts w:hint="eastAsia" w:ascii="宋体" w:hAnsi="宋体"/>
          <w:color w:val="auto"/>
          <w:sz w:val="24"/>
          <w:szCs w:val="24"/>
          <w:highlight w:val="none"/>
        </w:rPr>
        <w:br w:type="page"/>
      </w:r>
    </w:p>
    <w:p>
      <w:pPr>
        <w:spacing w:line="360" w:lineRule="auto"/>
        <w:rPr>
          <w:rFonts w:ascii="宋体" w:hAnsi="宋体" w:cs="宋体"/>
          <w:color w:val="auto"/>
          <w:highlight w:val="none"/>
        </w:rPr>
      </w:pPr>
      <w:r>
        <w:rPr>
          <w:rFonts w:hint="eastAsia" w:ascii="宋体" w:hAnsi="宋体" w:cs="宋体"/>
          <w:color w:val="auto"/>
          <w:highlight w:val="none"/>
        </w:rPr>
        <w:t>附件二：</w:t>
      </w:r>
    </w:p>
    <w:p>
      <w:pPr>
        <w:spacing w:line="360" w:lineRule="auto"/>
        <w:jc w:val="center"/>
        <w:rPr>
          <w:rFonts w:ascii="宋体" w:hAnsi="宋体"/>
          <w:color w:val="auto"/>
          <w:sz w:val="24"/>
          <w:highlight w:val="none"/>
        </w:rPr>
      </w:pPr>
      <w:r>
        <w:rPr>
          <w:rFonts w:hint="eastAsia" w:ascii="宋体" w:hAnsi="宋体"/>
          <w:b/>
          <w:bCs/>
          <w:color w:val="auto"/>
          <w:sz w:val="32"/>
          <w:highlight w:val="none"/>
        </w:rPr>
        <w:t>联合体协议书</w:t>
      </w:r>
    </w:p>
    <w:p>
      <w:pPr>
        <w:topLinePunct/>
        <w:adjustRightInd w:val="0"/>
        <w:snapToGrid w:val="0"/>
        <w:spacing w:line="240" w:lineRule="atLeast"/>
        <w:ind w:firstLine="420" w:firstLineChars="200"/>
        <w:rPr>
          <w:rFonts w:ascii="宋体" w:hAnsi="宋体"/>
          <w:color w:val="auto"/>
          <w:szCs w:val="21"/>
          <w:highlight w:val="none"/>
          <w:u w:val="single"/>
        </w:rPr>
      </w:pPr>
    </w:p>
    <w:p>
      <w:pP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（联合体主办方单位名称、联合体各成员单位名称）自愿组成联合体，共同参加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（项目名称）    </w:t>
      </w:r>
      <w:r>
        <w:rPr>
          <w:rFonts w:ascii="宋体" w:hAnsi="宋体"/>
          <w:color w:val="auto"/>
          <w:szCs w:val="21"/>
          <w:highlight w:val="none"/>
          <w:u w:val="single"/>
        </w:rPr>
        <w:t xml:space="preserve"> </w:t>
      </w:r>
      <w:r>
        <w:rPr>
          <w:rFonts w:hint="eastAsia" w:ascii="宋体" w:hAnsi="宋体"/>
          <w:color w:val="auto"/>
          <w:szCs w:val="21"/>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pP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（施工方</w:t>
      </w:r>
      <w:r>
        <w:rPr>
          <w:rFonts w:ascii="宋体" w:hAnsi="宋体"/>
          <w:color w:val="auto"/>
          <w:szCs w:val="21"/>
          <w:highlight w:val="none"/>
        </w:rPr>
        <w:t>单位名称</w:t>
      </w:r>
      <w:r>
        <w:rPr>
          <w:rFonts w:hint="eastAsia" w:ascii="宋体" w:hAnsi="宋体"/>
          <w:color w:val="auto"/>
          <w:szCs w:val="21"/>
          <w:highlight w:val="none"/>
        </w:rPr>
        <w:t>）为联合体主办方。</w:t>
      </w:r>
    </w:p>
    <w:p>
      <w:pP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adjustRightInd w:val="0"/>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、联合体各成员单位内部的职责分工如下：</w:t>
      </w:r>
    </w:p>
    <w:p>
      <w:pPr>
        <w:topLinePunct/>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①</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施工方单位名称）：作为联合体的主办方除负责本工程的施工外，还应设计施工总承包管理的职责。联合体其他相关方违约时，主办方应承担连带责任，具体按合同要求。</w:t>
      </w:r>
    </w:p>
    <w:p>
      <w:pPr>
        <w:topLinePunct/>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②</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勘察方单位名称）：主要负责本工程的勘察工作，具体按合同要求。</w:t>
      </w:r>
    </w:p>
    <w:p>
      <w:pPr>
        <w:topLinePunct/>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③</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设计方单位名称）：主要负责本工程的设计、设计优化、BIM技术应用等工作，具体按合同要求。</w:t>
      </w:r>
    </w:p>
    <w:p>
      <w:pPr>
        <w:topLinePunct/>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、本协议书自签署之日起生效，合同履行完毕后自动失效。</w:t>
      </w:r>
    </w:p>
    <w:p>
      <w:pPr>
        <w:topLinePunct/>
        <w:adjustRightInd w:val="0"/>
        <w:snapToGrid w:val="0"/>
        <w:spacing w:line="360" w:lineRule="auto"/>
        <w:ind w:firstLine="420" w:firstLineChars="200"/>
        <w:rPr>
          <w:color w:val="auto"/>
          <w:highlight w:val="none"/>
        </w:rPr>
      </w:pPr>
      <w:r>
        <w:rPr>
          <w:rFonts w:hint="eastAsia" w:ascii="宋体" w:hAnsi="宋体"/>
          <w:color w:val="auto"/>
          <w:szCs w:val="21"/>
          <w:highlight w:val="none"/>
        </w:rPr>
        <w:t>注：本协议书由委托代理人签字的，应附法定代表人签字的授权委托书。</w:t>
      </w:r>
    </w:p>
    <w:p>
      <w:pP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主办方名称：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topLinePunct/>
        <w:adjustRightInd w:val="0"/>
        <w:snapToGrid w:val="0"/>
        <w:spacing w:line="520" w:lineRule="exact"/>
        <w:ind w:firstLine="718" w:firstLineChars="342"/>
        <w:rPr>
          <w:color w:val="auto"/>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成员一名称：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topLinePunct/>
        <w:adjustRightInd w:val="0"/>
        <w:snapToGrid w:val="0"/>
        <w:spacing w:line="520" w:lineRule="exact"/>
        <w:ind w:firstLine="718" w:firstLineChars="342"/>
        <w:rPr>
          <w:color w:val="auto"/>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成员二名称：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topLinePunct/>
        <w:adjustRightInd w:val="0"/>
        <w:snapToGrid w:val="0"/>
        <w:spacing w:line="520" w:lineRule="exact"/>
        <w:ind w:firstLine="718" w:firstLineChars="342"/>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topLinePunct/>
        <w:spacing w:line="440" w:lineRule="exact"/>
        <w:ind w:firstLine="1050" w:firstLineChars="500"/>
        <w:jc w:val="left"/>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    月    日</w:t>
      </w:r>
    </w:p>
    <w:p>
      <w:pPr>
        <w:pStyle w:val="2"/>
        <w:spacing w:line="240" w:lineRule="exact"/>
        <w:rPr>
          <w:color w:val="auto"/>
          <w:highlight w:val="none"/>
        </w:rPr>
      </w:pPr>
    </w:p>
    <w:p>
      <w:pP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注：1、单独投标的，无需提交本协议书。</w:t>
      </w:r>
    </w:p>
    <w:p>
      <w:pPr>
        <w:topLinePunct/>
        <w:spacing w:line="440" w:lineRule="exact"/>
        <w:ind w:firstLine="840" w:firstLineChars="400"/>
        <w:jc w:val="left"/>
        <w:rPr>
          <w:rFonts w:ascii="宋体" w:hAnsi="宋体" w:cs="宋体"/>
          <w:bCs/>
          <w:color w:val="auto"/>
          <w:szCs w:val="21"/>
          <w:highlight w:val="none"/>
        </w:rPr>
      </w:pPr>
      <w:r>
        <w:rPr>
          <w:rFonts w:hint="eastAsia" w:ascii="宋体" w:hAnsi="宋体" w:cs="宋体"/>
          <w:bCs/>
          <w:color w:val="auto"/>
          <w:szCs w:val="21"/>
          <w:highlight w:val="none"/>
        </w:rPr>
        <w:t>2、联合体投标的可根据实际情况自行删除成员名单。</w:t>
      </w:r>
    </w:p>
    <w:sectPr>
      <w:footerReference r:id="rId3" w:type="default"/>
      <w:endnotePr>
        <w:numFmt w:val="decimal"/>
      </w:endnotePr>
      <w:pgSz w:w="11906" w:h="16838"/>
      <w:pgMar w:top="1304" w:right="1474" w:bottom="1304" w:left="1474" w:header="851" w:footer="93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5"/>
      </w:rPr>
      <w:instrText xml:space="preserve"> PAGE </w:instrText>
    </w:r>
    <w:r>
      <w:fldChar w:fldCharType="separate"/>
    </w:r>
    <w:r>
      <w:rPr>
        <w:rStyle w:val="15"/>
      </w:rPr>
      <w:t>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2M2M0NWU2YzQwMzEzOGNiNjQyNmMxODlkMzMyYmMifQ=="/>
  </w:docVars>
  <w:rsids>
    <w:rsidRoot w:val="56D73A8D"/>
    <w:rsid w:val="00005268"/>
    <w:rsid w:val="00006442"/>
    <w:rsid w:val="00006681"/>
    <w:rsid w:val="00022AC0"/>
    <w:rsid w:val="00026814"/>
    <w:rsid w:val="00027DF9"/>
    <w:rsid w:val="000307DA"/>
    <w:rsid w:val="00031BC7"/>
    <w:rsid w:val="0003283D"/>
    <w:rsid w:val="000431A8"/>
    <w:rsid w:val="00044AE4"/>
    <w:rsid w:val="00052DDB"/>
    <w:rsid w:val="000541CB"/>
    <w:rsid w:val="00055FD0"/>
    <w:rsid w:val="0005607F"/>
    <w:rsid w:val="00056B12"/>
    <w:rsid w:val="00056CD8"/>
    <w:rsid w:val="00060688"/>
    <w:rsid w:val="000612E9"/>
    <w:rsid w:val="00066E01"/>
    <w:rsid w:val="000736E5"/>
    <w:rsid w:val="00073BE1"/>
    <w:rsid w:val="00073F56"/>
    <w:rsid w:val="00074CC8"/>
    <w:rsid w:val="000800B5"/>
    <w:rsid w:val="00082CD7"/>
    <w:rsid w:val="00083AD5"/>
    <w:rsid w:val="00085D24"/>
    <w:rsid w:val="0008653F"/>
    <w:rsid w:val="000938DE"/>
    <w:rsid w:val="00094BD9"/>
    <w:rsid w:val="00096351"/>
    <w:rsid w:val="00097EAB"/>
    <w:rsid w:val="000A0354"/>
    <w:rsid w:val="000A1845"/>
    <w:rsid w:val="000A1D2B"/>
    <w:rsid w:val="000A3942"/>
    <w:rsid w:val="000A4B94"/>
    <w:rsid w:val="000A4D71"/>
    <w:rsid w:val="000A5B1B"/>
    <w:rsid w:val="000A70F0"/>
    <w:rsid w:val="000B7FDD"/>
    <w:rsid w:val="000C5771"/>
    <w:rsid w:val="000C5818"/>
    <w:rsid w:val="000D1E65"/>
    <w:rsid w:val="000D23F5"/>
    <w:rsid w:val="000D6C1C"/>
    <w:rsid w:val="000E0EB8"/>
    <w:rsid w:val="000E1343"/>
    <w:rsid w:val="000E34CE"/>
    <w:rsid w:val="000E528B"/>
    <w:rsid w:val="000E7146"/>
    <w:rsid w:val="000F5D52"/>
    <w:rsid w:val="001014B3"/>
    <w:rsid w:val="00101EC0"/>
    <w:rsid w:val="001051D2"/>
    <w:rsid w:val="001055B6"/>
    <w:rsid w:val="0012045F"/>
    <w:rsid w:val="00122A0D"/>
    <w:rsid w:val="00123C6D"/>
    <w:rsid w:val="001242FD"/>
    <w:rsid w:val="00125BB2"/>
    <w:rsid w:val="001308B9"/>
    <w:rsid w:val="00133C24"/>
    <w:rsid w:val="00136ED2"/>
    <w:rsid w:val="00142601"/>
    <w:rsid w:val="0014361B"/>
    <w:rsid w:val="00155A0E"/>
    <w:rsid w:val="00157B44"/>
    <w:rsid w:val="00157F74"/>
    <w:rsid w:val="00160DEF"/>
    <w:rsid w:val="0016312C"/>
    <w:rsid w:val="00163B6C"/>
    <w:rsid w:val="00172C23"/>
    <w:rsid w:val="001736C2"/>
    <w:rsid w:val="00174965"/>
    <w:rsid w:val="001751FA"/>
    <w:rsid w:val="0018342F"/>
    <w:rsid w:val="00183533"/>
    <w:rsid w:val="0018421D"/>
    <w:rsid w:val="00184AA0"/>
    <w:rsid w:val="001862CC"/>
    <w:rsid w:val="00190168"/>
    <w:rsid w:val="00194DC7"/>
    <w:rsid w:val="001960F5"/>
    <w:rsid w:val="001A35D9"/>
    <w:rsid w:val="001A75D5"/>
    <w:rsid w:val="001A7AEF"/>
    <w:rsid w:val="001B2A85"/>
    <w:rsid w:val="001B3E77"/>
    <w:rsid w:val="001C0B8D"/>
    <w:rsid w:val="001C60BF"/>
    <w:rsid w:val="001D0DC7"/>
    <w:rsid w:val="001E51B8"/>
    <w:rsid w:val="001E6EE7"/>
    <w:rsid w:val="001E74B5"/>
    <w:rsid w:val="001E7CCE"/>
    <w:rsid w:val="001F033B"/>
    <w:rsid w:val="001F5AEF"/>
    <w:rsid w:val="001F70AD"/>
    <w:rsid w:val="002026D0"/>
    <w:rsid w:val="002036A8"/>
    <w:rsid w:val="00207DF9"/>
    <w:rsid w:val="00213345"/>
    <w:rsid w:val="00215B80"/>
    <w:rsid w:val="00216DFC"/>
    <w:rsid w:val="002177D1"/>
    <w:rsid w:val="00223581"/>
    <w:rsid w:val="00223F62"/>
    <w:rsid w:val="00227408"/>
    <w:rsid w:val="00232C1D"/>
    <w:rsid w:val="00233A6F"/>
    <w:rsid w:val="002411CF"/>
    <w:rsid w:val="002437BF"/>
    <w:rsid w:val="00243822"/>
    <w:rsid w:val="00244644"/>
    <w:rsid w:val="002479D6"/>
    <w:rsid w:val="002506E7"/>
    <w:rsid w:val="00252923"/>
    <w:rsid w:val="00254207"/>
    <w:rsid w:val="0026140F"/>
    <w:rsid w:val="002719A3"/>
    <w:rsid w:val="00280511"/>
    <w:rsid w:val="00281AEF"/>
    <w:rsid w:val="0029779F"/>
    <w:rsid w:val="002B09C2"/>
    <w:rsid w:val="002B105B"/>
    <w:rsid w:val="002B363B"/>
    <w:rsid w:val="002B46CF"/>
    <w:rsid w:val="002C1032"/>
    <w:rsid w:val="002C3BEA"/>
    <w:rsid w:val="002C4408"/>
    <w:rsid w:val="002C51CA"/>
    <w:rsid w:val="002D45D3"/>
    <w:rsid w:val="002D4929"/>
    <w:rsid w:val="002D6359"/>
    <w:rsid w:val="002E46E0"/>
    <w:rsid w:val="002E6CAC"/>
    <w:rsid w:val="003005AC"/>
    <w:rsid w:val="00303331"/>
    <w:rsid w:val="00313F45"/>
    <w:rsid w:val="00320392"/>
    <w:rsid w:val="00322935"/>
    <w:rsid w:val="00327433"/>
    <w:rsid w:val="003278E2"/>
    <w:rsid w:val="003303C0"/>
    <w:rsid w:val="0033321C"/>
    <w:rsid w:val="00333ACD"/>
    <w:rsid w:val="003356C2"/>
    <w:rsid w:val="00340D1E"/>
    <w:rsid w:val="003429FB"/>
    <w:rsid w:val="003430CD"/>
    <w:rsid w:val="00352D80"/>
    <w:rsid w:val="00354C93"/>
    <w:rsid w:val="0036390E"/>
    <w:rsid w:val="003719E1"/>
    <w:rsid w:val="00372DDF"/>
    <w:rsid w:val="00377910"/>
    <w:rsid w:val="0038126C"/>
    <w:rsid w:val="00384369"/>
    <w:rsid w:val="0038460E"/>
    <w:rsid w:val="003861A9"/>
    <w:rsid w:val="0038668A"/>
    <w:rsid w:val="003869AA"/>
    <w:rsid w:val="00392BC4"/>
    <w:rsid w:val="003A303B"/>
    <w:rsid w:val="003A3515"/>
    <w:rsid w:val="003A5487"/>
    <w:rsid w:val="003A7B66"/>
    <w:rsid w:val="003B01DE"/>
    <w:rsid w:val="003B2F7E"/>
    <w:rsid w:val="003B3808"/>
    <w:rsid w:val="003B5361"/>
    <w:rsid w:val="003B71F3"/>
    <w:rsid w:val="003B7991"/>
    <w:rsid w:val="003C1FD6"/>
    <w:rsid w:val="003C2F7B"/>
    <w:rsid w:val="003C5DE0"/>
    <w:rsid w:val="003C755C"/>
    <w:rsid w:val="003D1A22"/>
    <w:rsid w:val="003D2758"/>
    <w:rsid w:val="003E2DB3"/>
    <w:rsid w:val="003E5064"/>
    <w:rsid w:val="003F36F2"/>
    <w:rsid w:val="003F7D20"/>
    <w:rsid w:val="004009BF"/>
    <w:rsid w:val="00400E79"/>
    <w:rsid w:val="004071A7"/>
    <w:rsid w:val="0041081D"/>
    <w:rsid w:val="004117F0"/>
    <w:rsid w:val="00412859"/>
    <w:rsid w:val="004166C9"/>
    <w:rsid w:val="00417BAB"/>
    <w:rsid w:val="004211C7"/>
    <w:rsid w:val="00422AD6"/>
    <w:rsid w:val="00423111"/>
    <w:rsid w:val="004239BD"/>
    <w:rsid w:val="00425AD2"/>
    <w:rsid w:val="00427C59"/>
    <w:rsid w:val="00427F2B"/>
    <w:rsid w:val="00434281"/>
    <w:rsid w:val="00435295"/>
    <w:rsid w:val="004377C9"/>
    <w:rsid w:val="0043783E"/>
    <w:rsid w:val="00441AC9"/>
    <w:rsid w:val="00442F40"/>
    <w:rsid w:val="00446E53"/>
    <w:rsid w:val="00453ABB"/>
    <w:rsid w:val="00454F04"/>
    <w:rsid w:val="00463D1F"/>
    <w:rsid w:val="00464BBD"/>
    <w:rsid w:val="00465677"/>
    <w:rsid w:val="004665BB"/>
    <w:rsid w:val="00472E1A"/>
    <w:rsid w:val="00473017"/>
    <w:rsid w:val="0047597F"/>
    <w:rsid w:val="00477703"/>
    <w:rsid w:val="004779A1"/>
    <w:rsid w:val="0048405F"/>
    <w:rsid w:val="00485804"/>
    <w:rsid w:val="00485E25"/>
    <w:rsid w:val="00486DFF"/>
    <w:rsid w:val="00490CED"/>
    <w:rsid w:val="00491862"/>
    <w:rsid w:val="0049311A"/>
    <w:rsid w:val="00494725"/>
    <w:rsid w:val="00497B66"/>
    <w:rsid w:val="004A55E6"/>
    <w:rsid w:val="004A7F6E"/>
    <w:rsid w:val="004C120B"/>
    <w:rsid w:val="004C2E0B"/>
    <w:rsid w:val="004C611F"/>
    <w:rsid w:val="004C6D62"/>
    <w:rsid w:val="004C7AB3"/>
    <w:rsid w:val="004D08CC"/>
    <w:rsid w:val="004D112E"/>
    <w:rsid w:val="004D1959"/>
    <w:rsid w:val="004D4751"/>
    <w:rsid w:val="004D7069"/>
    <w:rsid w:val="004E3C40"/>
    <w:rsid w:val="004E4747"/>
    <w:rsid w:val="004F1B07"/>
    <w:rsid w:val="00500069"/>
    <w:rsid w:val="00500AA9"/>
    <w:rsid w:val="00502FA0"/>
    <w:rsid w:val="00504099"/>
    <w:rsid w:val="005120B2"/>
    <w:rsid w:val="00512900"/>
    <w:rsid w:val="00514729"/>
    <w:rsid w:val="00514E77"/>
    <w:rsid w:val="00515E78"/>
    <w:rsid w:val="00516507"/>
    <w:rsid w:val="00517CAD"/>
    <w:rsid w:val="00522923"/>
    <w:rsid w:val="0052622B"/>
    <w:rsid w:val="0053379F"/>
    <w:rsid w:val="00554B4B"/>
    <w:rsid w:val="00555DE4"/>
    <w:rsid w:val="00561271"/>
    <w:rsid w:val="00561544"/>
    <w:rsid w:val="00564C6B"/>
    <w:rsid w:val="005663DE"/>
    <w:rsid w:val="005719A2"/>
    <w:rsid w:val="00572EA3"/>
    <w:rsid w:val="005751B9"/>
    <w:rsid w:val="00580975"/>
    <w:rsid w:val="00582A8B"/>
    <w:rsid w:val="00585873"/>
    <w:rsid w:val="0058705C"/>
    <w:rsid w:val="0059494D"/>
    <w:rsid w:val="00597984"/>
    <w:rsid w:val="00597E71"/>
    <w:rsid w:val="005A03D5"/>
    <w:rsid w:val="005A39AB"/>
    <w:rsid w:val="005A7862"/>
    <w:rsid w:val="005C1EC9"/>
    <w:rsid w:val="005C2A35"/>
    <w:rsid w:val="005C6875"/>
    <w:rsid w:val="005C7344"/>
    <w:rsid w:val="005D0A7F"/>
    <w:rsid w:val="005D1B45"/>
    <w:rsid w:val="005E0698"/>
    <w:rsid w:val="005E1CC0"/>
    <w:rsid w:val="005F005C"/>
    <w:rsid w:val="005F544E"/>
    <w:rsid w:val="005F7755"/>
    <w:rsid w:val="006008D1"/>
    <w:rsid w:val="00601D09"/>
    <w:rsid w:val="00610969"/>
    <w:rsid w:val="00616547"/>
    <w:rsid w:val="00617222"/>
    <w:rsid w:val="00620ABD"/>
    <w:rsid w:val="00627D23"/>
    <w:rsid w:val="00631349"/>
    <w:rsid w:val="00632D95"/>
    <w:rsid w:val="006345DD"/>
    <w:rsid w:val="006350F7"/>
    <w:rsid w:val="00642EEE"/>
    <w:rsid w:val="00643FF9"/>
    <w:rsid w:val="00644933"/>
    <w:rsid w:val="00646D59"/>
    <w:rsid w:val="0065083B"/>
    <w:rsid w:val="00652BF8"/>
    <w:rsid w:val="0066166A"/>
    <w:rsid w:val="00663642"/>
    <w:rsid w:val="006640BC"/>
    <w:rsid w:val="00664B63"/>
    <w:rsid w:val="00665E5A"/>
    <w:rsid w:val="00667990"/>
    <w:rsid w:val="00670460"/>
    <w:rsid w:val="00670478"/>
    <w:rsid w:val="0067101C"/>
    <w:rsid w:val="006753D1"/>
    <w:rsid w:val="00675F79"/>
    <w:rsid w:val="00676C09"/>
    <w:rsid w:val="0068105D"/>
    <w:rsid w:val="00681976"/>
    <w:rsid w:val="00685619"/>
    <w:rsid w:val="006856D3"/>
    <w:rsid w:val="00686487"/>
    <w:rsid w:val="0069521D"/>
    <w:rsid w:val="00697140"/>
    <w:rsid w:val="0069779D"/>
    <w:rsid w:val="006A11C0"/>
    <w:rsid w:val="006A53BB"/>
    <w:rsid w:val="006A5E6C"/>
    <w:rsid w:val="006B0186"/>
    <w:rsid w:val="006B198F"/>
    <w:rsid w:val="006B7C73"/>
    <w:rsid w:val="006C41B2"/>
    <w:rsid w:val="006C5F04"/>
    <w:rsid w:val="006C6157"/>
    <w:rsid w:val="006C6A0A"/>
    <w:rsid w:val="006D240E"/>
    <w:rsid w:val="006D3164"/>
    <w:rsid w:val="006D32AB"/>
    <w:rsid w:val="006D66F3"/>
    <w:rsid w:val="006E3B8E"/>
    <w:rsid w:val="006E476C"/>
    <w:rsid w:val="006F02F3"/>
    <w:rsid w:val="006F0B83"/>
    <w:rsid w:val="006F547D"/>
    <w:rsid w:val="006F64A4"/>
    <w:rsid w:val="006F761A"/>
    <w:rsid w:val="00701629"/>
    <w:rsid w:val="00701B4F"/>
    <w:rsid w:val="007025DA"/>
    <w:rsid w:val="007048A2"/>
    <w:rsid w:val="007106EF"/>
    <w:rsid w:val="007113F1"/>
    <w:rsid w:val="0072297B"/>
    <w:rsid w:val="00724037"/>
    <w:rsid w:val="007256F7"/>
    <w:rsid w:val="00725EAA"/>
    <w:rsid w:val="007307A0"/>
    <w:rsid w:val="00731390"/>
    <w:rsid w:val="0073502D"/>
    <w:rsid w:val="007473E9"/>
    <w:rsid w:val="0075246F"/>
    <w:rsid w:val="0075724A"/>
    <w:rsid w:val="00761FBC"/>
    <w:rsid w:val="00763FD2"/>
    <w:rsid w:val="007647E1"/>
    <w:rsid w:val="00765C66"/>
    <w:rsid w:val="00775C85"/>
    <w:rsid w:val="00775D2C"/>
    <w:rsid w:val="007835DB"/>
    <w:rsid w:val="0078691C"/>
    <w:rsid w:val="00793002"/>
    <w:rsid w:val="0079604A"/>
    <w:rsid w:val="00796784"/>
    <w:rsid w:val="007978C0"/>
    <w:rsid w:val="007A15F5"/>
    <w:rsid w:val="007A279B"/>
    <w:rsid w:val="007A71D8"/>
    <w:rsid w:val="007B4CF1"/>
    <w:rsid w:val="007B6E12"/>
    <w:rsid w:val="007C4127"/>
    <w:rsid w:val="007D520B"/>
    <w:rsid w:val="007D5C06"/>
    <w:rsid w:val="007E120C"/>
    <w:rsid w:val="007E690F"/>
    <w:rsid w:val="007F2124"/>
    <w:rsid w:val="007F293E"/>
    <w:rsid w:val="007F2C30"/>
    <w:rsid w:val="007F3E79"/>
    <w:rsid w:val="007F3F9E"/>
    <w:rsid w:val="007F3FDD"/>
    <w:rsid w:val="007F71B4"/>
    <w:rsid w:val="00803445"/>
    <w:rsid w:val="0081110B"/>
    <w:rsid w:val="00812635"/>
    <w:rsid w:val="008145A7"/>
    <w:rsid w:val="008159E7"/>
    <w:rsid w:val="00816B81"/>
    <w:rsid w:val="00822816"/>
    <w:rsid w:val="008271FC"/>
    <w:rsid w:val="008318C7"/>
    <w:rsid w:val="00832B24"/>
    <w:rsid w:val="0083459B"/>
    <w:rsid w:val="00835297"/>
    <w:rsid w:val="00836B7B"/>
    <w:rsid w:val="008439FF"/>
    <w:rsid w:val="00843B8B"/>
    <w:rsid w:val="0084497B"/>
    <w:rsid w:val="00847FD9"/>
    <w:rsid w:val="0085285D"/>
    <w:rsid w:val="00863838"/>
    <w:rsid w:val="00867007"/>
    <w:rsid w:val="00870F55"/>
    <w:rsid w:val="0087379A"/>
    <w:rsid w:val="008753CF"/>
    <w:rsid w:val="00883768"/>
    <w:rsid w:val="00884E85"/>
    <w:rsid w:val="008852C0"/>
    <w:rsid w:val="0088579C"/>
    <w:rsid w:val="00885EFF"/>
    <w:rsid w:val="00893EB1"/>
    <w:rsid w:val="00894CDD"/>
    <w:rsid w:val="008A2882"/>
    <w:rsid w:val="008A2CA1"/>
    <w:rsid w:val="008A2CAF"/>
    <w:rsid w:val="008B15C6"/>
    <w:rsid w:val="008B34BC"/>
    <w:rsid w:val="008B462A"/>
    <w:rsid w:val="008B6B18"/>
    <w:rsid w:val="008C4B93"/>
    <w:rsid w:val="008C694C"/>
    <w:rsid w:val="008C756E"/>
    <w:rsid w:val="008D111A"/>
    <w:rsid w:val="008D382C"/>
    <w:rsid w:val="008D3A34"/>
    <w:rsid w:val="008E3E70"/>
    <w:rsid w:val="008E5D77"/>
    <w:rsid w:val="008E622C"/>
    <w:rsid w:val="008E784F"/>
    <w:rsid w:val="008F60AE"/>
    <w:rsid w:val="008F79DC"/>
    <w:rsid w:val="0090075A"/>
    <w:rsid w:val="00902D69"/>
    <w:rsid w:val="00906EDC"/>
    <w:rsid w:val="00912A50"/>
    <w:rsid w:val="00917665"/>
    <w:rsid w:val="0092527C"/>
    <w:rsid w:val="00925418"/>
    <w:rsid w:val="009303CF"/>
    <w:rsid w:val="00932A04"/>
    <w:rsid w:val="00937C61"/>
    <w:rsid w:val="00941314"/>
    <w:rsid w:val="00942E0C"/>
    <w:rsid w:val="0094318B"/>
    <w:rsid w:val="00952275"/>
    <w:rsid w:val="00953451"/>
    <w:rsid w:val="00953477"/>
    <w:rsid w:val="00953AE6"/>
    <w:rsid w:val="00957BDF"/>
    <w:rsid w:val="009660BC"/>
    <w:rsid w:val="00971644"/>
    <w:rsid w:val="00977C11"/>
    <w:rsid w:val="00980058"/>
    <w:rsid w:val="00981245"/>
    <w:rsid w:val="009815D8"/>
    <w:rsid w:val="00982F67"/>
    <w:rsid w:val="00985BF7"/>
    <w:rsid w:val="00986280"/>
    <w:rsid w:val="00986844"/>
    <w:rsid w:val="00991770"/>
    <w:rsid w:val="009944E7"/>
    <w:rsid w:val="00996122"/>
    <w:rsid w:val="0099653F"/>
    <w:rsid w:val="009A0F2C"/>
    <w:rsid w:val="009A636A"/>
    <w:rsid w:val="009B1105"/>
    <w:rsid w:val="009B4928"/>
    <w:rsid w:val="009B65D7"/>
    <w:rsid w:val="009B6891"/>
    <w:rsid w:val="009C0AA7"/>
    <w:rsid w:val="009C6A0D"/>
    <w:rsid w:val="009C7722"/>
    <w:rsid w:val="009D14C1"/>
    <w:rsid w:val="009D2458"/>
    <w:rsid w:val="009D2A15"/>
    <w:rsid w:val="009D2A56"/>
    <w:rsid w:val="009D32AA"/>
    <w:rsid w:val="009D36AB"/>
    <w:rsid w:val="009D6BA5"/>
    <w:rsid w:val="009D7721"/>
    <w:rsid w:val="009E1960"/>
    <w:rsid w:val="009E1CE3"/>
    <w:rsid w:val="009E463D"/>
    <w:rsid w:val="009E7420"/>
    <w:rsid w:val="009F0266"/>
    <w:rsid w:val="009F7494"/>
    <w:rsid w:val="009F7AE4"/>
    <w:rsid w:val="00A00740"/>
    <w:rsid w:val="00A028C5"/>
    <w:rsid w:val="00A05F68"/>
    <w:rsid w:val="00A134C0"/>
    <w:rsid w:val="00A200FC"/>
    <w:rsid w:val="00A20EC0"/>
    <w:rsid w:val="00A22E4F"/>
    <w:rsid w:val="00A234B2"/>
    <w:rsid w:val="00A2368F"/>
    <w:rsid w:val="00A309A0"/>
    <w:rsid w:val="00A30D9D"/>
    <w:rsid w:val="00A32183"/>
    <w:rsid w:val="00A321B4"/>
    <w:rsid w:val="00A33C82"/>
    <w:rsid w:val="00A417DB"/>
    <w:rsid w:val="00A43E2C"/>
    <w:rsid w:val="00A461A8"/>
    <w:rsid w:val="00A467E7"/>
    <w:rsid w:val="00A47972"/>
    <w:rsid w:val="00A5059E"/>
    <w:rsid w:val="00A50871"/>
    <w:rsid w:val="00A50E1B"/>
    <w:rsid w:val="00A534E4"/>
    <w:rsid w:val="00A550A0"/>
    <w:rsid w:val="00A61CCE"/>
    <w:rsid w:val="00A633BE"/>
    <w:rsid w:val="00A6448E"/>
    <w:rsid w:val="00A666CD"/>
    <w:rsid w:val="00A66B98"/>
    <w:rsid w:val="00A66F9E"/>
    <w:rsid w:val="00A76521"/>
    <w:rsid w:val="00A7707D"/>
    <w:rsid w:val="00A81D51"/>
    <w:rsid w:val="00A84F9E"/>
    <w:rsid w:val="00A8630F"/>
    <w:rsid w:val="00A95FBB"/>
    <w:rsid w:val="00AB199E"/>
    <w:rsid w:val="00AB1F82"/>
    <w:rsid w:val="00AB674D"/>
    <w:rsid w:val="00AB7327"/>
    <w:rsid w:val="00AC2B34"/>
    <w:rsid w:val="00AC3118"/>
    <w:rsid w:val="00AC3298"/>
    <w:rsid w:val="00AC34CF"/>
    <w:rsid w:val="00AD1EF8"/>
    <w:rsid w:val="00AD73C4"/>
    <w:rsid w:val="00AE2544"/>
    <w:rsid w:val="00AE37B1"/>
    <w:rsid w:val="00AE65E9"/>
    <w:rsid w:val="00AE6BC6"/>
    <w:rsid w:val="00AF15DB"/>
    <w:rsid w:val="00AF5FAF"/>
    <w:rsid w:val="00B01A6D"/>
    <w:rsid w:val="00B06EFE"/>
    <w:rsid w:val="00B11784"/>
    <w:rsid w:val="00B1197B"/>
    <w:rsid w:val="00B12693"/>
    <w:rsid w:val="00B145E5"/>
    <w:rsid w:val="00B16D9A"/>
    <w:rsid w:val="00B16DA0"/>
    <w:rsid w:val="00B20428"/>
    <w:rsid w:val="00B21484"/>
    <w:rsid w:val="00B21DE0"/>
    <w:rsid w:val="00B239E6"/>
    <w:rsid w:val="00B279A0"/>
    <w:rsid w:val="00B31326"/>
    <w:rsid w:val="00B33126"/>
    <w:rsid w:val="00B34AFD"/>
    <w:rsid w:val="00B366ED"/>
    <w:rsid w:val="00B369DE"/>
    <w:rsid w:val="00B50B04"/>
    <w:rsid w:val="00B620A2"/>
    <w:rsid w:val="00B65770"/>
    <w:rsid w:val="00B70293"/>
    <w:rsid w:val="00B7396F"/>
    <w:rsid w:val="00B7559C"/>
    <w:rsid w:val="00B87DF2"/>
    <w:rsid w:val="00B91891"/>
    <w:rsid w:val="00B97F75"/>
    <w:rsid w:val="00BA215B"/>
    <w:rsid w:val="00BB0B34"/>
    <w:rsid w:val="00BB249B"/>
    <w:rsid w:val="00BB5438"/>
    <w:rsid w:val="00BC183E"/>
    <w:rsid w:val="00BC3937"/>
    <w:rsid w:val="00BC5C2A"/>
    <w:rsid w:val="00BC5F82"/>
    <w:rsid w:val="00BC62F3"/>
    <w:rsid w:val="00BC7919"/>
    <w:rsid w:val="00BD316E"/>
    <w:rsid w:val="00BD5FD7"/>
    <w:rsid w:val="00BD6AF4"/>
    <w:rsid w:val="00BE4AF7"/>
    <w:rsid w:val="00BF333F"/>
    <w:rsid w:val="00BF3404"/>
    <w:rsid w:val="00C03A1D"/>
    <w:rsid w:val="00C03C5E"/>
    <w:rsid w:val="00C053B4"/>
    <w:rsid w:val="00C135B4"/>
    <w:rsid w:val="00C229BE"/>
    <w:rsid w:val="00C22C09"/>
    <w:rsid w:val="00C23D8B"/>
    <w:rsid w:val="00C24715"/>
    <w:rsid w:val="00C3628C"/>
    <w:rsid w:val="00C407C8"/>
    <w:rsid w:val="00C40A67"/>
    <w:rsid w:val="00C41AC4"/>
    <w:rsid w:val="00C4404A"/>
    <w:rsid w:val="00C45D96"/>
    <w:rsid w:val="00C465CB"/>
    <w:rsid w:val="00C46789"/>
    <w:rsid w:val="00C52FD5"/>
    <w:rsid w:val="00C55415"/>
    <w:rsid w:val="00C579C5"/>
    <w:rsid w:val="00C627D7"/>
    <w:rsid w:val="00C66F2B"/>
    <w:rsid w:val="00C75344"/>
    <w:rsid w:val="00C81163"/>
    <w:rsid w:val="00C82E0D"/>
    <w:rsid w:val="00C84E9C"/>
    <w:rsid w:val="00C87912"/>
    <w:rsid w:val="00C904A2"/>
    <w:rsid w:val="00C91AE1"/>
    <w:rsid w:val="00C97E48"/>
    <w:rsid w:val="00CA0BD9"/>
    <w:rsid w:val="00CA3FCF"/>
    <w:rsid w:val="00CA61D8"/>
    <w:rsid w:val="00CA7931"/>
    <w:rsid w:val="00CA7FE3"/>
    <w:rsid w:val="00CB07E3"/>
    <w:rsid w:val="00CB1175"/>
    <w:rsid w:val="00CB27F3"/>
    <w:rsid w:val="00CB2AEB"/>
    <w:rsid w:val="00CB407A"/>
    <w:rsid w:val="00CB44CD"/>
    <w:rsid w:val="00CB5575"/>
    <w:rsid w:val="00CC38B3"/>
    <w:rsid w:val="00CC5FFA"/>
    <w:rsid w:val="00CC7FAB"/>
    <w:rsid w:val="00CD3E5D"/>
    <w:rsid w:val="00CD3E9C"/>
    <w:rsid w:val="00CE16B8"/>
    <w:rsid w:val="00CE2E90"/>
    <w:rsid w:val="00CE7FF0"/>
    <w:rsid w:val="00CF0987"/>
    <w:rsid w:val="00CF2357"/>
    <w:rsid w:val="00CF2467"/>
    <w:rsid w:val="00CF3AC8"/>
    <w:rsid w:val="00CF3D21"/>
    <w:rsid w:val="00CF4F18"/>
    <w:rsid w:val="00CF6102"/>
    <w:rsid w:val="00CF6457"/>
    <w:rsid w:val="00CF6DCB"/>
    <w:rsid w:val="00D021F1"/>
    <w:rsid w:val="00D03770"/>
    <w:rsid w:val="00D03B32"/>
    <w:rsid w:val="00D04FA7"/>
    <w:rsid w:val="00D05D71"/>
    <w:rsid w:val="00D07B3B"/>
    <w:rsid w:val="00D209B5"/>
    <w:rsid w:val="00D20B4E"/>
    <w:rsid w:val="00D20BCA"/>
    <w:rsid w:val="00D2381D"/>
    <w:rsid w:val="00D23D88"/>
    <w:rsid w:val="00D2519A"/>
    <w:rsid w:val="00D31CA9"/>
    <w:rsid w:val="00D3230F"/>
    <w:rsid w:val="00D54ABA"/>
    <w:rsid w:val="00D56BA7"/>
    <w:rsid w:val="00D62AFB"/>
    <w:rsid w:val="00D631C0"/>
    <w:rsid w:val="00D70968"/>
    <w:rsid w:val="00D85737"/>
    <w:rsid w:val="00D91FD0"/>
    <w:rsid w:val="00DA295D"/>
    <w:rsid w:val="00DA4525"/>
    <w:rsid w:val="00DA5EEE"/>
    <w:rsid w:val="00DB03D7"/>
    <w:rsid w:val="00DB4E69"/>
    <w:rsid w:val="00DB6352"/>
    <w:rsid w:val="00DB6B32"/>
    <w:rsid w:val="00DC3AFA"/>
    <w:rsid w:val="00DC4A2F"/>
    <w:rsid w:val="00DC5DF5"/>
    <w:rsid w:val="00DD2CCA"/>
    <w:rsid w:val="00DD4632"/>
    <w:rsid w:val="00DD51AF"/>
    <w:rsid w:val="00DD736A"/>
    <w:rsid w:val="00DE2C5C"/>
    <w:rsid w:val="00DE366A"/>
    <w:rsid w:val="00DE48A6"/>
    <w:rsid w:val="00DF6047"/>
    <w:rsid w:val="00DF6EF9"/>
    <w:rsid w:val="00DF7A97"/>
    <w:rsid w:val="00E00F2C"/>
    <w:rsid w:val="00E03C68"/>
    <w:rsid w:val="00E107E6"/>
    <w:rsid w:val="00E12727"/>
    <w:rsid w:val="00E12A1D"/>
    <w:rsid w:val="00E13EE1"/>
    <w:rsid w:val="00E1436D"/>
    <w:rsid w:val="00E16230"/>
    <w:rsid w:val="00E21388"/>
    <w:rsid w:val="00E221AC"/>
    <w:rsid w:val="00E23F0F"/>
    <w:rsid w:val="00E24AFE"/>
    <w:rsid w:val="00E27117"/>
    <w:rsid w:val="00E30EF4"/>
    <w:rsid w:val="00E37BDD"/>
    <w:rsid w:val="00E47B3E"/>
    <w:rsid w:val="00E50A7B"/>
    <w:rsid w:val="00E5100B"/>
    <w:rsid w:val="00E52053"/>
    <w:rsid w:val="00E53106"/>
    <w:rsid w:val="00E54CA8"/>
    <w:rsid w:val="00E55618"/>
    <w:rsid w:val="00E55E6A"/>
    <w:rsid w:val="00E57563"/>
    <w:rsid w:val="00E621CD"/>
    <w:rsid w:val="00E62FA6"/>
    <w:rsid w:val="00E63251"/>
    <w:rsid w:val="00E77567"/>
    <w:rsid w:val="00E80931"/>
    <w:rsid w:val="00E84D63"/>
    <w:rsid w:val="00E8620F"/>
    <w:rsid w:val="00E87005"/>
    <w:rsid w:val="00E920D8"/>
    <w:rsid w:val="00E93929"/>
    <w:rsid w:val="00E9682F"/>
    <w:rsid w:val="00E97559"/>
    <w:rsid w:val="00EA41B4"/>
    <w:rsid w:val="00EA671F"/>
    <w:rsid w:val="00EA6DB7"/>
    <w:rsid w:val="00EB2673"/>
    <w:rsid w:val="00EB4A3D"/>
    <w:rsid w:val="00EB746D"/>
    <w:rsid w:val="00EC1390"/>
    <w:rsid w:val="00EC145D"/>
    <w:rsid w:val="00EC3ECA"/>
    <w:rsid w:val="00EC3F3E"/>
    <w:rsid w:val="00ED1157"/>
    <w:rsid w:val="00ED2ED8"/>
    <w:rsid w:val="00EE0A4F"/>
    <w:rsid w:val="00EE357E"/>
    <w:rsid w:val="00EE5E4A"/>
    <w:rsid w:val="00EE68C9"/>
    <w:rsid w:val="00EF631D"/>
    <w:rsid w:val="00F04FE9"/>
    <w:rsid w:val="00F11878"/>
    <w:rsid w:val="00F13C5E"/>
    <w:rsid w:val="00F151AB"/>
    <w:rsid w:val="00F15436"/>
    <w:rsid w:val="00F20AA7"/>
    <w:rsid w:val="00F233E9"/>
    <w:rsid w:val="00F31A11"/>
    <w:rsid w:val="00F3439A"/>
    <w:rsid w:val="00F35624"/>
    <w:rsid w:val="00F41363"/>
    <w:rsid w:val="00F446A9"/>
    <w:rsid w:val="00F44F97"/>
    <w:rsid w:val="00F5092B"/>
    <w:rsid w:val="00F63945"/>
    <w:rsid w:val="00F7258B"/>
    <w:rsid w:val="00F75E8A"/>
    <w:rsid w:val="00F83A25"/>
    <w:rsid w:val="00F860CE"/>
    <w:rsid w:val="00F86C92"/>
    <w:rsid w:val="00F8708F"/>
    <w:rsid w:val="00F92D24"/>
    <w:rsid w:val="00F94057"/>
    <w:rsid w:val="00FA2663"/>
    <w:rsid w:val="00FA31F7"/>
    <w:rsid w:val="00FA3A13"/>
    <w:rsid w:val="00FA5BE9"/>
    <w:rsid w:val="00FB234D"/>
    <w:rsid w:val="00FB2FC8"/>
    <w:rsid w:val="00FB4E52"/>
    <w:rsid w:val="00FB7FB6"/>
    <w:rsid w:val="00FC0A6E"/>
    <w:rsid w:val="00FC1648"/>
    <w:rsid w:val="00FC4142"/>
    <w:rsid w:val="00FC6E3F"/>
    <w:rsid w:val="00FD1F47"/>
    <w:rsid w:val="00FD267F"/>
    <w:rsid w:val="00FD3748"/>
    <w:rsid w:val="00FD7D82"/>
    <w:rsid w:val="00FE079B"/>
    <w:rsid w:val="00FE373B"/>
    <w:rsid w:val="00FE7D07"/>
    <w:rsid w:val="00FF12FE"/>
    <w:rsid w:val="00FF3A73"/>
    <w:rsid w:val="00FF45F3"/>
    <w:rsid w:val="00FF5465"/>
    <w:rsid w:val="01DC211F"/>
    <w:rsid w:val="02957E27"/>
    <w:rsid w:val="032434A2"/>
    <w:rsid w:val="043C30B7"/>
    <w:rsid w:val="056A5EFC"/>
    <w:rsid w:val="08C25C92"/>
    <w:rsid w:val="0A485251"/>
    <w:rsid w:val="0A4A7809"/>
    <w:rsid w:val="0A565A84"/>
    <w:rsid w:val="0ADA1663"/>
    <w:rsid w:val="0B0E7E74"/>
    <w:rsid w:val="0B5136FF"/>
    <w:rsid w:val="0BCF1798"/>
    <w:rsid w:val="0C4B269C"/>
    <w:rsid w:val="0D7C43DB"/>
    <w:rsid w:val="10BB2E7F"/>
    <w:rsid w:val="10C65A3B"/>
    <w:rsid w:val="112D6EFE"/>
    <w:rsid w:val="13C913CB"/>
    <w:rsid w:val="13EF509B"/>
    <w:rsid w:val="14014F72"/>
    <w:rsid w:val="142B70A1"/>
    <w:rsid w:val="158D36E7"/>
    <w:rsid w:val="17AC270A"/>
    <w:rsid w:val="18FF308F"/>
    <w:rsid w:val="1A1B08B0"/>
    <w:rsid w:val="1B992B9E"/>
    <w:rsid w:val="1C65717F"/>
    <w:rsid w:val="1CB76453"/>
    <w:rsid w:val="1D22612D"/>
    <w:rsid w:val="1FB57CEB"/>
    <w:rsid w:val="1FD92525"/>
    <w:rsid w:val="21174026"/>
    <w:rsid w:val="21B5626B"/>
    <w:rsid w:val="22292F86"/>
    <w:rsid w:val="22D47D36"/>
    <w:rsid w:val="240F2C58"/>
    <w:rsid w:val="246742DE"/>
    <w:rsid w:val="246E6697"/>
    <w:rsid w:val="24E027B8"/>
    <w:rsid w:val="255B68D6"/>
    <w:rsid w:val="260F293A"/>
    <w:rsid w:val="270F08EA"/>
    <w:rsid w:val="28A044B5"/>
    <w:rsid w:val="28F25CDC"/>
    <w:rsid w:val="2A4818C5"/>
    <w:rsid w:val="2BCD0331"/>
    <w:rsid w:val="2C025DC0"/>
    <w:rsid w:val="2D0646D0"/>
    <w:rsid w:val="2D0D3080"/>
    <w:rsid w:val="2DBF1599"/>
    <w:rsid w:val="2E4B74B3"/>
    <w:rsid w:val="2EEB2306"/>
    <w:rsid w:val="2F7816A5"/>
    <w:rsid w:val="2FB25251"/>
    <w:rsid w:val="321A37B9"/>
    <w:rsid w:val="3284794B"/>
    <w:rsid w:val="33282E51"/>
    <w:rsid w:val="347E5CF4"/>
    <w:rsid w:val="355A46A1"/>
    <w:rsid w:val="35BF7CEA"/>
    <w:rsid w:val="360E36AB"/>
    <w:rsid w:val="36306DF5"/>
    <w:rsid w:val="36424706"/>
    <w:rsid w:val="36AB52E8"/>
    <w:rsid w:val="375A6581"/>
    <w:rsid w:val="381F7836"/>
    <w:rsid w:val="3846585A"/>
    <w:rsid w:val="39140A1D"/>
    <w:rsid w:val="396D5F42"/>
    <w:rsid w:val="39BB760B"/>
    <w:rsid w:val="3A0774C2"/>
    <w:rsid w:val="3A2F0285"/>
    <w:rsid w:val="3A9F6955"/>
    <w:rsid w:val="3B493862"/>
    <w:rsid w:val="3E670204"/>
    <w:rsid w:val="3EBB369E"/>
    <w:rsid w:val="3FE8440F"/>
    <w:rsid w:val="408E5DF7"/>
    <w:rsid w:val="454D6FCB"/>
    <w:rsid w:val="45836603"/>
    <w:rsid w:val="458F513E"/>
    <w:rsid w:val="47396565"/>
    <w:rsid w:val="475A449F"/>
    <w:rsid w:val="47847A0F"/>
    <w:rsid w:val="47BE1AC6"/>
    <w:rsid w:val="4A66404E"/>
    <w:rsid w:val="4A8E24CF"/>
    <w:rsid w:val="4CA018C4"/>
    <w:rsid w:val="4D716E3C"/>
    <w:rsid w:val="4DBC0ACA"/>
    <w:rsid w:val="4EC4795C"/>
    <w:rsid w:val="4F803F4E"/>
    <w:rsid w:val="50F966AE"/>
    <w:rsid w:val="527775DF"/>
    <w:rsid w:val="533843D4"/>
    <w:rsid w:val="543E4559"/>
    <w:rsid w:val="551C6A1D"/>
    <w:rsid w:val="554D245A"/>
    <w:rsid w:val="55852ADB"/>
    <w:rsid w:val="55CF1A76"/>
    <w:rsid w:val="56D73A8D"/>
    <w:rsid w:val="57655523"/>
    <w:rsid w:val="57B52368"/>
    <w:rsid w:val="57EB2720"/>
    <w:rsid w:val="57FC7899"/>
    <w:rsid w:val="5A1D4BDF"/>
    <w:rsid w:val="5A4D5B43"/>
    <w:rsid w:val="5BAD7DF7"/>
    <w:rsid w:val="5BC3425C"/>
    <w:rsid w:val="5D9379C1"/>
    <w:rsid w:val="5DDE3722"/>
    <w:rsid w:val="5E4F0FF4"/>
    <w:rsid w:val="5EE616C9"/>
    <w:rsid w:val="5F955A58"/>
    <w:rsid w:val="60314E56"/>
    <w:rsid w:val="61433C21"/>
    <w:rsid w:val="61B2271E"/>
    <w:rsid w:val="627B606A"/>
    <w:rsid w:val="63416711"/>
    <w:rsid w:val="63CD3791"/>
    <w:rsid w:val="646113FE"/>
    <w:rsid w:val="64AA0FEA"/>
    <w:rsid w:val="65D5369F"/>
    <w:rsid w:val="6669101D"/>
    <w:rsid w:val="68453B41"/>
    <w:rsid w:val="684E4359"/>
    <w:rsid w:val="6B15564D"/>
    <w:rsid w:val="6B3B6334"/>
    <w:rsid w:val="6BCF4608"/>
    <w:rsid w:val="6CB93168"/>
    <w:rsid w:val="6D9F424B"/>
    <w:rsid w:val="6DA02C3B"/>
    <w:rsid w:val="6E927FC5"/>
    <w:rsid w:val="704A483E"/>
    <w:rsid w:val="713502C9"/>
    <w:rsid w:val="72747F06"/>
    <w:rsid w:val="727644F9"/>
    <w:rsid w:val="73522870"/>
    <w:rsid w:val="740E280E"/>
    <w:rsid w:val="75967579"/>
    <w:rsid w:val="75FE4118"/>
    <w:rsid w:val="7726354A"/>
    <w:rsid w:val="77962542"/>
    <w:rsid w:val="78E729AD"/>
    <w:rsid w:val="7B2C63B4"/>
    <w:rsid w:val="7BDB5F3C"/>
    <w:rsid w:val="7C081A9D"/>
    <w:rsid w:val="7CF34F0C"/>
    <w:rsid w:val="7D1570CB"/>
    <w:rsid w:val="7DB8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Normal Indent"/>
    <w:basedOn w:val="1"/>
    <w:qFormat/>
    <w:uiPriority w:val="0"/>
    <w:pPr>
      <w:ind w:firstLine="420" w:firstLineChars="200"/>
    </w:pPr>
  </w:style>
  <w:style w:type="paragraph" w:styleId="5">
    <w:name w:val="annotation text"/>
    <w:basedOn w:val="1"/>
    <w:next w:val="1"/>
    <w:link w:val="18"/>
    <w:qFormat/>
    <w:uiPriority w:val="0"/>
    <w:pPr>
      <w:jc w:val="left"/>
    </w:pPr>
  </w:style>
  <w:style w:type="paragraph" w:styleId="6">
    <w:name w:val="Body Text"/>
    <w:basedOn w:val="1"/>
    <w:next w:val="1"/>
    <w:qFormat/>
    <w:uiPriority w:val="0"/>
    <w:rPr>
      <w:rFonts w:ascii="仿宋_GB2312" w:eastAsia="仿宋_GB2312"/>
      <w:sz w:val="32"/>
      <w:szCs w:val="32"/>
    </w:rPr>
  </w:style>
  <w:style w:type="paragraph" w:styleId="7">
    <w:name w:val="Balloon Text"/>
    <w:basedOn w:val="1"/>
    <w:link w:val="19"/>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2"/>
    <w:basedOn w:val="1"/>
    <w:qFormat/>
    <w:uiPriority w:val="0"/>
    <w:rPr>
      <w:rFonts w:ascii="宋体" w:hAnsi="宋体"/>
      <w:kern w:val="0"/>
      <w:sz w:val="20"/>
      <w:szCs w:val="24"/>
      <w:u w:val="single"/>
    </w:rPr>
  </w:style>
  <w:style w:type="paragraph" w:styleId="11">
    <w:name w:val="annotation subject"/>
    <w:basedOn w:val="5"/>
    <w:next w:val="5"/>
    <w:link w:val="20"/>
    <w:qFormat/>
    <w:uiPriority w:val="0"/>
    <w:rPr>
      <w:b/>
      <w:bCs/>
    </w:rPr>
  </w:style>
  <w:style w:type="paragraph" w:styleId="12">
    <w:name w:val="Body Text First Indent"/>
    <w:basedOn w:val="6"/>
    <w:qFormat/>
    <w:uiPriority w:val="0"/>
    <w:pPr>
      <w:ind w:firstLine="420"/>
    </w:pPr>
  </w:style>
  <w:style w:type="character" w:styleId="15">
    <w:name w:val="page number"/>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批注文字 字符"/>
    <w:link w:val="5"/>
    <w:qFormat/>
    <w:uiPriority w:val="0"/>
    <w:rPr>
      <w:rFonts w:ascii="Calibri" w:hAnsi="Calibri"/>
      <w:kern w:val="2"/>
      <w:sz w:val="21"/>
      <w:szCs w:val="22"/>
    </w:rPr>
  </w:style>
  <w:style w:type="character" w:customStyle="1" w:styleId="19">
    <w:name w:val="批注框文本 字符"/>
    <w:link w:val="7"/>
    <w:qFormat/>
    <w:uiPriority w:val="0"/>
    <w:rPr>
      <w:rFonts w:ascii="Calibri" w:hAnsi="Calibri"/>
      <w:kern w:val="2"/>
      <w:sz w:val="18"/>
      <w:szCs w:val="18"/>
    </w:rPr>
  </w:style>
  <w:style w:type="character" w:customStyle="1" w:styleId="20">
    <w:name w:val="批注主题 字符"/>
    <w:link w:val="11"/>
    <w:qFormat/>
    <w:uiPriority w:val="0"/>
    <w:rPr>
      <w:rFonts w:ascii="Calibri" w:hAnsi="Calibri"/>
      <w:b/>
      <w:bCs/>
      <w:kern w:val="2"/>
      <w:sz w:val="21"/>
      <w:szCs w:val="22"/>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paragraph" w:customStyle="1" w:styleId="23">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 w:type="paragraph" w:customStyle="1" w:styleId="26">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2284</Words>
  <Characters>13023</Characters>
  <Lines>108</Lines>
  <Paragraphs>30</Paragraphs>
  <TotalTime>2</TotalTime>
  <ScaleCrop>false</ScaleCrop>
  <LinksUpToDate>false</LinksUpToDate>
  <CharactersWithSpaces>15277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2023-10-13T08:40:00Z</dcterms:created>
  <dc:creator>陈工</dc:creator>
  <cp:lastModifiedBy>NTKO</cp:lastModifiedBy>
  <cp:lastPrinted>2023-04-06T12:26:00Z</cp:lastPrinted>
  <dcterms:modified xsi:type="dcterms:W3CDTF">2023-10-13T10:52:23Z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40743C4194234AB58F9DB72E3F509D94</vt:lpwstr>
  </property>
</Properties>
</file>