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left"/>
        <w:rPr>
          <w:rFonts w:hint="eastAsia" w:ascii="宋体" w:hAnsi="宋体"/>
          <w:snapToGrid w:val="0"/>
          <w:color w:val="auto"/>
          <w:kern w:val="0"/>
          <w:sz w:val="24"/>
          <w:highlight w:val="none"/>
          <w:u w:val="single"/>
        </w:rPr>
      </w:pPr>
      <w:bookmarkStart w:id="75" w:name="_GoBack"/>
    </w:p>
    <w:p>
      <w:pPr>
        <w:adjustRightInd w:val="0"/>
        <w:snapToGrid w:val="0"/>
        <w:spacing w:line="360" w:lineRule="auto"/>
        <w:jc w:val="left"/>
        <w:rPr>
          <w:rFonts w:hint="eastAsia" w:ascii="宋体" w:hAnsi="宋体"/>
          <w:snapToGrid w:val="0"/>
          <w:color w:val="auto"/>
          <w:kern w:val="0"/>
          <w:sz w:val="24"/>
          <w:highlight w:val="none"/>
          <w:u w:val="single"/>
        </w:rPr>
      </w:pPr>
    </w:p>
    <w:p>
      <w:pPr>
        <w:adjustRightInd w:val="0"/>
        <w:snapToGrid w:val="0"/>
        <w:spacing w:line="360" w:lineRule="auto"/>
        <w:jc w:val="center"/>
        <w:rPr>
          <w:rFonts w:hint="eastAsia" w:ascii="宋体" w:hAnsi="宋体"/>
          <w:b/>
          <w:color w:val="auto"/>
          <w:sz w:val="44"/>
          <w:szCs w:val="44"/>
          <w:highlight w:val="none"/>
          <w:lang w:val="en-US" w:eastAsia="zh-CN"/>
        </w:rPr>
      </w:pPr>
      <w:r>
        <w:rPr>
          <w:rFonts w:hint="eastAsia" w:ascii="宋体" w:hAnsi="宋体"/>
          <w:b/>
          <w:color w:val="auto"/>
          <w:sz w:val="44"/>
          <w:szCs w:val="44"/>
          <w:highlight w:val="none"/>
          <w:lang w:val="en-US" w:eastAsia="zh-CN"/>
        </w:rPr>
        <w:t>广东空天科技研究院风洞项目</w:t>
      </w:r>
    </w:p>
    <w:p>
      <w:pPr>
        <w:adjustRightInd w:val="0"/>
        <w:snapToGrid w:val="0"/>
        <w:spacing w:line="360" w:lineRule="auto"/>
        <w:jc w:val="center"/>
        <w:rPr>
          <w:rFonts w:hint="eastAsia" w:ascii="宋体" w:hAnsi="宋体"/>
          <w:snapToGrid w:val="0"/>
          <w:color w:val="auto"/>
          <w:kern w:val="0"/>
          <w:sz w:val="24"/>
          <w:highlight w:val="none"/>
        </w:rPr>
      </w:pPr>
      <w:r>
        <w:rPr>
          <w:rFonts w:hint="eastAsia" w:ascii="宋体" w:hAnsi="宋体"/>
          <w:b/>
          <w:color w:val="auto"/>
          <w:sz w:val="44"/>
          <w:szCs w:val="44"/>
          <w:highlight w:val="none"/>
          <w:lang w:val="en-US" w:eastAsia="zh-CN"/>
        </w:rPr>
        <w:t>土地平整工程</w:t>
      </w:r>
    </w:p>
    <w:p>
      <w:pPr>
        <w:adjustRightInd w:val="0"/>
        <w:snapToGrid w:val="0"/>
        <w:spacing w:line="360" w:lineRule="auto"/>
        <w:rPr>
          <w:rFonts w:hint="eastAsia" w:ascii="宋体" w:hAnsi="宋体"/>
          <w:snapToGrid w:val="0"/>
          <w:color w:val="auto"/>
          <w:kern w:val="0"/>
          <w:sz w:val="24"/>
          <w:highlight w:val="none"/>
        </w:rPr>
      </w:pPr>
    </w:p>
    <w:p>
      <w:pPr>
        <w:adjustRightInd w:val="0"/>
        <w:snapToGrid w:val="0"/>
        <w:spacing w:line="360" w:lineRule="auto"/>
        <w:jc w:val="center"/>
        <w:rPr>
          <w:rFonts w:ascii="华文中宋" w:hAnsi="华文中宋" w:eastAsia="华文中宋"/>
          <w:b/>
          <w:bCs/>
          <w:snapToGrid w:val="0"/>
          <w:color w:val="auto"/>
          <w:kern w:val="0"/>
          <w:sz w:val="84"/>
          <w:szCs w:val="84"/>
          <w:highlight w:val="none"/>
        </w:rPr>
      </w:pPr>
      <w:r>
        <w:rPr>
          <w:rFonts w:hint="eastAsia" w:ascii="华文中宋" w:hAnsi="华文中宋" w:eastAsia="华文中宋"/>
          <w:b/>
          <w:bCs/>
          <w:snapToGrid w:val="0"/>
          <w:color w:val="auto"/>
          <w:kern w:val="0"/>
          <w:sz w:val="54"/>
          <w:szCs w:val="44"/>
          <w:highlight w:val="none"/>
        </w:rPr>
        <w:t>勘察及初步设计服务合同</w:t>
      </w:r>
    </w:p>
    <w:p>
      <w:pPr>
        <w:spacing w:before="120" w:after="120"/>
        <w:ind w:firstLine="2715" w:firstLineChars="1127"/>
        <w:rPr>
          <w:rFonts w:ascii="宋体" w:hAnsi="宋体"/>
          <w:b/>
          <w:color w:val="auto"/>
          <w:sz w:val="24"/>
          <w:highlight w:val="none"/>
        </w:rPr>
      </w:pPr>
      <w:r>
        <w:rPr>
          <w:rFonts w:hint="eastAsia" w:ascii="宋体" w:hAnsi="宋体"/>
          <w:b/>
          <w:bCs/>
          <w:color w:val="auto"/>
          <w:sz w:val="24"/>
          <w:highlight w:val="none"/>
        </w:rPr>
        <w:t>合同编号：</w:t>
      </w:r>
    </w:p>
    <w:p>
      <w:pPr>
        <w:rPr>
          <w:rFonts w:ascii="宋体" w:hAnsi="宋体"/>
          <w:color w:val="auto"/>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hint="eastAsia" w:ascii="宋体" w:hAnsi="宋体"/>
          <w:snapToGrid w:val="0"/>
          <w:color w:val="auto"/>
          <w:kern w:val="0"/>
          <w:sz w:val="24"/>
          <w:highlight w:val="none"/>
        </w:rPr>
      </w:pPr>
    </w:p>
    <w:p>
      <w:pPr>
        <w:adjustRightInd w:val="0"/>
        <w:snapToGrid w:val="0"/>
        <w:spacing w:line="360" w:lineRule="auto"/>
        <w:rPr>
          <w:rFonts w:ascii="宋体" w:hAnsi="宋体"/>
          <w:snapToGrid w:val="0"/>
          <w:color w:val="auto"/>
          <w:kern w:val="0"/>
          <w:sz w:val="24"/>
          <w:highlight w:val="none"/>
        </w:rPr>
      </w:pPr>
    </w:p>
    <w:p>
      <w:pPr>
        <w:adjustRightInd w:val="0"/>
        <w:snapToGrid w:val="0"/>
        <w:spacing w:line="360" w:lineRule="auto"/>
        <w:rPr>
          <w:rFonts w:ascii="宋体" w:hAnsi="宋体"/>
          <w:b/>
          <w:bCs/>
          <w:snapToGrid w:val="0"/>
          <w:color w:val="auto"/>
          <w:kern w:val="0"/>
          <w:sz w:val="28"/>
          <w:highlight w:val="none"/>
        </w:rPr>
      </w:pPr>
    </w:p>
    <w:p>
      <w:pPr>
        <w:adjustRightInd w:val="0"/>
        <w:snapToGrid w:val="0"/>
        <w:spacing w:line="360" w:lineRule="auto"/>
        <w:rPr>
          <w:rFonts w:hint="eastAsia" w:ascii="宋体" w:hAnsi="宋体"/>
          <w:b/>
          <w:bCs/>
          <w:snapToGrid w:val="0"/>
          <w:color w:val="auto"/>
          <w:kern w:val="0"/>
          <w:sz w:val="28"/>
          <w:highlight w:val="none"/>
        </w:rPr>
      </w:pPr>
      <w:r>
        <w:rPr>
          <w:rFonts w:hint="eastAsia" w:ascii="宋体" w:hAnsi="宋体"/>
          <w:b/>
          <w:bCs/>
          <w:snapToGrid w:val="0"/>
          <w:color w:val="auto"/>
          <w:kern w:val="0"/>
          <w:sz w:val="28"/>
          <w:highlight w:val="none"/>
        </w:rPr>
        <w:t xml:space="preserve">     甲方（发包人）：</w:t>
      </w:r>
      <w:r>
        <w:rPr>
          <w:rFonts w:hint="eastAsia" w:ascii="宋体" w:hAnsi="宋体" w:eastAsia="宋体" w:cs="Times New Roman"/>
          <w:b/>
          <w:bCs/>
          <w:i w:val="0"/>
          <w:caps w:val="0"/>
          <w:snapToGrid w:val="0"/>
          <w:color w:val="auto"/>
          <w:spacing w:val="0"/>
          <w:kern w:val="0"/>
          <w:sz w:val="28"/>
          <w:szCs w:val="24"/>
          <w:highlight w:val="none"/>
          <w:u w:val="none"/>
          <w:shd w:val="clear" w:color="auto" w:fill="auto"/>
        </w:rPr>
        <w:t>广州市南沙新区明珠湾开发建设管理局</w:t>
      </w:r>
    </w:p>
    <w:p>
      <w:pPr>
        <w:adjustRightInd w:val="0"/>
        <w:snapToGrid w:val="0"/>
        <w:spacing w:line="360" w:lineRule="auto"/>
        <w:ind w:firstLine="720" w:firstLineChars="256"/>
        <w:rPr>
          <w:rFonts w:ascii="宋体" w:hAnsi="宋体"/>
          <w:b/>
          <w:bCs/>
          <w:snapToGrid w:val="0"/>
          <w:color w:val="auto"/>
          <w:kern w:val="0"/>
          <w:sz w:val="28"/>
          <w:highlight w:val="none"/>
        </w:rPr>
      </w:pPr>
    </w:p>
    <w:p>
      <w:pPr>
        <w:adjustRightInd w:val="0"/>
        <w:snapToGrid w:val="0"/>
        <w:spacing w:line="360" w:lineRule="auto"/>
        <w:ind w:firstLine="720" w:firstLineChars="256"/>
        <w:rPr>
          <w:rFonts w:ascii="宋体" w:hAnsi="宋体"/>
          <w:b/>
          <w:bCs/>
          <w:snapToGrid w:val="0"/>
          <w:color w:val="auto"/>
          <w:kern w:val="0"/>
          <w:sz w:val="28"/>
          <w:highlight w:val="none"/>
        </w:rPr>
      </w:pPr>
      <w:r>
        <w:rPr>
          <w:rFonts w:hint="eastAsia" w:ascii="宋体" w:hAnsi="宋体"/>
          <w:b/>
          <w:bCs/>
          <w:snapToGrid w:val="0"/>
          <w:color w:val="auto"/>
          <w:kern w:val="0"/>
          <w:sz w:val="28"/>
          <w:highlight w:val="none"/>
        </w:rPr>
        <w:t>乙方（承包人）：</w:t>
      </w:r>
      <w:r>
        <w:rPr>
          <w:rFonts w:ascii="宋体" w:hAnsi="宋体"/>
          <w:b/>
          <w:bCs/>
          <w:snapToGrid w:val="0"/>
          <w:color w:val="auto"/>
          <w:kern w:val="0"/>
          <w:sz w:val="28"/>
          <w:highlight w:val="none"/>
        </w:rPr>
        <w:t xml:space="preserve"> </w:t>
      </w:r>
    </w:p>
    <w:p>
      <w:pPr>
        <w:adjustRightInd w:val="0"/>
        <w:snapToGrid w:val="0"/>
        <w:spacing w:before="156" w:beforeLines="50" w:after="156" w:afterLines="50" w:line="360" w:lineRule="auto"/>
        <w:ind w:firstLine="2700"/>
        <w:rPr>
          <w:rFonts w:ascii="宋体" w:hAnsi="宋体"/>
          <w:bCs/>
          <w:color w:val="auto"/>
          <w:sz w:val="30"/>
          <w:szCs w:val="30"/>
          <w:highlight w:val="none"/>
        </w:rPr>
      </w:pPr>
    </w:p>
    <w:p>
      <w:pPr>
        <w:pStyle w:val="51"/>
        <w:widowControl w:val="0"/>
        <w:kinsoku w:val="0"/>
        <w:overflowPunct w:val="0"/>
        <w:autoSpaceDE w:val="0"/>
        <w:autoSpaceDN w:val="0"/>
        <w:adjustRightInd w:val="0"/>
        <w:snapToGrid w:val="0"/>
        <w:spacing w:before="0" w:beforeAutospacing="0" w:after="0" w:afterAutospacing="0" w:line="360" w:lineRule="auto"/>
        <w:ind w:firstLine="480"/>
        <w:jc w:val="center"/>
        <w:rPr>
          <w:b/>
          <w:color w:val="auto"/>
          <w:sz w:val="28"/>
          <w:szCs w:val="28"/>
          <w:highlight w:val="none"/>
        </w:rPr>
      </w:pPr>
      <w:r>
        <w:rPr>
          <w:rFonts w:hint="eastAsia"/>
          <w:b/>
          <w:bCs/>
          <w:color w:val="auto"/>
          <w:sz w:val="30"/>
          <w:szCs w:val="30"/>
          <w:highlight w:val="none"/>
        </w:rPr>
        <w:t>签订日期：  年   月   日</w:t>
      </w:r>
    </w:p>
    <w:p>
      <w:pPr>
        <w:adjustRightInd w:val="0"/>
        <w:snapToGrid w:val="0"/>
        <w:spacing w:line="360" w:lineRule="auto"/>
        <w:jc w:val="center"/>
        <w:rPr>
          <w:rFonts w:ascii="宋体" w:hAnsi="宋体"/>
          <w:snapToGrid w:val="0"/>
          <w:color w:val="auto"/>
          <w:kern w:val="0"/>
          <w:sz w:val="28"/>
          <w:szCs w:val="28"/>
          <w:highlight w:val="none"/>
        </w:rPr>
      </w:pPr>
      <w:r>
        <w:rPr>
          <w:rFonts w:hint="eastAsia" w:ascii="宋体" w:hAnsi="宋体"/>
          <w:snapToGrid w:val="0"/>
          <w:color w:val="auto"/>
          <w:kern w:val="0"/>
          <w:sz w:val="28"/>
          <w:szCs w:val="28"/>
          <w:highlight w:val="none"/>
        </w:rPr>
        <w:t>（本合同范本版权归</w:t>
      </w:r>
      <w:r>
        <w:rPr>
          <w:rFonts w:hint="eastAsia" w:ascii="宋体" w:hAnsi="宋体" w:eastAsia="宋体" w:cs="Times New Roman"/>
          <w:i w:val="0"/>
          <w:caps w:val="0"/>
          <w:snapToGrid w:val="0"/>
          <w:color w:val="auto"/>
          <w:spacing w:val="0"/>
          <w:kern w:val="0"/>
          <w:sz w:val="28"/>
          <w:szCs w:val="28"/>
          <w:highlight w:val="none"/>
          <w:u w:val="none"/>
          <w:shd w:val="clear" w:color="auto" w:fill="auto"/>
        </w:rPr>
        <w:t>广州市南沙新区明珠湾开发建设管理局</w:t>
      </w:r>
      <w:r>
        <w:rPr>
          <w:rFonts w:hint="eastAsia" w:ascii="宋体" w:hAnsi="宋体"/>
          <w:snapToGrid w:val="0"/>
          <w:color w:val="auto"/>
          <w:kern w:val="0"/>
          <w:sz w:val="28"/>
          <w:szCs w:val="28"/>
          <w:highlight w:val="none"/>
        </w:rPr>
        <w:t>所有）</w:t>
      </w:r>
    </w:p>
    <w:p>
      <w:pPr>
        <w:widowControl/>
        <w:jc w:val="left"/>
        <w:rPr>
          <w:rFonts w:ascii="宋体" w:hAnsi="宋体"/>
          <w:b/>
          <w:color w:val="auto"/>
          <w:kern w:val="0"/>
          <w:sz w:val="34"/>
          <w:szCs w:val="28"/>
          <w:highlight w:val="none"/>
        </w:rPr>
      </w:pPr>
    </w:p>
    <w:p>
      <w:pPr>
        <w:pStyle w:val="51"/>
        <w:widowControl w:val="0"/>
        <w:kinsoku w:val="0"/>
        <w:overflowPunct w:val="0"/>
        <w:autoSpaceDE w:val="0"/>
        <w:autoSpaceDN w:val="0"/>
        <w:adjustRightInd w:val="0"/>
        <w:snapToGrid w:val="0"/>
        <w:spacing w:before="0" w:beforeAutospacing="0" w:after="0" w:afterAutospacing="0" w:line="360" w:lineRule="auto"/>
        <w:jc w:val="center"/>
        <w:rPr>
          <w:b/>
          <w:color w:val="auto"/>
          <w:sz w:val="34"/>
          <w:szCs w:val="28"/>
          <w:highlight w:val="none"/>
        </w:rPr>
      </w:pPr>
      <w:r>
        <w:rPr>
          <w:rFonts w:hint="eastAsia"/>
          <w:b/>
          <w:color w:val="auto"/>
          <w:sz w:val="34"/>
          <w:szCs w:val="28"/>
          <w:highlight w:val="none"/>
        </w:rPr>
        <w:t>重要提示</w:t>
      </w:r>
    </w:p>
    <w:p>
      <w:pPr>
        <w:adjustRightInd w:val="0"/>
        <w:snapToGrid w:val="0"/>
        <w:spacing w:line="360" w:lineRule="auto"/>
        <w:ind w:firstLine="472" w:firstLineChars="196"/>
        <w:rPr>
          <w:rFonts w:hint="eastAsia" w:ascii="宋体" w:hAnsi="宋体"/>
          <w:b/>
          <w:snapToGrid w:val="0"/>
          <w:color w:val="auto"/>
          <w:kern w:val="0"/>
          <w:sz w:val="24"/>
          <w:highlight w:val="none"/>
        </w:rPr>
      </w:pPr>
    </w:p>
    <w:p>
      <w:pPr>
        <w:adjustRightInd w:val="0"/>
        <w:snapToGrid w:val="0"/>
        <w:spacing w:line="360" w:lineRule="auto"/>
        <w:ind w:firstLine="470" w:firstLineChars="19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一、广州市南沙区以建设广州市城市副中心，高水平对外开放门户枢纽为战略思路，以“低碳节能、绿色生态、智慧城市、岭南水城”为城市规划建设理念，以“国际化、高端化、品质化、精细化”为工程建设目标，承包人应充分理解项目定位，高标准、严要求的开展工程勘察、设计工作。</w:t>
      </w:r>
    </w:p>
    <w:p>
      <w:pPr>
        <w:adjustRightInd w:val="0"/>
        <w:snapToGrid w:val="0"/>
        <w:spacing w:line="360" w:lineRule="auto"/>
        <w:ind w:firstLine="470" w:firstLineChars="19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二、承包人应委派专业技术能力强的设计人员参与本项目，加强设计统筹协调，确保提供高质量的设计成果文件。</w:t>
      </w:r>
    </w:p>
    <w:p>
      <w:pPr>
        <w:adjustRightInd w:val="0"/>
        <w:snapToGrid w:val="0"/>
        <w:spacing w:line="360" w:lineRule="auto"/>
        <w:ind w:firstLine="470" w:firstLineChars="196"/>
        <w:rPr>
          <w:rFonts w:ascii="宋体" w:hAnsi="宋体"/>
          <w:snapToGrid w:val="0"/>
          <w:color w:val="auto"/>
          <w:kern w:val="0"/>
          <w:sz w:val="24"/>
          <w:highlight w:val="none"/>
        </w:rPr>
      </w:pPr>
      <w:r>
        <w:rPr>
          <w:rFonts w:hint="eastAsia" w:ascii="宋体" w:hAnsi="宋体"/>
          <w:snapToGrid w:val="0"/>
          <w:color w:val="auto"/>
          <w:kern w:val="0"/>
          <w:sz w:val="24"/>
          <w:highlight w:val="none"/>
        </w:rPr>
        <w:t>三、如承包人未按合同履行义务，出现严重违约情形的，发包人有权在后续发包项目中拒绝其参与投标，并将违约行为上报建设行政主管部门。</w:t>
      </w:r>
    </w:p>
    <w:p>
      <w:pPr>
        <w:adjustRightInd w:val="0"/>
        <w:snapToGrid w:val="0"/>
        <w:spacing w:line="360" w:lineRule="auto"/>
        <w:ind w:firstLine="470" w:firstLineChars="19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四、承包人应自行委托有经验、能力强的设计咨询单位对设计成果文件进行审核，审核内容包括设计成果是否满足发包人所提供设计技术文件要求，是否符合“低碳节能、绿色生态、智慧城市、岭南水城”的城市规划建设理念及 “国际化”、“高端化”、“精细化”、“品质化”建设要求。设计咨询单位应提出设计修改意见并出具设计审核报告，并作为设计文件的一部分一并提交给发包人。</w:t>
      </w:r>
    </w:p>
    <w:p>
      <w:pPr>
        <w:adjustRightInd w:val="0"/>
        <w:snapToGrid w:val="0"/>
        <w:spacing w:line="360" w:lineRule="auto"/>
        <w:ind w:firstLine="470" w:firstLineChars="196"/>
        <w:rPr>
          <w:rFonts w:ascii="宋体" w:hAnsi="宋体"/>
          <w:snapToGrid w:val="0"/>
          <w:color w:val="auto"/>
          <w:kern w:val="0"/>
          <w:sz w:val="24"/>
          <w:highlight w:val="none"/>
        </w:rPr>
      </w:pPr>
      <w:bookmarkStart w:id="0" w:name="_Toc115711396"/>
      <w:r>
        <w:rPr>
          <w:rFonts w:hint="eastAsia" w:ascii="宋体" w:hAnsi="宋体"/>
          <w:snapToGrid w:val="0"/>
          <w:color w:val="auto"/>
          <w:kern w:val="0"/>
          <w:sz w:val="24"/>
          <w:highlight w:val="none"/>
        </w:rPr>
        <w:t>五、使用说明：本合同由《合同协议书》、《合同条款》和《合同附件》三大部分组成，对合同中的部分内容设选项按标准化模式设置，采用“</w:t>
      </w:r>
      <w:r>
        <w:rPr>
          <w:rFonts w:hint="eastAsia" w:ascii="宋体" w:hAnsi="宋体"/>
          <w:snapToGrid w:val="0"/>
          <w:color w:val="auto"/>
          <w:kern w:val="0"/>
          <w:sz w:val="24"/>
          <w:highlight w:val="none"/>
          <w:bdr w:val="single" w:color="auto" w:sz="4" w:space="0"/>
        </w:rPr>
        <w:t>√</w:t>
      </w:r>
      <w:r>
        <w:rPr>
          <w:rFonts w:hint="eastAsia" w:ascii="宋体" w:hAnsi="宋体"/>
          <w:snapToGrid w:val="0"/>
          <w:color w:val="auto"/>
          <w:kern w:val="0"/>
          <w:sz w:val="24"/>
          <w:highlight w:val="none"/>
        </w:rPr>
        <w:t>”或“</w:t>
      </w:r>
      <w:r>
        <w:rPr>
          <w:rFonts w:hint="eastAsia" w:ascii="宋体" w:hAnsi="宋体"/>
          <w:snapToGrid w:val="0"/>
          <w:color w:val="auto"/>
          <w:kern w:val="0"/>
          <w:sz w:val="24"/>
          <w:highlight w:val="none"/>
          <w:bdr w:val="single" w:color="auto" w:sz="4" w:space="0"/>
        </w:rPr>
        <w:t>×</w:t>
      </w:r>
      <w:r>
        <w:rPr>
          <w:rFonts w:hint="eastAsia" w:ascii="宋体" w:hAnsi="宋体"/>
          <w:snapToGrid w:val="0"/>
          <w:color w:val="auto"/>
          <w:kern w:val="0"/>
          <w:sz w:val="24"/>
          <w:highlight w:val="none"/>
        </w:rPr>
        <w:t>”予以选择。合同中此部分内容，标注“</w:t>
      </w:r>
      <w:r>
        <w:rPr>
          <w:rFonts w:hint="eastAsia" w:ascii="宋体" w:hAnsi="宋体"/>
          <w:snapToGrid w:val="0"/>
          <w:color w:val="auto"/>
          <w:kern w:val="0"/>
          <w:sz w:val="24"/>
          <w:highlight w:val="none"/>
          <w:bdr w:val="single" w:color="auto" w:sz="4" w:space="0"/>
        </w:rPr>
        <w:t>√</w:t>
      </w:r>
      <w:r>
        <w:rPr>
          <w:rFonts w:hint="eastAsia" w:ascii="宋体" w:hAnsi="宋体"/>
          <w:snapToGrid w:val="0"/>
          <w:color w:val="auto"/>
          <w:kern w:val="0"/>
          <w:sz w:val="24"/>
          <w:highlight w:val="none"/>
        </w:rPr>
        <w:t>”的选项即为本合同采用，标注“</w:t>
      </w:r>
      <w:r>
        <w:rPr>
          <w:rFonts w:hint="eastAsia" w:ascii="宋体" w:hAnsi="宋体"/>
          <w:snapToGrid w:val="0"/>
          <w:color w:val="auto"/>
          <w:kern w:val="0"/>
          <w:sz w:val="24"/>
          <w:highlight w:val="none"/>
          <w:bdr w:val="single" w:color="auto" w:sz="4" w:space="0"/>
        </w:rPr>
        <w:t>×</w:t>
      </w:r>
      <w:r>
        <w:rPr>
          <w:rFonts w:hint="eastAsia" w:ascii="宋体" w:hAnsi="宋体"/>
          <w:snapToGrid w:val="0"/>
          <w:color w:val="auto"/>
          <w:kern w:val="0"/>
          <w:sz w:val="24"/>
          <w:highlight w:val="none"/>
        </w:rPr>
        <w:t>”的选项为本合同不采用。</w:t>
      </w:r>
    </w:p>
    <w:p>
      <w:pPr>
        <w:adjustRightInd w:val="0"/>
        <w:snapToGrid w:val="0"/>
        <w:spacing w:line="360" w:lineRule="auto"/>
        <w:rPr>
          <w:rFonts w:ascii="宋体" w:hAnsi="宋体"/>
          <w:b/>
          <w:bCs/>
          <w:snapToGrid w:val="0"/>
          <w:color w:val="auto"/>
          <w:kern w:val="0"/>
          <w:sz w:val="32"/>
          <w:szCs w:val="32"/>
          <w:highlight w:val="none"/>
        </w:rPr>
      </w:pPr>
    </w:p>
    <w:p>
      <w:pPr>
        <w:adjustRightInd w:val="0"/>
        <w:snapToGrid w:val="0"/>
        <w:spacing w:line="360" w:lineRule="auto"/>
        <w:rPr>
          <w:rFonts w:ascii="宋体" w:hAnsi="宋体"/>
          <w:b/>
          <w:bCs/>
          <w:snapToGrid w:val="0"/>
          <w:color w:val="auto"/>
          <w:kern w:val="0"/>
          <w:sz w:val="32"/>
          <w:szCs w:val="32"/>
          <w:highlight w:val="none"/>
        </w:rPr>
      </w:pPr>
    </w:p>
    <w:bookmarkEnd w:id="0"/>
    <w:p>
      <w:pPr>
        <w:adjustRightInd w:val="0"/>
        <w:snapToGrid w:val="0"/>
        <w:spacing w:line="360" w:lineRule="auto"/>
        <w:jc w:val="center"/>
        <w:rPr>
          <w:rFonts w:ascii="宋体" w:hAnsi="宋体"/>
          <w:bCs/>
          <w:snapToGrid w:val="0"/>
          <w:color w:val="auto"/>
          <w:kern w:val="0"/>
          <w:sz w:val="24"/>
          <w:highlight w:val="none"/>
        </w:rPr>
      </w:pPr>
      <w:bookmarkStart w:id="1" w:name="_Toc82141020"/>
      <w:bookmarkStart w:id="2" w:name="_Toc122759214"/>
      <w:bookmarkStart w:id="3" w:name="_Toc115711029"/>
      <w:bookmarkStart w:id="4" w:name="_Toc114119681"/>
      <w:bookmarkStart w:id="5" w:name="_Toc472802231"/>
      <w:r>
        <w:rPr>
          <w:rFonts w:ascii="宋体" w:hAnsi="宋体"/>
          <w:b/>
          <w:bCs/>
          <w:snapToGrid w:val="0"/>
          <w:color w:val="auto"/>
          <w:kern w:val="0"/>
          <w:sz w:val="44"/>
          <w:szCs w:val="44"/>
          <w:highlight w:val="none"/>
        </w:rPr>
        <w:br w:type="page"/>
      </w:r>
    </w:p>
    <w:p>
      <w:pPr>
        <w:pStyle w:val="3"/>
        <w:spacing w:before="0"/>
        <w:rPr>
          <w:b w:val="0"/>
          <w:bCs w:val="0"/>
          <w:snapToGrid w:val="0"/>
          <w:color w:val="auto"/>
          <w:kern w:val="0"/>
          <w:sz w:val="44"/>
          <w:szCs w:val="44"/>
          <w:highlight w:val="none"/>
        </w:rPr>
      </w:pPr>
      <w:r>
        <w:rPr>
          <w:rFonts w:hint="eastAsia"/>
          <w:snapToGrid w:val="0"/>
          <w:color w:val="auto"/>
          <w:kern w:val="0"/>
          <w:sz w:val="44"/>
          <w:szCs w:val="44"/>
          <w:highlight w:val="none"/>
        </w:rPr>
        <w:t>第一篇  合同协议书</w:t>
      </w:r>
      <w:bookmarkEnd w:id="1"/>
      <w:bookmarkEnd w:id="2"/>
      <w:bookmarkEnd w:id="3"/>
      <w:bookmarkEnd w:id="4"/>
      <w:bookmarkEnd w:id="5"/>
    </w:p>
    <w:p>
      <w:pPr>
        <w:adjustRightInd w:val="0"/>
        <w:snapToGrid w:val="0"/>
        <w:spacing w:line="360" w:lineRule="auto"/>
        <w:ind w:right="11"/>
        <w:rPr>
          <w:rFonts w:hint="eastAsia" w:ascii="宋体" w:hAnsi="宋体"/>
          <w:snapToGrid w:val="0"/>
          <w:color w:val="auto"/>
          <w:kern w:val="0"/>
          <w:sz w:val="24"/>
          <w:highlight w:val="none"/>
        </w:rPr>
      </w:pPr>
    </w:p>
    <w:p>
      <w:pPr>
        <w:spacing w:line="560" w:lineRule="exact"/>
        <w:ind w:firstLine="480" w:firstLineChars="200"/>
        <w:rPr>
          <w:rFonts w:ascii="宋体" w:hAnsi="宋体"/>
          <w:b/>
          <w:bCs/>
          <w:snapToGrid w:val="0"/>
          <w:color w:val="auto"/>
          <w:kern w:val="0"/>
          <w:sz w:val="24"/>
          <w:highlight w:val="none"/>
        </w:rPr>
      </w:pPr>
      <w:r>
        <w:rPr>
          <w:rFonts w:hint="eastAsia" w:ascii="宋体" w:hAnsi="宋体" w:eastAsia="宋体" w:cs="Times New Roman"/>
          <w:i w:val="0"/>
          <w:caps w:val="0"/>
          <w:snapToGrid w:val="0"/>
          <w:color w:val="auto"/>
          <w:spacing w:val="0"/>
          <w:kern w:val="0"/>
          <w:sz w:val="24"/>
          <w:szCs w:val="24"/>
          <w:highlight w:val="none"/>
          <w:u w:val="none"/>
          <w:shd w:val="clear" w:color="auto" w:fill="auto"/>
        </w:rPr>
        <w:t>广州市南沙新区明珠湾开发建设管理局</w:t>
      </w:r>
      <w:r>
        <w:rPr>
          <w:rFonts w:hint="eastAsia" w:ascii="宋体" w:hAnsi="宋体"/>
          <w:snapToGrid w:val="0"/>
          <w:color w:val="auto"/>
          <w:kern w:val="0"/>
          <w:sz w:val="24"/>
          <w:highlight w:val="none"/>
        </w:rPr>
        <w:t>（以下简称甲方）与</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以下简称乙方）依照《中华人民共和国合同法》、《中华人民共和国建筑法》、《中华人民共和国招标投标法》及其他有关法律、行政法规、部门规章、地方性法规和规章，遵循平等、自愿、公平和诚实信用的原则，双方就</w:t>
      </w:r>
      <w:r>
        <w:rPr>
          <w:rFonts w:hint="eastAsia" w:ascii="宋体" w:hAnsi="宋体"/>
          <w:b w:val="0"/>
          <w:bCs/>
          <w:snapToGrid w:val="0"/>
          <w:color w:val="auto"/>
          <w:kern w:val="0"/>
          <w:sz w:val="24"/>
          <w:szCs w:val="24"/>
          <w:highlight w:val="none"/>
          <w:u w:val="single"/>
          <w:lang w:val="en-US" w:eastAsia="zh-CN"/>
        </w:rPr>
        <w:t>广东空天科技研究院风洞项目土地平整工程勘察及初步设计</w:t>
      </w:r>
      <w:r>
        <w:rPr>
          <w:rFonts w:hint="eastAsia" w:ascii="宋体" w:hAnsi="宋体"/>
          <w:bCs/>
          <w:snapToGrid w:val="0"/>
          <w:color w:val="auto"/>
          <w:kern w:val="0"/>
          <w:sz w:val="24"/>
          <w:highlight w:val="none"/>
          <w:u w:val="none"/>
        </w:rPr>
        <w:t>服务</w:t>
      </w:r>
      <w:r>
        <w:rPr>
          <w:rFonts w:hint="eastAsia" w:ascii="宋体" w:hAnsi="宋体"/>
          <w:snapToGrid w:val="0"/>
          <w:color w:val="auto"/>
          <w:kern w:val="0"/>
          <w:sz w:val="24"/>
          <w:highlight w:val="none"/>
        </w:rPr>
        <w:t>承包事宜协商一致，订立本合同。</w:t>
      </w:r>
    </w:p>
    <w:p>
      <w:pPr>
        <w:spacing w:line="560" w:lineRule="exact"/>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1、项目概况</w:t>
      </w:r>
    </w:p>
    <w:p>
      <w:pPr>
        <w:spacing w:line="560" w:lineRule="exact"/>
        <w:ind w:firstLine="472" w:firstLineChars="196"/>
        <w:rPr>
          <w:rFonts w:hint="eastAsia" w:ascii="宋体" w:hAnsi="宋体"/>
          <w:bCs/>
          <w:snapToGrid w:val="0"/>
          <w:color w:val="auto"/>
          <w:kern w:val="0"/>
          <w:sz w:val="24"/>
          <w:highlight w:val="none"/>
          <w:u w:val="none"/>
        </w:rPr>
      </w:pPr>
      <w:r>
        <w:rPr>
          <w:rFonts w:hint="eastAsia" w:ascii="宋体" w:hAnsi="宋体"/>
          <w:b/>
          <w:bCs/>
          <w:snapToGrid w:val="0"/>
          <w:color w:val="auto"/>
          <w:kern w:val="0"/>
          <w:sz w:val="24"/>
          <w:highlight w:val="none"/>
        </w:rPr>
        <w:t>1.1</w:t>
      </w:r>
      <w:r>
        <w:rPr>
          <w:rFonts w:hint="eastAsia" w:ascii="宋体" w:hAnsi="宋体"/>
          <w:bCs/>
          <w:snapToGrid w:val="0"/>
          <w:color w:val="auto"/>
          <w:kern w:val="0"/>
          <w:sz w:val="24"/>
          <w:highlight w:val="none"/>
        </w:rPr>
        <w:t>项目名称：</w:t>
      </w:r>
      <w:r>
        <w:rPr>
          <w:rFonts w:hint="eastAsia" w:ascii="宋体" w:hAnsi="宋体"/>
          <w:b w:val="0"/>
          <w:bCs/>
          <w:snapToGrid w:val="0"/>
          <w:color w:val="auto"/>
          <w:kern w:val="0"/>
          <w:sz w:val="24"/>
          <w:szCs w:val="24"/>
          <w:highlight w:val="none"/>
          <w:u w:val="single"/>
          <w:lang w:val="en-US" w:eastAsia="zh-CN"/>
        </w:rPr>
        <w:t>广东空天科技研究院风洞项目土地平整工程</w:t>
      </w:r>
    </w:p>
    <w:p>
      <w:pPr>
        <w:spacing w:line="560" w:lineRule="exact"/>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1.2</w:t>
      </w:r>
      <w:r>
        <w:rPr>
          <w:rFonts w:hint="eastAsia" w:ascii="宋体" w:hAnsi="宋体"/>
          <w:bCs/>
          <w:snapToGrid w:val="0"/>
          <w:color w:val="auto"/>
          <w:kern w:val="0"/>
          <w:sz w:val="24"/>
          <w:highlight w:val="none"/>
        </w:rPr>
        <w:t>项目地点：</w:t>
      </w:r>
      <w:r>
        <w:rPr>
          <w:rFonts w:hint="eastAsia" w:ascii="宋体" w:hAnsi="宋体"/>
          <w:bCs/>
          <w:snapToGrid w:val="0"/>
          <w:color w:val="auto"/>
          <w:kern w:val="0"/>
          <w:sz w:val="24"/>
          <w:highlight w:val="none"/>
          <w:u w:val="single"/>
        </w:rPr>
        <w:t xml:space="preserve"> 广州市南沙区</w:t>
      </w:r>
      <w:r>
        <w:rPr>
          <w:rFonts w:hint="eastAsia" w:ascii="宋体" w:hAnsi="宋体"/>
          <w:bCs/>
          <w:snapToGrid w:val="0"/>
          <w:color w:val="auto"/>
          <w:kern w:val="0"/>
          <w:sz w:val="24"/>
          <w:highlight w:val="none"/>
          <w:u w:val="single"/>
          <w:lang w:val="en-US" w:eastAsia="zh-CN"/>
        </w:rPr>
        <w:t>龙穴岛北部</w:t>
      </w:r>
      <w:r>
        <w:rPr>
          <w:rFonts w:hint="eastAsia" w:ascii="宋体" w:hAnsi="宋体"/>
          <w:bCs/>
          <w:snapToGrid w:val="0"/>
          <w:color w:val="auto"/>
          <w:kern w:val="0"/>
          <w:sz w:val="24"/>
          <w:highlight w:val="none"/>
          <w:u w:val="single"/>
        </w:rPr>
        <w:t xml:space="preserve">     </w:t>
      </w:r>
    </w:p>
    <w:p>
      <w:pPr>
        <w:spacing w:line="560" w:lineRule="exact"/>
        <w:ind w:firstLine="472" w:firstLineChars="196"/>
        <w:rPr>
          <w:rFonts w:ascii="宋体" w:hAnsi="宋体"/>
          <w:bCs/>
          <w:snapToGrid w:val="0"/>
          <w:color w:val="auto"/>
          <w:kern w:val="0"/>
          <w:sz w:val="24"/>
          <w:highlight w:val="none"/>
          <w:u w:val="single"/>
        </w:rPr>
      </w:pPr>
      <w:r>
        <w:rPr>
          <w:rFonts w:hint="eastAsia" w:ascii="宋体" w:hAnsi="宋体"/>
          <w:b/>
          <w:bCs/>
          <w:snapToGrid w:val="0"/>
          <w:color w:val="auto"/>
          <w:kern w:val="0"/>
          <w:sz w:val="24"/>
          <w:highlight w:val="none"/>
        </w:rPr>
        <w:t>1.3</w:t>
      </w:r>
      <w:r>
        <w:rPr>
          <w:rFonts w:hint="eastAsia" w:ascii="宋体" w:hAnsi="宋体"/>
          <w:bCs/>
          <w:snapToGrid w:val="0"/>
          <w:color w:val="auto"/>
          <w:kern w:val="0"/>
          <w:sz w:val="24"/>
          <w:highlight w:val="none"/>
        </w:rPr>
        <w:t>立项批准文号：</w:t>
      </w:r>
      <w:r>
        <w:rPr>
          <w:rFonts w:hint="eastAsia" w:ascii="宋体" w:hAnsi="宋体"/>
          <w:bCs/>
          <w:snapToGrid w:val="0"/>
          <w:color w:val="auto"/>
          <w:kern w:val="0"/>
          <w:sz w:val="24"/>
          <w:highlight w:val="none"/>
          <w:u w:val="single"/>
        </w:rPr>
        <w:t xml:space="preserve">                 </w:t>
      </w:r>
    </w:p>
    <w:p>
      <w:pPr>
        <w:spacing w:line="560" w:lineRule="exact"/>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1.4</w:t>
      </w:r>
      <w:r>
        <w:rPr>
          <w:rFonts w:hint="eastAsia" w:ascii="宋体" w:hAnsi="宋体"/>
          <w:bCs/>
          <w:snapToGrid w:val="0"/>
          <w:color w:val="auto"/>
          <w:kern w:val="0"/>
          <w:sz w:val="24"/>
          <w:highlight w:val="none"/>
        </w:rPr>
        <w:t>资金来源：</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u w:val="single"/>
          <w:lang w:val="en-US" w:eastAsia="zh-CN"/>
        </w:rPr>
        <w:t>南沙</w:t>
      </w:r>
      <w:r>
        <w:rPr>
          <w:rFonts w:hint="eastAsia" w:ascii="宋体" w:hAnsi="宋体"/>
          <w:bCs/>
          <w:snapToGrid w:val="0"/>
          <w:color w:val="auto"/>
          <w:kern w:val="0"/>
          <w:sz w:val="24"/>
          <w:highlight w:val="none"/>
          <w:u w:val="single"/>
        </w:rPr>
        <w:t xml:space="preserve">区财政资金     </w:t>
      </w:r>
    </w:p>
    <w:p>
      <w:pPr>
        <w:spacing w:line="560" w:lineRule="exact"/>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1.5</w:t>
      </w:r>
      <w:r>
        <w:rPr>
          <w:rFonts w:hint="eastAsia" w:ascii="宋体" w:hAnsi="宋体"/>
          <w:bCs/>
          <w:snapToGrid w:val="0"/>
          <w:color w:val="auto"/>
          <w:kern w:val="0"/>
          <w:sz w:val="24"/>
          <w:highlight w:val="none"/>
        </w:rPr>
        <w:t>设计合理使用年限：</w:t>
      </w:r>
      <w:r>
        <w:rPr>
          <w:rFonts w:hint="eastAsia" w:ascii="宋体" w:hAnsi="宋体"/>
          <w:bCs/>
          <w:snapToGrid w:val="0"/>
          <w:color w:val="auto"/>
          <w:kern w:val="0"/>
          <w:sz w:val="24"/>
          <w:highlight w:val="none"/>
          <w:u w:val="single"/>
        </w:rPr>
        <w:t xml:space="preserve">  满足合理使用年限  </w:t>
      </w:r>
      <w:r>
        <w:rPr>
          <w:rFonts w:hint="eastAsia" w:ascii="宋体" w:hAnsi="宋体"/>
          <w:bCs/>
          <w:snapToGrid w:val="0"/>
          <w:color w:val="auto"/>
          <w:kern w:val="0"/>
          <w:sz w:val="24"/>
          <w:highlight w:val="none"/>
        </w:rPr>
        <w:t xml:space="preserve"> 。</w:t>
      </w:r>
    </w:p>
    <w:p>
      <w:pPr>
        <w:spacing w:line="560" w:lineRule="exact"/>
        <w:ind w:firstLine="472" w:firstLineChars="196"/>
        <w:rPr>
          <w:rFonts w:hint="eastAsia" w:ascii="宋体" w:hAnsi="宋体"/>
          <w:color w:val="auto"/>
          <w:sz w:val="24"/>
          <w:highlight w:val="none"/>
          <w:u w:val="single"/>
          <w:lang w:val="en-US" w:eastAsia="zh-CN"/>
        </w:rPr>
      </w:pPr>
      <w:r>
        <w:rPr>
          <w:rFonts w:hint="eastAsia" w:ascii="宋体" w:hAnsi="宋体"/>
          <w:b/>
          <w:bCs/>
          <w:snapToGrid w:val="0"/>
          <w:color w:val="auto"/>
          <w:kern w:val="0"/>
          <w:sz w:val="24"/>
          <w:highlight w:val="none"/>
        </w:rPr>
        <w:t>1.6</w:t>
      </w:r>
      <w:r>
        <w:rPr>
          <w:rFonts w:hint="eastAsia" w:ascii="宋体" w:hAnsi="宋体"/>
          <w:bCs/>
          <w:snapToGrid w:val="0"/>
          <w:color w:val="auto"/>
          <w:kern w:val="0"/>
          <w:sz w:val="24"/>
          <w:highlight w:val="none"/>
        </w:rPr>
        <w:t>项目规模：</w:t>
      </w:r>
      <w:r>
        <w:rPr>
          <w:rFonts w:hint="eastAsia" w:ascii="宋体" w:hAnsi="宋体"/>
          <w:color w:val="auto"/>
          <w:sz w:val="24"/>
          <w:highlight w:val="none"/>
          <w:u w:val="single"/>
          <w:lang w:val="en-US" w:eastAsia="zh-CN"/>
        </w:rPr>
        <w:t>广东空天科技研究院风洞项目土地平整工程项目选址位于南沙区龙穴岛鸡抱沙北路北侧，总用地面积约250亩。项目用地现状为鱼塘，根据周边项目资料，场地标高约2.3～4.8m（广州城建高程系统），场区地质主要为淤泥及淤泥质土，软土厚度大于20m，局部厚度超过25m。</w:t>
      </w:r>
    </w:p>
    <w:p>
      <w:pPr>
        <w:spacing w:line="560" w:lineRule="exact"/>
        <w:ind w:firstLine="470" w:firstLineChars="196"/>
        <w:rPr>
          <w:rFonts w:ascii="宋体" w:hAnsi="宋体"/>
          <w:color w:val="auto"/>
          <w:sz w:val="24"/>
          <w:highlight w:val="none"/>
          <w:u w:val="single"/>
        </w:rPr>
      </w:pPr>
      <w:r>
        <w:rPr>
          <w:rFonts w:hint="eastAsia" w:ascii="宋体" w:hAnsi="宋体"/>
          <w:color w:val="auto"/>
          <w:sz w:val="24"/>
          <w:highlight w:val="none"/>
          <w:u w:val="single"/>
          <w:lang w:val="en-US" w:eastAsia="zh-CN"/>
        </w:rPr>
        <w:t>广东空天科技研究院风洞项目土地平整工程总面积约为16.6万m2,场地平整交工标高8.1m(广州城建高程系统 暂定），平均填土厚度约6m，总体填方约120万m3。主要建设内容为土地平整工程（回填材料为透水性材料）和场地填方边坡地基处理工程（水泥搅拌桩加固）、围堰工程、进场道路工程。本项目预估总投资约为30526.96万元，预估建安费约为25022.1万元，资金来源为南沙区财政。</w:t>
      </w:r>
    </w:p>
    <w:p>
      <w:pPr>
        <w:spacing w:line="560" w:lineRule="exact"/>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2、勘察设计范围和乙方工作内容及承包方式</w:t>
      </w:r>
    </w:p>
    <w:p>
      <w:pPr>
        <w:spacing w:line="560" w:lineRule="exact"/>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2.1勘察设计范围</w:t>
      </w:r>
    </w:p>
    <w:p>
      <w:pPr>
        <w:spacing w:line="560" w:lineRule="exact"/>
        <w:ind w:firstLine="527" w:firstLineChars="350"/>
        <w:rPr>
          <w:rFonts w:ascii="宋体" w:hAnsi="宋体"/>
          <w:bCs/>
          <w:snapToGrid w:val="0"/>
          <w:color w:val="auto"/>
          <w:kern w:val="0"/>
          <w:sz w:val="24"/>
          <w:highlight w:val="none"/>
        </w:rPr>
      </w:pPr>
      <w:r>
        <w:rPr>
          <w:rFonts w:hint="eastAsia" w:ascii="宋体" w:hAnsi="宋体"/>
          <w:b/>
          <w:color w:val="auto"/>
          <w:sz w:val="15"/>
          <w:szCs w:val="15"/>
          <w:highlight w:val="none"/>
          <w:bdr w:val="single" w:color="auto" w:sz="4" w:space="0"/>
        </w:rPr>
        <w:t>√</w:t>
      </w:r>
      <w:r>
        <w:rPr>
          <w:rFonts w:hint="eastAsia" w:ascii="宋体" w:hAnsi="宋体"/>
          <w:bCs/>
          <w:snapToGrid w:val="0"/>
          <w:color w:val="auto"/>
          <w:kern w:val="0"/>
          <w:sz w:val="24"/>
          <w:highlight w:val="none"/>
        </w:rPr>
        <w:t xml:space="preserve"> 本项目的所有勘察设计工作均纳入本合同范围，包括规划用地红线范围内所有建设工程的勘察设计工作。</w:t>
      </w:r>
    </w:p>
    <w:p>
      <w:pPr>
        <w:spacing w:line="560" w:lineRule="exact"/>
        <w:ind w:firstLine="480" w:firstLineChars="200"/>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 xml:space="preserve"> </w:t>
      </w:r>
      <w:r>
        <w:rPr>
          <w:rFonts w:hint="eastAsia" w:ascii="宋体" w:hAnsi="宋体"/>
          <w:b/>
          <w:color w:val="auto"/>
          <w:sz w:val="15"/>
          <w:szCs w:val="15"/>
          <w:highlight w:val="none"/>
          <w:bdr w:val="single" w:color="auto" w:sz="4" w:space="0"/>
        </w:rPr>
        <w:t>√</w:t>
      </w:r>
      <w:r>
        <w:rPr>
          <w:rFonts w:hint="eastAsia" w:ascii="宋体" w:hAnsi="宋体"/>
          <w:bCs/>
          <w:snapToGrid w:val="0"/>
          <w:color w:val="auto"/>
          <w:kern w:val="0"/>
          <w:sz w:val="24"/>
          <w:highlight w:val="none"/>
        </w:rPr>
        <w:t>本项目勘察－设计承包范围见下表：</w:t>
      </w:r>
    </w:p>
    <w:p>
      <w:pPr>
        <w:spacing w:line="360" w:lineRule="auto"/>
        <w:ind w:firstLine="480" w:firstLineChars="200"/>
        <w:rPr>
          <w:rFonts w:ascii="宋体" w:hAnsi="宋体"/>
          <w:bCs/>
          <w:snapToGrid w:val="0"/>
          <w:color w:val="auto"/>
          <w:kern w:val="0"/>
          <w:sz w:val="24"/>
          <w:highlight w:val="none"/>
        </w:rPr>
      </w:pPr>
    </w:p>
    <w:tbl>
      <w:tblPr>
        <w:tblStyle w:val="5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709"/>
        <w:gridCol w:w="709"/>
        <w:gridCol w:w="708"/>
        <w:gridCol w:w="851"/>
        <w:gridCol w:w="709"/>
        <w:gridCol w:w="850"/>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项 目</w:t>
            </w:r>
          </w:p>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种 类</w:t>
            </w:r>
          </w:p>
        </w:tc>
        <w:tc>
          <w:tcPr>
            <w:tcW w:w="1134"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项目名称</w:t>
            </w:r>
          </w:p>
        </w:tc>
        <w:tc>
          <w:tcPr>
            <w:tcW w:w="70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勘察</w:t>
            </w:r>
          </w:p>
        </w:tc>
        <w:tc>
          <w:tcPr>
            <w:tcW w:w="709" w:type="dxa"/>
            <w:vAlign w:val="top"/>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前期现状摸查</w:t>
            </w:r>
          </w:p>
        </w:tc>
        <w:tc>
          <w:tcPr>
            <w:tcW w:w="708"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方案设计</w:t>
            </w:r>
          </w:p>
        </w:tc>
        <w:tc>
          <w:tcPr>
            <w:tcW w:w="851"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初步设计</w:t>
            </w:r>
          </w:p>
        </w:tc>
        <w:tc>
          <w:tcPr>
            <w:tcW w:w="70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施工图设  计</w:t>
            </w:r>
          </w:p>
        </w:tc>
        <w:tc>
          <w:tcPr>
            <w:tcW w:w="850"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其他工作</w:t>
            </w:r>
          </w:p>
        </w:tc>
        <w:tc>
          <w:tcPr>
            <w:tcW w:w="850"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勘察设计总承包管理</w:t>
            </w:r>
          </w:p>
        </w:tc>
        <w:tc>
          <w:tcPr>
            <w:tcW w:w="993"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乙方自行勘察设计项目</w:t>
            </w:r>
          </w:p>
        </w:tc>
        <w:tc>
          <w:tcPr>
            <w:tcW w:w="1134" w:type="dxa"/>
            <w:vAlign w:val="center"/>
          </w:tcPr>
          <w:p>
            <w:pPr>
              <w:rPr>
                <w:rFonts w:ascii="宋体" w:hAnsi="宋体"/>
                <w:bCs/>
                <w:snapToGrid w:val="0"/>
                <w:color w:val="auto"/>
                <w:kern w:val="0"/>
                <w:szCs w:val="21"/>
                <w:highlight w:val="none"/>
              </w:rPr>
            </w:pPr>
            <w:r>
              <w:rPr>
                <w:rFonts w:hint="eastAsia" w:ascii="宋体" w:hAnsi="宋体"/>
                <w:b w:val="0"/>
                <w:bCs/>
                <w:snapToGrid w:val="0"/>
                <w:color w:val="auto"/>
                <w:kern w:val="0"/>
                <w:sz w:val="21"/>
                <w:szCs w:val="21"/>
                <w:highlight w:val="none"/>
                <w:lang w:val="en-US" w:eastAsia="zh-CN"/>
              </w:rPr>
              <w:t>广东空天科技研究院风洞项目土地平整工程</w:t>
            </w:r>
          </w:p>
        </w:tc>
        <w:tc>
          <w:tcPr>
            <w:tcW w:w="709" w:type="dxa"/>
            <w:vAlign w:val="center"/>
          </w:tcPr>
          <w:p>
            <w:pPr>
              <w:rPr>
                <w:rFonts w:ascii="宋体" w:hAnsi="宋体"/>
                <w:color w:val="auto"/>
                <w:szCs w:val="21"/>
                <w:highlight w:val="none"/>
              </w:rPr>
            </w:pPr>
            <w:r>
              <w:rPr>
                <w:rFonts w:hint="eastAsia" w:ascii="宋体" w:hAnsi="宋体"/>
                <w:b/>
                <w:color w:val="auto"/>
                <w:sz w:val="15"/>
                <w:szCs w:val="15"/>
                <w:highlight w:val="none"/>
                <w:bdr w:val="single" w:color="auto" w:sz="4" w:space="0"/>
              </w:rPr>
              <w:t>√</w:t>
            </w:r>
          </w:p>
        </w:tc>
        <w:tc>
          <w:tcPr>
            <w:tcW w:w="709" w:type="dxa"/>
            <w:vAlign w:val="center"/>
          </w:tcPr>
          <w:p>
            <w:pPr>
              <w:rPr>
                <w:rFonts w:hint="eastAsia" w:ascii="宋体" w:hAnsi="宋体" w:cs="Wingdings 2"/>
                <w:bCs/>
                <w:snapToGrid w:val="0"/>
                <w:color w:val="auto"/>
                <w:kern w:val="0"/>
                <w:szCs w:val="21"/>
                <w:highlight w:val="none"/>
              </w:rPr>
            </w:pPr>
            <w:r>
              <w:rPr>
                <w:rFonts w:hint="eastAsia" w:ascii="宋体" w:hAnsi="宋体"/>
                <w:b/>
                <w:color w:val="auto"/>
                <w:sz w:val="15"/>
                <w:szCs w:val="15"/>
                <w:highlight w:val="none"/>
                <w:bdr w:val="single" w:color="auto" w:sz="4" w:space="0"/>
              </w:rPr>
              <w:t>√</w:t>
            </w:r>
          </w:p>
        </w:tc>
        <w:tc>
          <w:tcPr>
            <w:tcW w:w="708"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1" w:type="dxa"/>
            <w:vAlign w:val="center"/>
          </w:tcPr>
          <w:p>
            <w:pPr>
              <w:rPr>
                <w:rFonts w:ascii="宋体" w:hAnsi="宋体"/>
                <w:color w:val="auto"/>
                <w:szCs w:val="21"/>
                <w:highlight w:val="none"/>
              </w:rPr>
            </w:pPr>
            <w:r>
              <w:rPr>
                <w:rFonts w:hint="eastAsia" w:ascii="宋体" w:hAnsi="宋体"/>
                <w:b/>
                <w:color w:val="auto"/>
                <w:sz w:val="15"/>
                <w:szCs w:val="15"/>
                <w:highlight w:val="none"/>
                <w:bdr w:val="single" w:color="auto" w:sz="4" w:space="0"/>
              </w:rPr>
              <w:t>√</w:t>
            </w: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hint="eastAsia" w:ascii="宋体" w:hAnsi="宋体" w:cs="Wingdings 2"/>
                <w:bCs/>
                <w:snapToGrid w:val="0"/>
                <w:color w:val="auto"/>
                <w:kern w:val="0"/>
                <w:szCs w:val="21"/>
                <w:highlight w:val="none"/>
              </w:rPr>
            </w:pPr>
            <w:r>
              <w:rPr>
                <w:rFonts w:hint="eastAsia" w:ascii="宋体" w:hAnsi="宋体"/>
                <w:b/>
                <w:color w:val="auto"/>
                <w:sz w:val="15"/>
                <w:szCs w:val="15"/>
                <w:highlight w:val="none"/>
                <w:bdr w:val="single" w:color="auto" w:sz="4" w:space="0"/>
              </w:rPr>
              <w:t>√</w:t>
            </w:r>
          </w:p>
        </w:tc>
        <w:tc>
          <w:tcPr>
            <w:tcW w:w="850"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993"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其他工作具体内容详见</w:t>
            </w:r>
            <w:r>
              <w:rPr>
                <w:rFonts w:ascii="宋体" w:hAnsi="宋体"/>
                <w:bCs/>
                <w:snapToGrid w:val="0"/>
                <w:color w:val="auto"/>
                <w:kern w:val="0"/>
                <w:szCs w:val="21"/>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乙方分包项目</w:t>
            </w:r>
          </w:p>
        </w:tc>
        <w:tc>
          <w:tcPr>
            <w:tcW w:w="1134" w:type="dxa"/>
            <w:vAlign w:val="center"/>
          </w:tcPr>
          <w:p>
            <w:pPr>
              <w:rPr>
                <w:rFonts w:ascii="宋体" w:hAnsi="宋体"/>
                <w:bCs/>
                <w:snapToGrid w:val="0"/>
                <w:color w:val="auto"/>
                <w:kern w:val="0"/>
                <w:szCs w:val="21"/>
                <w:highlight w:val="none"/>
              </w:rPr>
            </w:pP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708"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1"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993" w:type="dxa"/>
            <w:vAlign w:val="center"/>
          </w:tcPr>
          <w:p>
            <w:pPr>
              <w:rPr>
                <w:rFonts w:ascii="宋体" w:hAnsi="宋体"/>
                <w:bCs/>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宋体" w:hAnsi="宋体"/>
                <w:bCs/>
                <w:snapToGrid w:val="0"/>
                <w:color w:val="auto"/>
                <w:kern w:val="0"/>
                <w:szCs w:val="21"/>
                <w:highlight w:val="none"/>
              </w:rPr>
            </w:pPr>
          </w:p>
        </w:tc>
        <w:tc>
          <w:tcPr>
            <w:tcW w:w="1134" w:type="dxa"/>
            <w:vAlign w:val="center"/>
          </w:tcPr>
          <w:p>
            <w:pPr>
              <w:rPr>
                <w:rFonts w:ascii="宋体" w:hAnsi="宋体"/>
                <w:bCs/>
                <w:snapToGrid w:val="0"/>
                <w:color w:val="auto"/>
                <w:kern w:val="0"/>
                <w:szCs w:val="21"/>
                <w:highlight w:val="none"/>
              </w:rPr>
            </w:pP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708"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1"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993" w:type="dxa"/>
            <w:vAlign w:val="center"/>
          </w:tcPr>
          <w:p>
            <w:pPr>
              <w:rPr>
                <w:rFonts w:ascii="宋体" w:hAnsi="宋体"/>
                <w:bCs/>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甲方另行发包项目</w:t>
            </w:r>
          </w:p>
        </w:tc>
        <w:tc>
          <w:tcPr>
            <w:tcW w:w="1134" w:type="dxa"/>
            <w:vAlign w:val="center"/>
          </w:tcPr>
          <w:p>
            <w:pPr>
              <w:rPr>
                <w:rFonts w:ascii="宋体" w:hAnsi="宋体"/>
                <w:bCs/>
                <w:snapToGrid w:val="0"/>
                <w:color w:val="auto"/>
                <w:kern w:val="0"/>
                <w:szCs w:val="21"/>
                <w:highlight w:val="none"/>
              </w:rPr>
            </w:pP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708"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1"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993" w:type="dxa"/>
            <w:vAlign w:val="center"/>
          </w:tcPr>
          <w:p>
            <w:pPr>
              <w:rPr>
                <w:rFonts w:ascii="宋体" w:hAnsi="宋体"/>
                <w:bCs/>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rPr>
                <w:rFonts w:ascii="宋体" w:hAnsi="宋体"/>
                <w:bCs/>
                <w:snapToGrid w:val="0"/>
                <w:color w:val="auto"/>
                <w:kern w:val="0"/>
                <w:szCs w:val="21"/>
                <w:highlight w:val="none"/>
              </w:rPr>
            </w:pPr>
          </w:p>
        </w:tc>
        <w:tc>
          <w:tcPr>
            <w:tcW w:w="1134" w:type="dxa"/>
            <w:vAlign w:val="center"/>
          </w:tcPr>
          <w:p>
            <w:pPr>
              <w:rPr>
                <w:rFonts w:ascii="宋体" w:hAnsi="宋体"/>
                <w:bCs/>
                <w:snapToGrid w:val="0"/>
                <w:color w:val="auto"/>
                <w:kern w:val="0"/>
                <w:szCs w:val="21"/>
                <w:highlight w:val="none"/>
              </w:rPr>
            </w:pP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708"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1"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709"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bCs/>
                <w:snapToGrid w:val="0"/>
                <w:color w:val="auto"/>
                <w:kern w:val="0"/>
                <w:szCs w:val="21"/>
                <w:highlight w:val="none"/>
              </w:rPr>
            </w:pPr>
            <w:r>
              <w:rPr>
                <w:rFonts w:hint="eastAsia" w:ascii="宋体" w:hAnsi="宋体"/>
                <w:bCs/>
                <w:snapToGrid w:val="0"/>
                <w:color w:val="auto"/>
                <w:kern w:val="0"/>
                <w:szCs w:val="21"/>
                <w:highlight w:val="none"/>
              </w:rPr>
              <w:t>□</w:t>
            </w:r>
          </w:p>
        </w:tc>
        <w:tc>
          <w:tcPr>
            <w:tcW w:w="850" w:type="dxa"/>
            <w:vAlign w:val="center"/>
          </w:tcPr>
          <w:p>
            <w:pPr>
              <w:rPr>
                <w:rFonts w:ascii="宋体" w:hAnsi="宋体"/>
                <w:color w:val="auto"/>
                <w:szCs w:val="21"/>
                <w:highlight w:val="none"/>
              </w:rPr>
            </w:pPr>
            <w:r>
              <w:rPr>
                <w:rFonts w:hint="eastAsia" w:ascii="宋体" w:hAnsi="宋体"/>
                <w:bCs/>
                <w:snapToGrid w:val="0"/>
                <w:color w:val="auto"/>
                <w:kern w:val="0"/>
                <w:szCs w:val="21"/>
                <w:highlight w:val="none"/>
              </w:rPr>
              <w:t>□</w:t>
            </w:r>
          </w:p>
        </w:tc>
        <w:tc>
          <w:tcPr>
            <w:tcW w:w="993" w:type="dxa"/>
            <w:vAlign w:val="center"/>
          </w:tcPr>
          <w:p>
            <w:pPr>
              <w:rPr>
                <w:rFonts w:ascii="宋体" w:hAnsi="宋体"/>
                <w:bCs/>
                <w:snapToGrid w:val="0"/>
                <w:color w:val="auto"/>
                <w:kern w:val="0"/>
                <w:szCs w:val="21"/>
                <w:highlight w:val="none"/>
              </w:rPr>
            </w:pPr>
          </w:p>
        </w:tc>
      </w:tr>
    </w:tbl>
    <w:p>
      <w:pPr>
        <w:spacing w:line="360" w:lineRule="auto"/>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2.2乙方工作内容</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乙方工作内容包括但不限于以下：</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（1）勘察工作：包括工程测量、岩土工程勘察、工程物探（含管线探测）、用地批准书地形图测量以及为完成本项目所需的其他勘察工作。</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（2）设计工作：</w:t>
      </w:r>
    </w:p>
    <w:p>
      <w:pPr>
        <w:spacing w:line="360" w:lineRule="auto"/>
        <w:ind w:firstLine="480" w:firstLineChars="200"/>
        <w:rPr>
          <w:rFonts w:ascii="宋体" w:hAnsi="宋体"/>
          <w:bCs/>
          <w:snapToGrid w:val="0"/>
          <w:color w:val="auto"/>
          <w:kern w:val="0"/>
          <w:sz w:val="24"/>
          <w:highlight w:val="none"/>
        </w:rPr>
      </w:pPr>
      <w:r>
        <w:rPr>
          <w:rFonts w:ascii="宋体" w:hAnsi="宋体"/>
          <w:bCs/>
          <w:snapToGrid w:val="0"/>
          <w:color w:val="auto"/>
          <w:kern w:val="0"/>
          <w:sz w:val="24"/>
          <w:highlight w:val="none"/>
        </w:rPr>
        <w:t>1）现状摸查：包括但不限于项目现状、周边市政条件、周边地块建设情况、报批报建工作进展、建设工作界面、存在的问题及相关建议等内容，并编制摸查情况报告。</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lang w:val="en-US" w:eastAsia="zh-CN"/>
        </w:rPr>
        <w:t>2</w:t>
      </w:r>
      <w:r>
        <w:rPr>
          <w:rFonts w:ascii="宋体" w:hAnsi="宋体"/>
          <w:bCs/>
          <w:snapToGrid w:val="0"/>
          <w:color w:val="auto"/>
          <w:kern w:val="0"/>
          <w:sz w:val="24"/>
          <w:highlight w:val="none"/>
        </w:rPr>
        <w:t>）各专业工程设计：各专业设计工作，设计阶段包括初步设计</w:t>
      </w:r>
      <w:r>
        <w:rPr>
          <w:rFonts w:hint="eastAsia" w:ascii="宋体" w:hAnsi="宋体"/>
          <w:bCs/>
          <w:snapToGrid w:val="0"/>
          <w:color w:val="auto"/>
          <w:kern w:val="0"/>
          <w:sz w:val="24"/>
          <w:highlight w:val="none"/>
        </w:rPr>
        <w:t>（初步设计达预施工图深度）</w:t>
      </w:r>
      <w:r>
        <w:rPr>
          <w:rFonts w:ascii="宋体" w:hAnsi="宋体"/>
          <w:bCs/>
          <w:snapToGrid w:val="0"/>
          <w:color w:val="auto"/>
          <w:kern w:val="0"/>
          <w:sz w:val="24"/>
          <w:highlight w:val="none"/>
        </w:rPr>
        <w:t>、</w:t>
      </w:r>
      <w:r>
        <w:rPr>
          <w:rFonts w:hint="eastAsia" w:ascii="宋体" w:hAnsi="宋体"/>
          <w:bCs/>
          <w:snapToGrid w:val="0"/>
          <w:color w:val="auto"/>
          <w:kern w:val="0"/>
          <w:sz w:val="24"/>
          <w:highlight w:val="none"/>
        </w:rPr>
        <w:t>施工图设计配合</w:t>
      </w:r>
      <w:r>
        <w:rPr>
          <w:rFonts w:ascii="宋体" w:hAnsi="宋体"/>
          <w:bCs/>
          <w:snapToGrid w:val="0"/>
          <w:color w:val="auto"/>
          <w:kern w:val="0"/>
          <w:sz w:val="24"/>
          <w:highlight w:val="none"/>
        </w:rPr>
        <w:t>。</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lang w:val="en-US" w:eastAsia="zh-CN"/>
        </w:rPr>
        <w:t>3</w:t>
      </w:r>
      <w:r>
        <w:rPr>
          <w:rFonts w:ascii="宋体" w:hAnsi="宋体"/>
          <w:bCs/>
          <w:snapToGrid w:val="0"/>
          <w:color w:val="auto"/>
          <w:kern w:val="0"/>
          <w:sz w:val="24"/>
          <w:highlight w:val="none"/>
        </w:rPr>
        <w:t>）其他工作：</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①造价文件编制工作：完成本项目招标范围内工程工程概算等造价文件的编制工作及相关配合报审工作，还包括各阶段方案比选、技术选型比选的投资分析；</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②技术配合工作：招标人后续各类招标工作配合、施工图设计配合等。初步设计需编制施工组织策划方案。</w:t>
      </w:r>
    </w:p>
    <w:p>
      <w:pPr>
        <w:spacing w:line="360" w:lineRule="auto"/>
        <w:ind w:firstLine="480" w:firstLineChars="200"/>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③报建配合工作：包括设计方案审查、办理用地批准书地形图测量</w:t>
      </w:r>
      <w:r>
        <w:rPr>
          <w:rFonts w:hint="eastAsia" w:ascii="宋体" w:hAnsi="宋体"/>
          <w:bCs/>
          <w:snapToGrid w:val="0"/>
          <w:color w:val="auto"/>
          <w:kern w:val="0"/>
          <w:sz w:val="24"/>
          <w:highlight w:val="none"/>
          <w:lang w:val="en-US" w:eastAsia="zh-CN"/>
        </w:rPr>
        <w:t>及相关配合</w:t>
      </w:r>
      <w:r>
        <w:rPr>
          <w:rFonts w:hint="eastAsia" w:ascii="宋体" w:hAnsi="宋体"/>
          <w:bCs/>
          <w:snapToGrid w:val="0"/>
          <w:color w:val="auto"/>
          <w:kern w:val="0"/>
          <w:sz w:val="24"/>
          <w:highlight w:val="none"/>
        </w:rPr>
        <w:t>协调工作；</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⑤负责配合完成本合同规定的设计范围的二次设计；</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⑥现场服务，包括施工</w:t>
      </w:r>
      <w:r>
        <w:rPr>
          <w:rFonts w:hint="eastAsia" w:ascii="宋体" w:hAnsi="宋体"/>
          <w:bCs/>
          <w:snapToGrid w:val="0"/>
          <w:color w:val="auto"/>
          <w:kern w:val="0"/>
          <w:sz w:val="24"/>
          <w:highlight w:val="none"/>
          <w:lang w:val="en-US" w:eastAsia="zh-CN"/>
        </w:rPr>
        <w:t>图</w:t>
      </w:r>
      <w:r>
        <w:rPr>
          <w:rFonts w:hint="eastAsia" w:ascii="宋体" w:hAnsi="宋体"/>
          <w:bCs/>
          <w:snapToGrid w:val="0"/>
          <w:color w:val="auto"/>
          <w:kern w:val="0"/>
          <w:sz w:val="24"/>
          <w:highlight w:val="none"/>
        </w:rPr>
        <w:t>设计配合（含派设计代表驻现场）；</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⑦用于材料、设备、施工等招标内容的技术文件编制；</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⑧协助提供工程实体质量监督抽测及监测等咨询工作的招标要求（包括技术要求及清单、预算）等；</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⑨为完成本项目所需的其他设计服务工作，包括但不限于以下：</w:t>
      </w:r>
    </w:p>
    <w:tbl>
      <w:tblPr>
        <w:tblStyle w:val="5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top"/>
          </w:tcPr>
          <w:p>
            <w:pPr>
              <w:spacing w:line="360" w:lineRule="auto"/>
              <w:rPr>
                <w:rFonts w:ascii="宋体" w:hAnsi="宋体"/>
                <w:color w:val="auto"/>
                <w:szCs w:val="21"/>
                <w:highlight w:val="none"/>
              </w:rPr>
            </w:pPr>
            <w:r>
              <w:rPr>
                <w:rFonts w:hint="eastAsia" w:ascii="宋体" w:hAnsi="宋体"/>
                <w:color w:val="auto"/>
                <w:szCs w:val="21"/>
                <w:highlight w:val="none"/>
              </w:rPr>
              <w:t>交通流量分析与预测评估报告（满足项目建议书、可研性研究报告要求）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top"/>
          </w:tcPr>
          <w:p>
            <w:pPr>
              <w:spacing w:line="360" w:lineRule="auto"/>
              <w:rPr>
                <w:rFonts w:ascii="宋体" w:hAnsi="宋体"/>
                <w:color w:val="auto"/>
                <w:szCs w:val="21"/>
                <w:highlight w:val="none"/>
              </w:rPr>
            </w:pPr>
            <w:r>
              <w:rPr>
                <w:rFonts w:hint="eastAsia" w:ascii="宋体" w:hAnsi="宋体"/>
                <w:color w:val="auto"/>
                <w:szCs w:val="21"/>
                <w:highlight w:val="none"/>
              </w:rPr>
              <w:t>控制性详细规划修改论证（满足规划部门需求）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土地利用总体规划多划基本农田占用方案（满足国土部门需求）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top"/>
          </w:tcPr>
          <w:p>
            <w:pPr>
              <w:spacing w:line="360" w:lineRule="auto"/>
              <w:rPr>
                <w:rFonts w:ascii="宋体" w:hAnsi="宋体"/>
                <w:color w:val="auto"/>
                <w:szCs w:val="21"/>
                <w:highlight w:val="none"/>
              </w:rPr>
            </w:pPr>
            <w:r>
              <w:rPr>
                <w:rFonts w:hint="eastAsia" w:ascii="宋体" w:hAnsi="宋体"/>
                <w:color w:val="auto"/>
                <w:szCs w:val="21"/>
                <w:highlight w:val="none"/>
              </w:rPr>
              <w:t>旧桥检测技术要求（满足设计需求）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top"/>
          </w:tcPr>
          <w:p>
            <w:pPr>
              <w:spacing w:line="360" w:lineRule="auto"/>
              <w:rPr>
                <w:rFonts w:ascii="宋体" w:hAnsi="宋体"/>
                <w:color w:val="auto"/>
                <w:szCs w:val="21"/>
                <w:highlight w:val="none"/>
              </w:rPr>
            </w:pPr>
            <w:r>
              <w:rPr>
                <w:rFonts w:hint="eastAsia" w:ascii="宋体" w:hAnsi="宋体"/>
                <w:color w:val="auto"/>
                <w:szCs w:val="21"/>
                <w:highlight w:val="none"/>
              </w:rPr>
              <w:t>旧路检测技术要求（满足业主需求）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top"/>
          </w:tcPr>
          <w:p>
            <w:pPr>
              <w:spacing w:line="360" w:lineRule="auto"/>
              <w:rPr>
                <w:rFonts w:ascii="宋体" w:hAnsi="宋体"/>
                <w:color w:val="auto"/>
                <w:szCs w:val="21"/>
                <w:highlight w:val="none"/>
              </w:rPr>
            </w:pPr>
            <w:r>
              <w:rPr>
                <w:rFonts w:ascii="宋体" w:hAnsi="宋体"/>
                <w:color w:val="auto"/>
                <w:szCs w:val="21"/>
                <w:highlight w:val="none"/>
              </w:rPr>
              <w:t>BIM技术的应用</w:t>
            </w:r>
            <w:r>
              <w:rPr>
                <w:rFonts w:hint="eastAsia" w:ascii="宋体" w:hAnsi="宋体"/>
                <w:color w:val="auto"/>
                <w:szCs w:val="21"/>
                <w:highlight w:val="none"/>
              </w:rPr>
              <w:t>（具体详见设计任务书）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p>
        </w:tc>
        <w:tc>
          <w:tcPr>
            <w:tcW w:w="7854" w:type="dxa"/>
            <w:vAlign w:val="top"/>
          </w:tcPr>
          <w:p>
            <w:pPr>
              <w:spacing w:line="360" w:lineRule="auto"/>
              <w:rPr>
                <w:rFonts w:ascii="宋体" w:hAnsi="宋体"/>
                <w:color w:val="auto"/>
                <w:szCs w:val="21"/>
                <w:highlight w:val="none"/>
              </w:rPr>
            </w:pPr>
            <w:r>
              <w:rPr>
                <w:rFonts w:hint="eastAsia" w:ascii="宋体" w:hAnsi="宋体"/>
                <w:color w:val="auto"/>
                <w:szCs w:val="21"/>
                <w:highlight w:val="none"/>
              </w:rPr>
              <w:t>负责配合完成本合同规定的设计范围的深化设计工作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vAlign w:val="center"/>
          </w:tcPr>
          <w:p>
            <w:pPr>
              <w:spacing w:line="360" w:lineRule="auto"/>
              <w:rPr>
                <w:rFonts w:ascii="宋体" w:hAnsi="宋体"/>
                <w:color w:val="auto"/>
                <w:szCs w:val="21"/>
                <w:highlight w:val="none"/>
              </w:rPr>
            </w:pPr>
            <w:r>
              <w:rPr>
                <w:rFonts w:hint="eastAsia" w:ascii="宋体" w:hAnsi="宋体"/>
                <w:color w:val="auto"/>
                <w:szCs w:val="21"/>
                <w:highlight w:val="none"/>
              </w:rPr>
              <w:t>□</w:t>
            </w:r>
          </w:p>
        </w:tc>
        <w:tc>
          <w:tcPr>
            <w:tcW w:w="7854" w:type="dxa"/>
            <w:vAlign w:val="top"/>
          </w:tcPr>
          <w:p>
            <w:pPr>
              <w:spacing w:line="360" w:lineRule="auto"/>
              <w:rPr>
                <w:rFonts w:ascii="宋体" w:hAnsi="宋体"/>
                <w:color w:val="auto"/>
                <w:szCs w:val="21"/>
                <w:highlight w:val="none"/>
              </w:rPr>
            </w:pPr>
            <w:r>
              <w:rPr>
                <w:rFonts w:hint="eastAsia" w:ascii="宋体" w:hAnsi="宋体"/>
                <w:color w:val="auto"/>
                <w:szCs w:val="21"/>
                <w:highlight w:val="none"/>
              </w:rPr>
              <w:t>其他</w:t>
            </w:r>
          </w:p>
        </w:tc>
      </w:tr>
    </w:tbl>
    <w:p>
      <w:pPr>
        <w:spacing w:line="360" w:lineRule="auto"/>
        <w:ind w:firstLine="470" w:firstLineChars="196"/>
        <w:rPr>
          <w:rFonts w:ascii="宋体" w:hAnsi="宋体"/>
          <w:bCs/>
          <w:snapToGrid w:val="0"/>
          <w:color w:val="auto"/>
          <w:kern w:val="0"/>
          <w:sz w:val="24"/>
          <w:highlight w:val="none"/>
        </w:rPr>
      </w:pPr>
      <w:r>
        <w:rPr>
          <w:rFonts w:hint="eastAsia" w:ascii="宋体" w:hAnsi="宋体"/>
          <w:bCs/>
          <w:snapToGrid w:val="0"/>
          <w:color w:val="auto"/>
          <w:kern w:val="0"/>
          <w:sz w:val="24"/>
          <w:highlight w:val="none"/>
        </w:rPr>
        <w:t>注：</w:t>
      </w:r>
      <w:r>
        <w:rPr>
          <w:rFonts w:ascii="宋体" w:hAnsi="宋体"/>
          <w:bCs/>
          <w:snapToGrid w:val="0"/>
          <w:color w:val="auto"/>
          <w:kern w:val="0"/>
          <w:sz w:val="24"/>
          <w:highlight w:val="none"/>
        </w:rPr>
        <w:t>1、完成每一设计阶段后，承包人须书面提出启动下一阶段并经发包人</w:t>
      </w:r>
      <w:r>
        <w:rPr>
          <w:rFonts w:hint="eastAsia" w:ascii="宋体" w:hAnsi="宋体"/>
          <w:bCs/>
          <w:snapToGrid w:val="0"/>
          <w:color w:val="auto"/>
          <w:kern w:val="0"/>
          <w:sz w:val="24"/>
          <w:highlight w:val="none"/>
          <w:lang w:eastAsia="zh-CN"/>
        </w:rPr>
        <w:t>书面</w:t>
      </w:r>
      <w:r>
        <w:rPr>
          <w:rFonts w:ascii="宋体" w:hAnsi="宋体"/>
          <w:bCs/>
          <w:snapToGrid w:val="0"/>
          <w:color w:val="auto"/>
          <w:kern w:val="0"/>
          <w:sz w:val="24"/>
          <w:highlight w:val="none"/>
        </w:rPr>
        <w:t>确认同意后方可开展下一阶段工作，否则该工作量将不予认可。</w:t>
      </w:r>
    </w:p>
    <w:p>
      <w:pPr>
        <w:spacing w:line="360" w:lineRule="auto"/>
        <w:ind w:firstLine="480" w:firstLineChars="200"/>
        <w:rPr>
          <w:rFonts w:ascii="宋体" w:hAnsi="宋体"/>
          <w:bCs/>
          <w:snapToGrid w:val="0"/>
          <w:color w:val="auto"/>
          <w:kern w:val="0"/>
          <w:sz w:val="24"/>
          <w:highlight w:val="none"/>
        </w:rPr>
      </w:pPr>
      <w:r>
        <w:rPr>
          <w:rFonts w:ascii="宋体" w:hAnsi="宋体"/>
          <w:bCs/>
          <w:snapToGrid w:val="0"/>
          <w:color w:val="auto"/>
          <w:kern w:val="0"/>
          <w:sz w:val="24"/>
          <w:highlight w:val="none"/>
        </w:rPr>
        <w:t>2、以上由发包人打钩的内容均属于本项目设计范围，承包人应在报价中考虑所有相关费用，不论承包人投标报价表是否列明，其费用均视为已包含在报价中，发包人不另行计量支付。</w:t>
      </w:r>
    </w:p>
    <w:p>
      <w:pPr>
        <w:spacing w:line="360" w:lineRule="auto"/>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2.3承包方式</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由乙方</w:t>
      </w:r>
      <w:r>
        <w:rPr>
          <w:rFonts w:ascii="宋体" w:hAnsi="宋体"/>
          <w:bCs/>
          <w:snapToGrid w:val="0"/>
          <w:color w:val="auto"/>
          <w:kern w:val="0"/>
          <w:sz w:val="24"/>
          <w:highlight w:val="none"/>
        </w:rPr>
        <w:t>按照约定的范围和内容实行勘察及初步设计服务承包的方式，并对勘察设计的进度、质量、安全、工程投资控制、勘察设计承包管理及设计协调服务（包括但不限于设计协调服务、驻场服务等）等全面负责。合同价款计取及支付按本协议书第4条、合同条款第1</w:t>
      </w:r>
      <w:r>
        <w:rPr>
          <w:rFonts w:hint="eastAsia" w:ascii="宋体" w:hAnsi="宋体"/>
          <w:bCs/>
          <w:snapToGrid w:val="0"/>
          <w:color w:val="auto"/>
          <w:kern w:val="0"/>
          <w:sz w:val="24"/>
          <w:highlight w:val="none"/>
          <w:lang w:val="en-US" w:eastAsia="zh-CN"/>
        </w:rPr>
        <w:t>3</w:t>
      </w:r>
      <w:r>
        <w:rPr>
          <w:rFonts w:ascii="宋体" w:hAnsi="宋体"/>
          <w:bCs/>
          <w:snapToGrid w:val="0"/>
          <w:color w:val="auto"/>
          <w:kern w:val="0"/>
          <w:sz w:val="24"/>
          <w:highlight w:val="none"/>
        </w:rPr>
        <w:t>条、第1</w:t>
      </w:r>
      <w:r>
        <w:rPr>
          <w:rFonts w:hint="eastAsia" w:ascii="宋体" w:hAnsi="宋体"/>
          <w:bCs/>
          <w:snapToGrid w:val="0"/>
          <w:color w:val="auto"/>
          <w:kern w:val="0"/>
          <w:sz w:val="24"/>
          <w:highlight w:val="none"/>
          <w:lang w:val="en-US" w:eastAsia="zh-CN"/>
        </w:rPr>
        <w:t>4</w:t>
      </w:r>
      <w:r>
        <w:rPr>
          <w:rFonts w:ascii="宋体" w:hAnsi="宋体"/>
          <w:bCs/>
          <w:snapToGrid w:val="0"/>
          <w:color w:val="auto"/>
          <w:kern w:val="0"/>
          <w:sz w:val="24"/>
          <w:highlight w:val="none"/>
        </w:rPr>
        <w:t>条和第2</w:t>
      </w:r>
      <w:r>
        <w:rPr>
          <w:rFonts w:hint="eastAsia" w:ascii="宋体" w:hAnsi="宋体"/>
          <w:bCs/>
          <w:snapToGrid w:val="0"/>
          <w:color w:val="auto"/>
          <w:kern w:val="0"/>
          <w:sz w:val="24"/>
          <w:highlight w:val="none"/>
          <w:lang w:val="en-US" w:eastAsia="zh-CN"/>
        </w:rPr>
        <w:t>0</w:t>
      </w:r>
      <w:r>
        <w:rPr>
          <w:rFonts w:ascii="宋体" w:hAnsi="宋体"/>
          <w:bCs/>
          <w:snapToGrid w:val="0"/>
          <w:color w:val="auto"/>
          <w:kern w:val="0"/>
          <w:sz w:val="24"/>
          <w:highlight w:val="none"/>
        </w:rPr>
        <w:t>条的相关约定执行。</w:t>
      </w:r>
    </w:p>
    <w:p>
      <w:pPr>
        <w:spacing w:line="360" w:lineRule="auto"/>
        <w:ind w:firstLine="472" w:firstLineChars="196"/>
        <w:rPr>
          <w:rFonts w:ascii="宋体" w:hAnsi="宋体"/>
          <w:bCs/>
          <w:strike/>
          <w:snapToGrid w:val="0"/>
          <w:color w:val="auto"/>
          <w:kern w:val="0"/>
          <w:sz w:val="24"/>
          <w:highlight w:val="none"/>
        </w:rPr>
      </w:pPr>
      <w:r>
        <w:rPr>
          <w:rFonts w:hint="eastAsia" w:ascii="宋体" w:hAnsi="宋体"/>
          <w:b/>
          <w:bCs/>
          <w:snapToGrid w:val="0"/>
          <w:color w:val="auto"/>
          <w:kern w:val="0"/>
          <w:sz w:val="24"/>
          <w:highlight w:val="none"/>
        </w:rPr>
        <w:t>2.4</w:t>
      </w:r>
      <w:r>
        <w:rPr>
          <w:rFonts w:hint="eastAsia" w:ascii="宋体" w:hAnsi="宋体"/>
          <w:bCs/>
          <w:snapToGrid w:val="0"/>
          <w:color w:val="auto"/>
          <w:kern w:val="0"/>
          <w:sz w:val="24"/>
          <w:highlight w:val="none"/>
        </w:rPr>
        <w:t>甲方根据工程实施情况及规划情况，有权对乙方的承包范围及内容进行适当调整，经甲方以书面形式提前通知乙方后，乙方必须无条件服从。</w:t>
      </w:r>
    </w:p>
    <w:p>
      <w:pPr>
        <w:spacing w:line="360" w:lineRule="auto"/>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2.5双方特别约定</w:t>
      </w:r>
    </w:p>
    <w:p>
      <w:pPr>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1）乙方须根据甲方的相关规定和要求进行投资估算、工程概算编制。乙方须根据甲方的相关规定和要求进行造价文件的编制；如果乙方造价文件编制质量不能满足甲方要求，甲方有权要求乙方将造价文件编制工作委托给具有相应造价咨询资质的单位完成，乙方应按甲方要求办理，且乙方所委托的造价文件编制单位须经甲方审核确认。</w:t>
      </w:r>
    </w:p>
    <w:p>
      <w:pPr>
        <w:spacing w:line="360" w:lineRule="auto"/>
        <w:ind w:firstLine="480" w:firstLineChars="200"/>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（2）考虑到[</w:t>
      </w:r>
      <w:r>
        <w:rPr>
          <w:rFonts w:hint="eastAsia" w:ascii="宋体" w:hAnsi="宋体"/>
          <w:color w:val="auto"/>
          <w:sz w:val="24"/>
          <w:highlight w:val="none"/>
        </w:rPr>
        <w:t>□</w:t>
      </w:r>
      <w:r>
        <w:rPr>
          <w:rFonts w:hint="eastAsia" w:ascii="宋体" w:hAnsi="宋体"/>
          <w:bCs/>
          <w:snapToGrid w:val="0"/>
          <w:color w:val="auto"/>
          <w:kern w:val="0"/>
          <w:sz w:val="24"/>
          <w:highlight w:val="none"/>
        </w:rPr>
        <w:t>电力进线与10kv供配电工程（含临电）、</w:t>
      </w:r>
      <w:r>
        <w:rPr>
          <w:rFonts w:hint="eastAsia" w:ascii="宋体" w:hAnsi="宋体"/>
          <w:color w:val="auto"/>
          <w:sz w:val="24"/>
          <w:highlight w:val="none"/>
        </w:rPr>
        <w:t>□</w:t>
      </w:r>
      <w:r>
        <w:rPr>
          <w:rFonts w:hint="eastAsia" w:ascii="宋体" w:hAnsi="宋体"/>
          <w:bCs/>
          <w:snapToGrid w:val="0"/>
          <w:color w:val="auto"/>
          <w:kern w:val="0"/>
          <w:sz w:val="24"/>
          <w:highlight w:val="none"/>
        </w:rPr>
        <w:t>给水（含临水）、</w:t>
      </w:r>
      <w:r>
        <w:rPr>
          <w:rFonts w:hint="eastAsia" w:ascii="宋体" w:hAnsi="宋体"/>
          <w:color w:val="auto"/>
          <w:sz w:val="24"/>
          <w:highlight w:val="none"/>
        </w:rPr>
        <w:t>□</w:t>
      </w:r>
      <w:r>
        <w:rPr>
          <w:rFonts w:hint="eastAsia" w:ascii="宋体" w:hAnsi="宋体"/>
          <w:bCs/>
          <w:snapToGrid w:val="0"/>
          <w:color w:val="auto"/>
          <w:kern w:val="0"/>
          <w:sz w:val="24"/>
          <w:highlight w:val="none"/>
        </w:rPr>
        <w:t>燃气、</w:t>
      </w:r>
      <w:r>
        <w:rPr>
          <w:rFonts w:hint="eastAsia" w:ascii="宋体" w:hAnsi="宋体"/>
          <w:color w:val="auto"/>
          <w:sz w:val="24"/>
          <w:highlight w:val="none"/>
        </w:rPr>
        <w:t xml:space="preserve"> □园林绿化、 □其他</w:t>
      </w:r>
      <w:r>
        <w:rPr>
          <w:rFonts w:hint="eastAsia" w:ascii="宋体" w:hAnsi="宋体"/>
          <w:bCs/>
          <w:snapToGrid w:val="0"/>
          <w:color w:val="auto"/>
          <w:kern w:val="0"/>
          <w:sz w:val="24"/>
          <w:highlight w:val="none"/>
        </w:rPr>
        <w:t>]专业设计的特殊性，若乙方不具备相应设计资质或专业能力不满足要求或不能得到相关专业主管部门的认可，则乙方应经甲方批准后委托专业单位设计，相应的专业工程设计费计入乙方设计收费总额中，并按此原则签订专业设计分包合同，支付时由乙方转付给专业设计单位，甲方无需为此补偿任何费用。</w:t>
      </w:r>
    </w:p>
    <w:p>
      <w:pPr>
        <w:spacing w:line="360" w:lineRule="auto"/>
        <w:ind w:firstLine="482" w:firstLineChars="200"/>
        <w:rPr>
          <w:rFonts w:hint="eastAsia" w:ascii="宋体" w:hAnsi="宋体"/>
          <w:bCs/>
          <w:snapToGrid w:val="0"/>
          <w:color w:val="auto"/>
          <w:kern w:val="0"/>
          <w:sz w:val="24"/>
          <w:highlight w:val="none"/>
        </w:rPr>
      </w:pPr>
      <w:r>
        <w:rPr>
          <w:rFonts w:hint="eastAsia" w:ascii="宋体" w:hAnsi="宋体"/>
          <w:b/>
          <w:bCs/>
          <w:snapToGrid w:val="0"/>
          <w:color w:val="auto"/>
          <w:kern w:val="0"/>
          <w:sz w:val="24"/>
          <w:highlight w:val="none"/>
        </w:rPr>
        <w:t>2.6</w:t>
      </w:r>
      <w:r>
        <w:rPr>
          <w:rFonts w:hint="eastAsia" w:ascii="宋体" w:hAnsi="宋体"/>
          <w:color w:val="auto"/>
          <w:sz w:val="24"/>
          <w:highlight w:val="none"/>
        </w:rPr>
        <w:t>具体工作内容及工作要求详见附件</w:t>
      </w: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hint="eastAsia" w:ascii="宋体" w:hAnsi="宋体"/>
          <w:b w:val="0"/>
          <w:bCs/>
          <w:snapToGrid w:val="0"/>
          <w:color w:val="auto"/>
          <w:kern w:val="0"/>
          <w:sz w:val="24"/>
          <w:szCs w:val="24"/>
          <w:highlight w:val="none"/>
          <w:lang w:val="en-US" w:eastAsia="zh-CN"/>
        </w:rPr>
        <w:t>广东空天科技研究院风洞项目土地平整工程勘察及初步设计</w:t>
      </w:r>
      <w:r>
        <w:rPr>
          <w:rFonts w:hint="eastAsia" w:ascii="宋体" w:hAnsi="宋体"/>
          <w:color w:val="auto"/>
          <w:sz w:val="24"/>
          <w:highlight w:val="none"/>
        </w:rPr>
        <w:t>服务任务书》。</w:t>
      </w:r>
    </w:p>
    <w:p>
      <w:pPr>
        <w:spacing w:line="360" w:lineRule="auto"/>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3、工期</w:t>
      </w:r>
    </w:p>
    <w:p>
      <w:pPr>
        <w:spacing w:line="360" w:lineRule="auto"/>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3.1</w:t>
      </w:r>
      <w:r>
        <w:rPr>
          <w:rFonts w:hint="eastAsia" w:ascii="宋体" w:hAnsi="宋体"/>
          <w:bCs/>
          <w:snapToGrid w:val="0"/>
          <w:color w:val="auto"/>
          <w:kern w:val="0"/>
          <w:sz w:val="24"/>
          <w:highlight w:val="none"/>
        </w:rPr>
        <w:t>设计工期：乙方应在中标后</w:t>
      </w:r>
      <w:r>
        <w:rPr>
          <w:rFonts w:hint="eastAsia" w:ascii="宋体" w:hAnsi="宋体"/>
          <w:bCs/>
          <w:snapToGrid w:val="0"/>
          <w:color w:val="auto"/>
          <w:kern w:val="0"/>
          <w:sz w:val="24"/>
          <w:highlight w:val="none"/>
          <w:u w:val="single"/>
          <w:lang w:val="en-US" w:eastAsia="zh-CN"/>
        </w:rPr>
        <w:t xml:space="preserve"> 15 </w:t>
      </w:r>
      <w:r>
        <w:rPr>
          <w:rFonts w:hint="eastAsia" w:ascii="宋体" w:hAnsi="宋体"/>
          <w:bCs/>
          <w:snapToGrid w:val="0"/>
          <w:color w:val="auto"/>
          <w:kern w:val="0"/>
          <w:sz w:val="24"/>
          <w:highlight w:val="none"/>
        </w:rPr>
        <w:t>天内完成方案深化设计，</w:t>
      </w:r>
      <w:r>
        <w:rPr>
          <w:rFonts w:hint="eastAsia" w:ascii="宋体" w:hAnsi="宋体"/>
          <w:bCs/>
          <w:snapToGrid w:val="0"/>
          <w:color w:val="auto"/>
          <w:kern w:val="0"/>
          <w:sz w:val="24"/>
          <w:highlight w:val="none"/>
          <w:lang w:val="en-US" w:eastAsia="zh-CN"/>
        </w:rPr>
        <w:t>可行性研究报告批复</w:t>
      </w:r>
      <w:r>
        <w:rPr>
          <w:rFonts w:hint="eastAsia" w:ascii="宋体" w:hAnsi="宋体"/>
          <w:bCs/>
          <w:snapToGrid w:val="0"/>
          <w:color w:val="auto"/>
          <w:kern w:val="0"/>
          <w:sz w:val="24"/>
          <w:highlight w:val="none"/>
        </w:rPr>
        <w:t>后</w:t>
      </w:r>
      <w:r>
        <w:rPr>
          <w:rFonts w:hint="eastAsia" w:ascii="宋体" w:hAnsi="宋体"/>
          <w:bCs/>
          <w:snapToGrid w:val="0"/>
          <w:color w:val="auto"/>
          <w:kern w:val="0"/>
          <w:sz w:val="24"/>
          <w:highlight w:val="none"/>
          <w:u w:val="single"/>
          <w:lang w:val="en-US" w:eastAsia="zh-CN"/>
        </w:rPr>
        <w:t xml:space="preserve"> 15 </w:t>
      </w:r>
      <w:r>
        <w:rPr>
          <w:rFonts w:hint="eastAsia" w:ascii="宋体" w:hAnsi="宋体"/>
          <w:bCs/>
          <w:snapToGrid w:val="0"/>
          <w:color w:val="auto"/>
          <w:kern w:val="0"/>
          <w:sz w:val="24"/>
          <w:highlight w:val="none"/>
        </w:rPr>
        <w:t>天内完成初步设计及概算（报批稿），满足项目全面进场开工的总控计划要求。其他设计工作的工期按甲方要求执行。</w:t>
      </w:r>
    </w:p>
    <w:p>
      <w:pPr>
        <w:spacing w:line="360" w:lineRule="auto"/>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3.2</w:t>
      </w:r>
      <w:r>
        <w:rPr>
          <w:rFonts w:hint="eastAsia" w:ascii="宋体" w:hAnsi="宋体"/>
          <w:bCs/>
          <w:snapToGrid w:val="0"/>
          <w:color w:val="auto"/>
          <w:kern w:val="0"/>
          <w:sz w:val="24"/>
          <w:highlight w:val="none"/>
        </w:rPr>
        <w:t>勘察工期：乙方提供的勘察大纲经甲方书面批准后方可正式动工。中标后</w:t>
      </w:r>
      <w:r>
        <w:rPr>
          <w:rFonts w:hint="eastAsia" w:ascii="宋体" w:hAnsi="宋体"/>
          <w:bCs/>
          <w:snapToGrid w:val="0"/>
          <w:color w:val="auto"/>
          <w:kern w:val="0"/>
          <w:sz w:val="24"/>
          <w:highlight w:val="none"/>
          <w:u w:val="single"/>
          <w:lang w:val="en-US" w:eastAsia="zh-CN"/>
        </w:rPr>
        <w:t>3</w:t>
      </w:r>
      <w:r>
        <w:rPr>
          <w:rFonts w:hint="eastAsia" w:ascii="宋体" w:hAnsi="宋体"/>
          <w:bCs/>
          <w:snapToGrid w:val="0"/>
          <w:color w:val="auto"/>
          <w:kern w:val="0"/>
          <w:sz w:val="24"/>
          <w:highlight w:val="none"/>
          <w:u w:val="single"/>
        </w:rPr>
        <w:t>0</w:t>
      </w:r>
      <w:r>
        <w:rPr>
          <w:rFonts w:hint="eastAsia" w:ascii="宋体" w:hAnsi="宋体"/>
          <w:bCs/>
          <w:snapToGrid w:val="0"/>
          <w:color w:val="auto"/>
          <w:kern w:val="0"/>
          <w:sz w:val="24"/>
          <w:highlight w:val="none"/>
        </w:rPr>
        <w:t>天内提交勘察成果（含地质钻探、测量、管线物探），勘察工期以</w:t>
      </w:r>
      <w:r>
        <w:rPr>
          <w:rFonts w:ascii="宋体" w:hAnsi="宋体"/>
          <w:bCs/>
          <w:snapToGrid w:val="0"/>
          <w:color w:val="auto"/>
          <w:kern w:val="0"/>
          <w:sz w:val="24"/>
          <w:highlight w:val="none"/>
        </w:rPr>
        <w:t>满足</w:t>
      </w:r>
      <w:r>
        <w:rPr>
          <w:rFonts w:hint="eastAsia" w:ascii="宋体" w:hAnsi="宋体"/>
          <w:bCs/>
          <w:snapToGrid w:val="0"/>
          <w:color w:val="auto"/>
          <w:kern w:val="0"/>
          <w:sz w:val="24"/>
          <w:highlight w:val="none"/>
        </w:rPr>
        <w:t>甲方及</w:t>
      </w:r>
      <w:r>
        <w:rPr>
          <w:rFonts w:ascii="宋体" w:hAnsi="宋体"/>
          <w:bCs/>
          <w:snapToGrid w:val="0"/>
          <w:color w:val="auto"/>
          <w:kern w:val="0"/>
          <w:sz w:val="24"/>
          <w:highlight w:val="none"/>
        </w:rPr>
        <w:t>设计工期要求</w:t>
      </w:r>
      <w:r>
        <w:rPr>
          <w:rFonts w:hint="eastAsia" w:ascii="宋体" w:hAnsi="宋体"/>
          <w:bCs/>
          <w:snapToGrid w:val="0"/>
          <w:color w:val="auto"/>
          <w:kern w:val="0"/>
          <w:sz w:val="24"/>
          <w:highlight w:val="none"/>
        </w:rPr>
        <w:t>为准。</w:t>
      </w:r>
    </w:p>
    <w:p>
      <w:pPr>
        <w:spacing w:line="360" w:lineRule="auto"/>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4、合同价款</w:t>
      </w:r>
    </w:p>
    <w:p>
      <w:pPr>
        <w:spacing w:line="360" w:lineRule="auto"/>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4.1</w:t>
      </w:r>
      <w:r>
        <w:rPr>
          <w:rFonts w:hint="eastAsia" w:ascii="宋体" w:hAnsi="宋体"/>
          <w:bCs/>
          <w:snapToGrid w:val="0"/>
          <w:color w:val="auto"/>
          <w:kern w:val="0"/>
          <w:sz w:val="24"/>
          <w:highlight w:val="none"/>
        </w:rPr>
        <w:t>本合同以人民币为计价和结算货币，除非甲乙双方另有约定。</w:t>
      </w:r>
    </w:p>
    <w:p>
      <w:pPr>
        <w:spacing w:line="360" w:lineRule="auto"/>
        <w:ind w:firstLine="472" w:firstLineChars="196"/>
        <w:rPr>
          <w:rFonts w:hint="eastAsia" w:ascii="宋体" w:hAnsi="宋体"/>
          <w:b/>
          <w:bCs/>
          <w:snapToGrid w:val="0"/>
          <w:color w:val="auto"/>
          <w:kern w:val="0"/>
          <w:sz w:val="24"/>
          <w:highlight w:val="none"/>
        </w:rPr>
      </w:pPr>
      <w:r>
        <w:rPr>
          <w:rFonts w:hint="eastAsia" w:ascii="宋体" w:hAnsi="宋体"/>
          <w:b/>
          <w:bCs/>
          <w:snapToGrid w:val="0"/>
          <w:color w:val="auto"/>
          <w:kern w:val="0"/>
          <w:sz w:val="24"/>
          <w:highlight w:val="none"/>
        </w:rPr>
        <w:t>4.2</w:t>
      </w:r>
      <w:r>
        <w:rPr>
          <w:rFonts w:hint="eastAsia" w:ascii="宋体" w:hAnsi="宋体"/>
          <w:bCs/>
          <w:snapToGrid w:val="0"/>
          <w:color w:val="auto"/>
          <w:kern w:val="0"/>
          <w:sz w:val="24"/>
          <w:highlight w:val="none"/>
        </w:rPr>
        <w:t>根据招标文件（含合同条款）和乙方的投标报价，本合同中标含税总价</w:t>
      </w:r>
      <w:r>
        <w:rPr>
          <w:rFonts w:ascii="宋体" w:hAnsi="宋体"/>
          <w:bCs/>
          <w:snapToGrid w:val="0"/>
          <w:color w:val="auto"/>
          <w:kern w:val="0"/>
          <w:sz w:val="24"/>
          <w:highlight w:val="none"/>
        </w:rPr>
        <w:t>为</w:t>
      </w:r>
      <w:r>
        <w:rPr>
          <w:rFonts w:hint="eastAsia" w:ascii="宋体" w:hAnsi="宋体"/>
          <w:bCs/>
          <w:snapToGrid w:val="0"/>
          <w:color w:val="auto"/>
          <w:kern w:val="0"/>
          <w:sz w:val="24"/>
          <w:highlight w:val="none"/>
          <w:u w:val="single"/>
        </w:rPr>
        <w:t xml:space="preserve">         </w:t>
      </w:r>
      <w:r>
        <w:rPr>
          <w:rFonts w:ascii="宋体" w:hAnsi="宋体"/>
          <w:bCs/>
          <w:snapToGrid w:val="0"/>
          <w:color w:val="auto"/>
          <w:kern w:val="0"/>
          <w:sz w:val="24"/>
          <w:highlight w:val="none"/>
        </w:rPr>
        <w:t>元</w:t>
      </w:r>
      <w:r>
        <w:rPr>
          <w:rFonts w:hint="eastAsia" w:ascii="宋体" w:hAnsi="宋体"/>
          <w:bCs/>
          <w:snapToGrid w:val="0"/>
          <w:color w:val="auto"/>
          <w:kern w:val="0"/>
          <w:sz w:val="24"/>
          <w:highlight w:val="none"/>
        </w:rPr>
        <w:t>（大写：</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），其中，工程设计费总额暂定为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元，工程勘察费暂定为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元。</w:t>
      </w:r>
      <w:r>
        <w:rPr>
          <w:rFonts w:hint="eastAsia" w:ascii="宋体" w:hAnsi="宋体"/>
          <w:color w:val="auto"/>
          <w:sz w:val="24"/>
          <w:highlight w:val="none"/>
        </w:rPr>
        <w:t>该勘察设计费仅作为计量支付的参考依据，最终以经相关部门批复的</w:t>
      </w:r>
      <w:r>
        <w:rPr>
          <w:rFonts w:hint="eastAsia" w:ascii="宋体" w:hAnsi="宋体"/>
          <w:bCs/>
          <w:snapToGrid w:val="0"/>
          <w:color w:val="auto"/>
          <w:kern w:val="0"/>
          <w:sz w:val="24"/>
          <w:highlight w:val="none"/>
        </w:rPr>
        <w:t>概算</w:t>
      </w:r>
      <w:r>
        <w:rPr>
          <w:rFonts w:hint="eastAsia" w:ascii="宋体" w:hAnsi="宋体"/>
          <w:color w:val="auto"/>
          <w:sz w:val="24"/>
          <w:highlight w:val="none"/>
        </w:rPr>
        <w:t>为计费基础，按本合同约定方式进行结算。勘察及设计费</w:t>
      </w:r>
      <w:r>
        <w:rPr>
          <w:rFonts w:hint="eastAsia" w:ascii="宋体" w:hAnsi="宋体"/>
          <w:bCs/>
          <w:snapToGrid w:val="0"/>
          <w:color w:val="auto"/>
          <w:kern w:val="0"/>
          <w:sz w:val="24"/>
          <w:highlight w:val="none"/>
        </w:rPr>
        <w:t>最终结算价以区财政部门审定的金额为准。</w:t>
      </w:r>
    </w:p>
    <w:p>
      <w:pPr>
        <w:spacing w:line="360" w:lineRule="auto"/>
        <w:ind w:firstLine="482" w:firstLineChars="200"/>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4.3</w:t>
      </w:r>
      <w:r>
        <w:rPr>
          <w:rFonts w:hint="eastAsia" w:ascii="宋体" w:hAnsi="宋体"/>
          <w:bCs/>
          <w:snapToGrid w:val="0"/>
          <w:color w:val="auto"/>
          <w:kern w:val="0"/>
          <w:sz w:val="24"/>
          <w:highlight w:val="none"/>
        </w:rPr>
        <w:t>取得勘察设计前期资料（如地形图等）所需费用，已包括在勘察设计费中，不另行计取。</w:t>
      </w:r>
    </w:p>
    <w:p>
      <w:pPr>
        <w:spacing w:line="360" w:lineRule="auto"/>
        <w:ind w:firstLine="472" w:firstLineChars="19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5、组成合同的文件</w:t>
      </w:r>
    </w:p>
    <w:p>
      <w:pPr>
        <w:spacing w:line="360" w:lineRule="auto"/>
        <w:ind w:firstLine="472" w:firstLineChars="19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5.1</w:t>
      </w:r>
      <w:r>
        <w:rPr>
          <w:rFonts w:hint="eastAsia" w:ascii="宋体" w:hAnsi="宋体"/>
          <w:bCs/>
          <w:snapToGrid w:val="0"/>
          <w:color w:val="auto"/>
          <w:kern w:val="0"/>
          <w:sz w:val="24"/>
          <w:highlight w:val="none"/>
        </w:rPr>
        <w:t>下列文件应被认为是组成本合同的一部分，并互为补充和解释，如各文件存在冲突之处，以如下排列次序在前者优先适用：</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（1）国家和广东省、广州市人民政府及有关主管部门关于</w:t>
      </w:r>
      <w:r>
        <w:rPr>
          <w:rFonts w:hint="eastAsia" w:ascii="宋体" w:hAnsi="宋体"/>
          <w:bCs/>
          <w:snapToGrid w:val="0"/>
          <w:color w:val="auto"/>
          <w:kern w:val="0"/>
          <w:sz w:val="24"/>
          <w:highlight w:val="none"/>
          <w:u w:val="single"/>
        </w:rPr>
        <w:t>本</w:t>
      </w:r>
      <w:r>
        <w:rPr>
          <w:rFonts w:hint="eastAsia" w:ascii="宋体" w:hAnsi="宋体"/>
          <w:bCs/>
          <w:snapToGrid w:val="0"/>
          <w:color w:val="auto"/>
          <w:kern w:val="0"/>
          <w:sz w:val="24"/>
          <w:highlight w:val="none"/>
        </w:rPr>
        <w:t>项目的有关文件；</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（2）本合同履行期间甲乙双方签订的补充合同（协议）或修正文件；</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（3）合同协议书；</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（4）中标通知书；</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（5）合同条款；</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（6）甲方针对</w:t>
      </w:r>
      <w:r>
        <w:rPr>
          <w:rFonts w:hint="eastAsia" w:ascii="宋体" w:hAnsi="宋体"/>
          <w:snapToGrid w:val="0"/>
          <w:color w:val="auto"/>
          <w:kern w:val="0"/>
          <w:sz w:val="24"/>
          <w:highlight w:val="none"/>
        </w:rPr>
        <w:t>本项目</w:t>
      </w:r>
      <w:r>
        <w:rPr>
          <w:rFonts w:hint="eastAsia" w:ascii="宋体" w:hAnsi="宋体"/>
          <w:bCs/>
          <w:snapToGrid w:val="0"/>
          <w:color w:val="auto"/>
          <w:kern w:val="0"/>
          <w:sz w:val="24"/>
          <w:highlight w:val="none"/>
        </w:rPr>
        <w:t>管理的各项制度、规定；</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（7）合同附件[属本条第（1）项和第（</w:t>
      </w:r>
      <w:r>
        <w:rPr>
          <w:rFonts w:ascii="宋体" w:hAnsi="宋体"/>
          <w:bCs/>
          <w:snapToGrid w:val="0"/>
          <w:color w:val="auto"/>
          <w:kern w:val="0"/>
          <w:sz w:val="24"/>
          <w:highlight w:val="none"/>
        </w:rPr>
        <w:t>6</w:t>
      </w:r>
      <w:r>
        <w:rPr>
          <w:rFonts w:hint="eastAsia" w:ascii="宋体" w:hAnsi="宋体"/>
          <w:bCs/>
          <w:snapToGrid w:val="0"/>
          <w:color w:val="auto"/>
          <w:kern w:val="0"/>
          <w:sz w:val="24"/>
          <w:highlight w:val="none"/>
        </w:rPr>
        <w:t>）项内容的除外]；</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（8）招标文件[含招标文件补充文件、招标澄清文件、答疑文件、勘察设计任务书等，属本条第（7）项内容的除外]；</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（9）乙方投标文件及其附件[含投标文件澄清等，属本条第（7）项内容的除外]；</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（10）国家及广东省、广州市的标准、规范及有关技术文件；</w:t>
      </w:r>
    </w:p>
    <w:p>
      <w:pPr>
        <w:spacing w:line="360" w:lineRule="auto"/>
        <w:ind w:firstLine="424" w:firstLineChars="177"/>
        <w:rPr>
          <w:rFonts w:ascii="宋体" w:hAnsi="宋体"/>
          <w:bCs/>
          <w:snapToGrid w:val="0"/>
          <w:color w:val="auto"/>
          <w:kern w:val="0"/>
          <w:sz w:val="24"/>
          <w:highlight w:val="none"/>
        </w:rPr>
      </w:pPr>
      <w:r>
        <w:rPr>
          <w:rFonts w:hint="eastAsia" w:ascii="宋体" w:hAnsi="宋体"/>
          <w:bCs/>
          <w:snapToGrid w:val="0"/>
          <w:color w:val="auto"/>
          <w:kern w:val="0"/>
          <w:sz w:val="24"/>
          <w:highlight w:val="none"/>
        </w:rPr>
        <w:t>（11）组成本合同的其他文件。</w:t>
      </w:r>
    </w:p>
    <w:p>
      <w:pPr>
        <w:spacing w:line="360" w:lineRule="auto"/>
        <w:ind w:firstLine="424" w:firstLineChars="177"/>
        <w:rPr>
          <w:rFonts w:ascii="宋体" w:hAnsi="宋体"/>
          <w:bCs/>
          <w:snapToGrid w:val="0"/>
          <w:color w:val="auto"/>
          <w:kern w:val="0"/>
          <w:sz w:val="24"/>
          <w:highlight w:val="none"/>
        </w:rPr>
      </w:pPr>
      <w:r>
        <w:rPr>
          <w:rFonts w:hint="eastAsia" w:ascii="宋体" w:hAnsi="宋体"/>
          <w:snapToGrid w:val="0"/>
          <w:color w:val="auto"/>
          <w:kern w:val="0"/>
          <w:sz w:val="24"/>
          <w:highlight w:val="none"/>
        </w:rPr>
        <w:t>通过上述顺序解释仍无法明确的事项，由</w:t>
      </w:r>
      <w:r>
        <w:rPr>
          <w:rFonts w:hint="eastAsia" w:ascii="宋体" w:hAnsi="宋体"/>
          <w:bCs/>
          <w:snapToGrid w:val="0"/>
          <w:color w:val="auto"/>
          <w:kern w:val="0"/>
          <w:sz w:val="24"/>
          <w:highlight w:val="none"/>
        </w:rPr>
        <w:t>甲方与乙方</w:t>
      </w:r>
      <w:r>
        <w:rPr>
          <w:rFonts w:hint="eastAsia" w:ascii="宋体" w:hAnsi="宋体"/>
          <w:snapToGrid w:val="0"/>
          <w:color w:val="auto"/>
          <w:kern w:val="0"/>
          <w:sz w:val="24"/>
          <w:highlight w:val="none"/>
        </w:rPr>
        <w:t>协商解决；如协商不成，由</w:t>
      </w:r>
      <w:r>
        <w:rPr>
          <w:rFonts w:hint="eastAsia" w:ascii="宋体" w:hAnsi="宋体"/>
          <w:bCs/>
          <w:snapToGrid w:val="0"/>
          <w:color w:val="auto"/>
          <w:kern w:val="0"/>
          <w:sz w:val="24"/>
          <w:highlight w:val="none"/>
        </w:rPr>
        <w:t>甲方</w:t>
      </w:r>
      <w:r>
        <w:rPr>
          <w:rFonts w:hint="eastAsia" w:ascii="宋体" w:hAnsi="宋体"/>
          <w:snapToGrid w:val="0"/>
          <w:color w:val="auto"/>
          <w:kern w:val="0"/>
          <w:sz w:val="24"/>
          <w:highlight w:val="none"/>
        </w:rPr>
        <w:t>按照公平合理和有利于本工程建设的原则作出决定。如</w:t>
      </w:r>
      <w:r>
        <w:rPr>
          <w:rFonts w:hint="eastAsia" w:ascii="宋体" w:hAnsi="宋体"/>
          <w:bCs/>
          <w:snapToGrid w:val="0"/>
          <w:color w:val="auto"/>
          <w:kern w:val="0"/>
          <w:sz w:val="24"/>
          <w:highlight w:val="none"/>
        </w:rPr>
        <w:t>乙方</w:t>
      </w:r>
      <w:r>
        <w:rPr>
          <w:rFonts w:hint="eastAsia" w:ascii="宋体" w:hAnsi="宋体"/>
          <w:snapToGrid w:val="0"/>
          <w:color w:val="auto"/>
          <w:kern w:val="0"/>
          <w:sz w:val="24"/>
          <w:highlight w:val="none"/>
        </w:rPr>
        <w:t>对此决定不服的，应在接到</w:t>
      </w:r>
      <w:r>
        <w:rPr>
          <w:rFonts w:hint="eastAsia" w:ascii="宋体" w:hAnsi="宋体"/>
          <w:bCs/>
          <w:snapToGrid w:val="0"/>
          <w:color w:val="auto"/>
          <w:kern w:val="0"/>
          <w:sz w:val="24"/>
          <w:highlight w:val="none"/>
        </w:rPr>
        <w:t>甲方</w:t>
      </w:r>
      <w:r>
        <w:rPr>
          <w:rFonts w:hint="eastAsia" w:ascii="宋体" w:hAnsi="宋体"/>
          <w:snapToGrid w:val="0"/>
          <w:color w:val="auto"/>
          <w:kern w:val="0"/>
          <w:sz w:val="24"/>
          <w:highlight w:val="none"/>
        </w:rPr>
        <w:t>决定之日起三日内提出书面异议；如期满不提出书面异议的，视为同意</w:t>
      </w:r>
      <w:r>
        <w:rPr>
          <w:rFonts w:hint="eastAsia" w:ascii="宋体" w:hAnsi="宋体"/>
          <w:bCs/>
          <w:snapToGrid w:val="0"/>
          <w:color w:val="auto"/>
          <w:kern w:val="0"/>
          <w:sz w:val="24"/>
          <w:highlight w:val="none"/>
        </w:rPr>
        <w:t>甲方</w:t>
      </w:r>
      <w:r>
        <w:rPr>
          <w:rFonts w:hint="eastAsia" w:ascii="宋体" w:hAnsi="宋体"/>
          <w:snapToGrid w:val="0"/>
          <w:color w:val="auto"/>
          <w:kern w:val="0"/>
          <w:sz w:val="24"/>
          <w:highlight w:val="none"/>
        </w:rPr>
        <w:t>的决定。</w:t>
      </w:r>
      <w:r>
        <w:rPr>
          <w:rFonts w:hint="eastAsia" w:ascii="宋体" w:hAnsi="宋体"/>
          <w:bCs/>
          <w:snapToGrid w:val="0"/>
          <w:color w:val="auto"/>
          <w:kern w:val="0"/>
          <w:sz w:val="24"/>
          <w:highlight w:val="none"/>
        </w:rPr>
        <w:t>甲方</w:t>
      </w:r>
      <w:r>
        <w:rPr>
          <w:rFonts w:hint="eastAsia" w:ascii="宋体" w:hAnsi="宋体"/>
          <w:snapToGrid w:val="0"/>
          <w:color w:val="auto"/>
          <w:kern w:val="0"/>
          <w:sz w:val="24"/>
          <w:highlight w:val="none"/>
        </w:rPr>
        <w:t>收到</w:t>
      </w:r>
      <w:r>
        <w:rPr>
          <w:rFonts w:hint="eastAsia" w:ascii="宋体" w:hAnsi="宋体"/>
          <w:bCs/>
          <w:snapToGrid w:val="0"/>
          <w:color w:val="auto"/>
          <w:kern w:val="0"/>
          <w:sz w:val="24"/>
          <w:highlight w:val="none"/>
        </w:rPr>
        <w:t>乙方</w:t>
      </w:r>
      <w:r>
        <w:rPr>
          <w:rFonts w:hint="eastAsia" w:ascii="宋体" w:hAnsi="宋体"/>
          <w:snapToGrid w:val="0"/>
          <w:color w:val="auto"/>
          <w:kern w:val="0"/>
          <w:sz w:val="24"/>
          <w:highlight w:val="none"/>
        </w:rPr>
        <w:t>的书面异议后应作出进一步的决定，如</w:t>
      </w:r>
      <w:r>
        <w:rPr>
          <w:rFonts w:hint="eastAsia" w:ascii="宋体" w:hAnsi="宋体"/>
          <w:bCs/>
          <w:snapToGrid w:val="0"/>
          <w:color w:val="auto"/>
          <w:kern w:val="0"/>
          <w:sz w:val="24"/>
          <w:highlight w:val="none"/>
        </w:rPr>
        <w:t>乙方</w:t>
      </w:r>
      <w:r>
        <w:rPr>
          <w:rFonts w:hint="eastAsia" w:ascii="宋体" w:hAnsi="宋体"/>
          <w:snapToGrid w:val="0"/>
          <w:color w:val="auto"/>
          <w:kern w:val="0"/>
          <w:sz w:val="24"/>
          <w:highlight w:val="none"/>
        </w:rPr>
        <w:t>仍有异议的，可按合同</w:t>
      </w:r>
      <w:r>
        <w:rPr>
          <w:rFonts w:hint="eastAsia" w:ascii="宋体" w:hAnsi="宋体"/>
          <w:bCs/>
          <w:snapToGrid w:val="0"/>
          <w:color w:val="auto"/>
          <w:kern w:val="0"/>
          <w:sz w:val="24"/>
          <w:highlight w:val="none"/>
        </w:rPr>
        <w:t>条款第3</w:t>
      </w:r>
      <w:r>
        <w:rPr>
          <w:rFonts w:hint="eastAsia" w:ascii="宋体" w:hAnsi="宋体"/>
          <w:bCs/>
          <w:snapToGrid w:val="0"/>
          <w:color w:val="auto"/>
          <w:kern w:val="0"/>
          <w:sz w:val="24"/>
          <w:highlight w:val="none"/>
          <w:lang w:val="en-US" w:eastAsia="zh-CN"/>
        </w:rPr>
        <w:t>0</w:t>
      </w:r>
      <w:r>
        <w:rPr>
          <w:rFonts w:hint="eastAsia" w:ascii="宋体" w:hAnsi="宋体"/>
          <w:bCs/>
          <w:snapToGrid w:val="0"/>
          <w:color w:val="auto"/>
          <w:kern w:val="0"/>
          <w:sz w:val="24"/>
          <w:highlight w:val="none"/>
        </w:rPr>
        <w:t>条的约定处理，但在有关部门没有作出正式裁决之前，乙方必须无条件先执行甲方的决定。</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5.2</w:t>
      </w:r>
      <w:r>
        <w:rPr>
          <w:rFonts w:hint="eastAsia" w:ascii="宋体" w:hAnsi="宋体"/>
          <w:bCs/>
          <w:snapToGrid w:val="0"/>
          <w:color w:val="auto"/>
          <w:kern w:val="0"/>
          <w:sz w:val="24"/>
          <w:highlight w:val="none"/>
        </w:rPr>
        <w:t>在本合同履行过程中，经双方法定代表人或其委托代理人签字认可的来往电报、信函、会议纪要、有关对本合同补充的书面协议以及经双方共同确认的文件等，均视同本合同的组成部分，与本合同具有同等法律效力。</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6</w:t>
      </w:r>
      <w:r>
        <w:rPr>
          <w:rFonts w:hint="eastAsia" w:ascii="宋体" w:hAnsi="宋体"/>
          <w:bCs/>
          <w:snapToGrid w:val="0"/>
          <w:color w:val="auto"/>
          <w:kern w:val="0"/>
          <w:sz w:val="24"/>
          <w:highlight w:val="none"/>
        </w:rPr>
        <w:t>、乙方应在收到中标通知书之日起5日内以书面形式向甲方提交其法定代表人、项目负责人的姓名、身份证复印件、职务、职称、联系方式（包括办公电话、手机、传真号码）、通信地址等信息作为合同附件。</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7</w:t>
      </w:r>
      <w:r>
        <w:rPr>
          <w:rFonts w:hint="eastAsia" w:ascii="宋体" w:hAnsi="宋体"/>
          <w:bCs/>
          <w:snapToGrid w:val="0"/>
          <w:color w:val="auto"/>
          <w:kern w:val="0"/>
          <w:sz w:val="24"/>
          <w:highlight w:val="none"/>
        </w:rPr>
        <w:t>、在本合同有效期内，乙方的单位名称变更的，应及时以书面形式通知甲方并附上变更登记资料；乙方法定代表人变更的，应在变更后15日内向甲方提交新法定代表人的姓名、身份证复印件、职务、职称、联系电话、通信地址等信息。</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8</w:t>
      </w:r>
      <w:r>
        <w:rPr>
          <w:rFonts w:hint="eastAsia" w:ascii="宋体" w:hAnsi="宋体"/>
          <w:bCs/>
          <w:snapToGrid w:val="0"/>
          <w:color w:val="auto"/>
          <w:kern w:val="0"/>
          <w:sz w:val="24"/>
          <w:highlight w:val="none"/>
        </w:rPr>
        <w:t>、在本合同有效期内，乙方更换项目负责人的，不得低于招标文件要求及投标承诺，并须征得甲方书面同意。乙方更换项目负责人除按合同条款的有关约定承担违约责任外，还应在更换后7日内将新项目负责人的姓名、职务、职称、联系电话、通信地址等信息提交给甲方。</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9、</w:t>
      </w:r>
      <w:r>
        <w:rPr>
          <w:rFonts w:hint="eastAsia" w:ascii="宋体" w:hAnsi="宋体"/>
          <w:bCs/>
          <w:snapToGrid w:val="0"/>
          <w:color w:val="auto"/>
          <w:kern w:val="0"/>
          <w:sz w:val="24"/>
          <w:highlight w:val="none"/>
        </w:rPr>
        <w:t>合同协议书中有关词语定义与合同条款中分别赋予它们的定义相同。</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10、</w:t>
      </w:r>
      <w:r>
        <w:rPr>
          <w:rFonts w:hint="eastAsia" w:ascii="宋体" w:hAnsi="宋体"/>
          <w:bCs/>
          <w:snapToGrid w:val="0"/>
          <w:color w:val="auto"/>
          <w:kern w:val="0"/>
          <w:sz w:val="24"/>
          <w:highlight w:val="none"/>
        </w:rPr>
        <w:t>乙方向甲方承诺按照本合同约定履行义务。</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11、</w:t>
      </w:r>
      <w:r>
        <w:rPr>
          <w:rFonts w:hint="eastAsia" w:ascii="宋体" w:hAnsi="宋体"/>
          <w:bCs/>
          <w:snapToGrid w:val="0"/>
          <w:color w:val="auto"/>
          <w:kern w:val="0"/>
          <w:sz w:val="24"/>
          <w:highlight w:val="none"/>
        </w:rPr>
        <w:t>甲方向乙方承诺按照本合同约定履行义务。</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12、</w:t>
      </w:r>
      <w:r>
        <w:rPr>
          <w:rFonts w:hint="eastAsia" w:ascii="宋体" w:hAnsi="宋体"/>
          <w:bCs/>
          <w:snapToGrid w:val="0"/>
          <w:color w:val="auto"/>
          <w:kern w:val="0"/>
          <w:sz w:val="24"/>
          <w:highlight w:val="none"/>
        </w:rPr>
        <w:t>本合同自甲乙双方</w:t>
      </w:r>
      <w:r>
        <w:rPr>
          <w:rFonts w:hint="eastAsia" w:ascii="宋体" w:hAnsi="宋体"/>
          <w:snapToGrid w:val="0"/>
          <w:color w:val="auto"/>
          <w:kern w:val="0"/>
          <w:sz w:val="24"/>
          <w:highlight w:val="none"/>
        </w:rPr>
        <w:t>法定代表人签章且加盖单位公章</w:t>
      </w:r>
      <w:r>
        <w:rPr>
          <w:rFonts w:hint="eastAsia" w:ascii="宋体" w:hAnsi="宋体"/>
          <w:bCs/>
          <w:snapToGrid w:val="0"/>
          <w:color w:val="auto"/>
          <w:kern w:val="0"/>
          <w:sz w:val="24"/>
          <w:highlight w:val="none"/>
        </w:rPr>
        <w:t>之日起生效。双方履行完合同约定义务及责任后，本合同自行终止。</w:t>
      </w:r>
    </w:p>
    <w:p>
      <w:pPr>
        <w:spacing w:line="360" w:lineRule="auto"/>
        <w:ind w:firstLine="426" w:firstLineChars="177"/>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13、</w:t>
      </w:r>
      <w:r>
        <w:rPr>
          <w:rFonts w:hint="eastAsia" w:ascii="宋体" w:hAnsi="宋体"/>
          <w:bCs/>
          <w:snapToGrid w:val="0"/>
          <w:color w:val="auto"/>
          <w:kern w:val="0"/>
          <w:sz w:val="24"/>
          <w:highlight w:val="none"/>
        </w:rPr>
        <w:t>本合同正本一式三份，甲执两份，乙方执一份；副本</w:t>
      </w:r>
      <w:r>
        <w:rPr>
          <w:rFonts w:hint="eastAsia" w:ascii="宋体" w:hAnsi="宋体"/>
          <w:bCs/>
          <w:snapToGrid w:val="0"/>
          <w:color w:val="auto"/>
          <w:kern w:val="0"/>
          <w:sz w:val="24"/>
          <w:highlight w:val="none"/>
          <w:u w:val="single"/>
        </w:rPr>
        <w:t xml:space="preserve"> 十 </w:t>
      </w:r>
      <w:r>
        <w:rPr>
          <w:rFonts w:hint="eastAsia" w:ascii="宋体" w:hAnsi="宋体"/>
          <w:bCs/>
          <w:snapToGrid w:val="0"/>
          <w:color w:val="auto"/>
          <w:kern w:val="0"/>
          <w:sz w:val="24"/>
          <w:highlight w:val="none"/>
        </w:rPr>
        <w:t>份，甲方执</w:t>
      </w:r>
      <w:r>
        <w:rPr>
          <w:rFonts w:hint="eastAsia" w:ascii="宋体" w:hAnsi="宋体"/>
          <w:bCs/>
          <w:snapToGrid w:val="0"/>
          <w:color w:val="auto"/>
          <w:kern w:val="0"/>
          <w:sz w:val="24"/>
          <w:highlight w:val="none"/>
          <w:u w:val="single"/>
        </w:rPr>
        <w:t xml:space="preserve"> 七 </w:t>
      </w:r>
      <w:r>
        <w:rPr>
          <w:rFonts w:hint="eastAsia" w:ascii="宋体" w:hAnsi="宋体"/>
          <w:bCs/>
          <w:snapToGrid w:val="0"/>
          <w:color w:val="auto"/>
          <w:kern w:val="0"/>
          <w:sz w:val="24"/>
          <w:highlight w:val="none"/>
        </w:rPr>
        <w:t>份，乙方执三份。</w:t>
      </w:r>
      <w:r>
        <w:rPr>
          <w:rFonts w:hint="eastAsia" w:ascii="宋体" w:hAnsi="宋体"/>
          <w:snapToGrid w:val="0"/>
          <w:color w:val="auto"/>
          <w:kern w:val="0"/>
          <w:sz w:val="24"/>
          <w:highlight w:val="none"/>
        </w:rPr>
        <w:t>合同正、副本具有同等效力，但当合同正本与副本的表述不一致时，以合同正本为准。</w:t>
      </w:r>
    </w:p>
    <w:p>
      <w:pPr>
        <w:spacing w:line="360" w:lineRule="auto"/>
        <w:rPr>
          <w:rFonts w:ascii="宋体" w:hAnsi="宋体"/>
          <w:snapToGrid w:val="0"/>
          <w:color w:val="auto"/>
          <w:kern w:val="0"/>
          <w:sz w:val="24"/>
          <w:highlight w:val="none"/>
        </w:rPr>
      </w:pPr>
    </w:p>
    <w:p>
      <w:pPr>
        <w:spacing w:line="360" w:lineRule="auto"/>
        <w:rPr>
          <w:rFonts w:ascii="宋体" w:hAnsi="宋体"/>
          <w:snapToGrid w:val="0"/>
          <w:color w:val="auto"/>
          <w:kern w:val="0"/>
          <w:sz w:val="24"/>
          <w:highlight w:val="none"/>
        </w:rPr>
      </w:pPr>
    </w:p>
    <w:p>
      <w:pPr>
        <w:spacing w:line="360" w:lineRule="auto"/>
        <w:rPr>
          <w:rFonts w:ascii="宋体" w:hAnsi="宋体"/>
          <w:b/>
          <w:snapToGrid w:val="0"/>
          <w:color w:val="auto"/>
          <w:spacing w:val="-20"/>
          <w:kern w:val="0"/>
          <w:sz w:val="24"/>
          <w:highlight w:val="none"/>
        </w:rPr>
      </w:pPr>
      <w:r>
        <w:rPr>
          <w:rFonts w:ascii="宋体" w:hAnsi="宋体"/>
          <w:snapToGrid w:val="0"/>
          <w:color w:val="auto"/>
          <w:spacing w:val="-20"/>
          <w:kern w:val="0"/>
          <w:sz w:val="24"/>
          <w:highlight w:val="none"/>
        </w:rPr>
        <w:br w:type="page"/>
      </w:r>
      <w:r>
        <w:rPr>
          <w:rFonts w:hint="eastAsia" w:ascii="宋体" w:hAnsi="宋体"/>
          <w:snapToGrid w:val="0"/>
          <w:color w:val="auto"/>
          <w:spacing w:val="-20"/>
          <w:kern w:val="0"/>
          <w:sz w:val="24"/>
          <w:highlight w:val="none"/>
        </w:rPr>
        <w:t>甲方：</w:t>
      </w:r>
      <w:r>
        <w:rPr>
          <w:rFonts w:hint="eastAsia" w:ascii="宋体" w:hAnsi="宋体" w:eastAsia="宋体" w:cs="Times New Roman"/>
          <w:b/>
          <w:bCs/>
          <w:i w:val="0"/>
          <w:caps w:val="0"/>
          <w:snapToGrid w:val="0"/>
          <w:color w:val="auto"/>
          <w:spacing w:val="-20"/>
          <w:kern w:val="0"/>
          <w:sz w:val="24"/>
          <w:szCs w:val="24"/>
          <w:highlight w:val="none"/>
          <w:u w:val="none"/>
          <w:shd w:val="clear" w:color="auto" w:fill="auto"/>
        </w:rPr>
        <w:t>广州市南沙新区明珠湾开发建设管理局</w:t>
      </w:r>
      <w:r>
        <w:rPr>
          <w:rFonts w:hint="eastAsia" w:ascii="宋体" w:hAnsi="宋体"/>
          <w:b/>
          <w:bCs/>
          <w:snapToGrid w:val="0"/>
          <w:color w:val="auto"/>
          <w:spacing w:val="-20"/>
          <w:kern w:val="0"/>
          <w:sz w:val="24"/>
          <w:highlight w:val="none"/>
        </w:rPr>
        <w:t xml:space="preserve"> </w:t>
      </w:r>
      <w:r>
        <w:rPr>
          <w:rFonts w:hint="eastAsia" w:ascii="宋体" w:hAnsi="宋体"/>
          <w:snapToGrid w:val="0"/>
          <w:color w:val="auto"/>
          <w:spacing w:val="-20"/>
          <w:kern w:val="0"/>
          <w:sz w:val="24"/>
          <w:highlight w:val="none"/>
        </w:rPr>
        <w:t xml:space="preserve">              乙方：</w:t>
      </w:r>
      <w:r>
        <w:rPr>
          <w:rFonts w:ascii="宋体" w:hAnsi="宋体"/>
          <w:b/>
          <w:snapToGrid w:val="0"/>
          <w:color w:val="auto"/>
          <w:spacing w:val="-20"/>
          <w:kern w:val="0"/>
          <w:sz w:val="24"/>
          <w:highlight w:val="non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法定代表人（签名）：</w:t>
      </w:r>
      <w:r>
        <w:rPr>
          <w:rFonts w:hint="eastAsia" w:ascii="宋体" w:hAnsi="宋体"/>
          <w:color w:val="auto"/>
          <w:sz w:val="24"/>
          <w:highlight w:val="none"/>
        </w:rPr>
        <w:t xml:space="preserve">                     </w:t>
      </w:r>
      <w:r>
        <w:rPr>
          <w:rFonts w:ascii="宋体" w:hAnsi="宋体"/>
          <w:color w:val="auto"/>
          <w:sz w:val="24"/>
          <w:highlight w:val="none"/>
        </w:rPr>
        <w:t>法定代表人（签名）：</w:t>
      </w:r>
    </w:p>
    <w:p>
      <w:pPr>
        <w:spacing w:line="360" w:lineRule="auto"/>
        <w:rPr>
          <w:rFonts w:ascii="宋体" w:hAnsi="宋体"/>
          <w:snapToGrid w:val="0"/>
          <w:color w:val="auto"/>
          <w:kern w:val="0"/>
          <w:sz w:val="24"/>
          <w:highlight w:val="none"/>
        </w:rPr>
      </w:pPr>
    </w:p>
    <w:p>
      <w:pPr>
        <w:spacing w:line="276" w:lineRule="auto"/>
        <w:rPr>
          <w:rFonts w:hint="eastAsia" w:ascii="宋体" w:hAnsi="宋体"/>
          <w:color w:val="auto"/>
          <w:highlight w:val="none"/>
          <w:u w:val="single"/>
        </w:rPr>
      </w:pPr>
      <w:r>
        <w:rPr>
          <w:rFonts w:hint="eastAsia" w:ascii="宋体" w:hAnsi="宋体"/>
          <w:snapToGrid w:val="0"/>
          <w:color w:val="auto"/>
          <w:kern w:val="0"/>
          <w:sz w:val="24"/>
          <w:highlight w:val="none"/>
        </w:rPr>
        <w:t>地址：</w:t>
      </w:r>
      <w:r>
        <w:rPr>
          <w:rFonts w:hint="eastAsia" w:ascii="宋体" w:hAnsi="宋体" w:eastAsia="宋体" w:cs="Times New Roman"/>
          <w:i w:val="0"/>
          <w:caps w:val="0"/>
          <w:color w:val="auto"/>
          <w:spacing w:val="0"/>
          <w:sz w:val="24"/>
          <w:szCs w:val="24"/>
          <w:highlight w:val="none"/>
          <w:u w:val="none"/>
          <w:shd w:val="clear" w:color="auto" w:fill="auto"/>
        </w:rPr>
        <w:t>广州市南沙区横沥镇凤凰一桥南岸</w:t>
      </w:r>
      <w:r>
        <w:rPr>
          <w:rFonts w:hint="eastAsia" w:ascii="宋体" w:hAnsi="宋体"/>
          <w:color w:val="auto"/>
          <w:sz w:val="24"/>
          <w:highlight w:val="none"/>
        </w:rPr>
        <w:t xml:space="preserve">     </w:t>
      </w:r>
      <w:r>
        <w:rPr>
          <w:rFonts w:hint="eastAsia" w:ascii="宋体" w:hAnsi="宋体"/>
          <w:snapToGrid w:val="0"/>
          <w:color w:val="auto"/>
          <w:kern w:val="0"/>
          <w:sz w:val="24"/>
          <w:highlight w:val="none"/>
        </w:rPr>
        <w:t>地址：</w:t>
      </w:r>
      <w:r>
        <w:rPr>
          <w:rFonts w:hint="eastAsia" w:ascii="宋体" w:hAnsi="宋体"/>
          <w:color w:val="auto"/>
          <w:highlight w:val="none"/>
          <w:u w:val="single"/>
        </w:rPr>
        <w:t xml:space="preserve"> </w:t>
      </w:r>
    </w:p>
    <w:p>
      <w:pPr>
        <w:spacing w:line="276" w:lineRule="auto"/>
        <w:ind w:firstLine="840" w:firstLineChars="350"/>
        <w:rPr>
          <w:rFonts w:ascii="宋体" w:hAnsi="宋体"/>
          <w:color w:val="auto"/>
          <w:sz w:val="24"/>
          <w:highlight w:val="none"/>
        </w:rPr>
      </w:pPr>
      <w:r>
        <w:rPr>
          <w:rFonts w:hint="eastAsia" w:ascii="宋体" w:hAnsi="宋体" w:eastAsia="宋体" w:cs="Times New Roman"/>
          <w:i w:val="0"/>
          <w:caps w:val="0"/>
          <w:color w:val="auto"/>
          <w:spacing w:val="0"/>
          <w:sz w:val="24"/>
          <w:szCs w:val="24"/>
          <w:highlight w:val="none"/>
          <w:u w:val="none"/>
          <w:shd w:val="clear" w:color="auto" w:fill="auto"/>
        </w:rPr>
        <w:t>明珠开发大厦8楼</w:t>
      </w:r>
    </w:p>
    <w:p>
      <w:pPr>
        <w:spacing w:line="276" w:lineRule="auto"/>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                             </w:t>
      </w:r>
    </w:p>
    <w:p>
      <w:pPr>
        <w:adjustRightInd w:val="0"/>
        <w:snapToGrid w:val="0"/>
        <w:spacing w:line="336" w:lineRule="auto"/>
        <w:ind w:left="5038" w:hanging="5037" w:hangingChars="2099"/>
        <w:rPr>
          <w:rFonts w:ascii="宋体" w:hAnsi="宋体"/>
          <w:snapToGrid w:val="0"/>
          <w:color w:val="auto"/>
          <w:kern w:val="0"/>
          <w:sz w:val="24"/>
          <w:szCs w:val="20"/>
          <w:highlight w:val="none"/>
        </w:rPr>
      </w:pPr>
      <w:r>
        <w:rPr>
          <w:rFonts w:hint="eastAsia" w:ascii="宋体" w:hAnsi="宋体"/>
          <w:snapToGrid w:val="0"/>
          <w:color w:val="auto"/>
          <w:kern w:val="0"/>
          <w:sz w:val="24"/>
          <w:highlight w:val="none"/>
        </w:rPr>
        <w:t>邮政编码：                              邮政编码：</w:t>
      </w:r>
    </w:p>
    <w:p>
      <w:pPr>
        <w:spacing w:line="276" w:lineRule="auto"/>
        <w:rPr>
          <w:rFonts w:ascii="宋体" w:hAnsi="宋体"/>
          <w:color w:val="auto"/>
          <w:highlight w:val="none"/>
          <w:u w:val="single"/>
        </w:rPr>
      </w:pPr>
      <w:r>
        <w:rPr>
          <w:rFonts w:hint="eastAsia" w:ascii="宋体" w:hAnsi="宋体"/>
          <w:snapToGrid w:val="0"/>
          <w:color w:val="auto"/>
          <w:kern w:val="0"/>
          <w:sz w:val="24"/>
          <w:highlight w:val="none"/>
        </w:rPr>
        <w:t>联系电话：                              联系电话：</w:t>
      </w:r>
    </w:p>
    <w:p>
      <w:pPr>
        <w:adjustRightInd w:val="0"/>
        <w:snapToGrid w:val="0"/>
        <w:spacing w:line="336" w:lineRule="auto"/>
        <w:ind w:left="5038" w:hanging="5037" w:hangingChars="2099"/>
        <w:rPr>
          <w:rFonts w:ascii="宋体" w:hAnsi="宋体"/>
          <w:snapToGrid w:val="0"/>
          <w:color w:val="auto"/>
          <w:kern w:val="0"/>
          <w:sz w:val="24"/>
          <w:highlight w:val="none"/>
        </w:rPr>
      </w:pPr>
      <w:r>
        <w:rPr>
          <w:rFonts w:hint="eastAsia" w:ascii="宋体" w:hAnsi="宋体"/>
          <w:snapToGrid w:val="0"/>
          <w:color w:val="auto"/>
          <w:kern w:val="0"/>
          <w:sz w:val="24"/>
          <w:highlight w:val="none"/>
        </w:rPr>
        <w:t>传真：                                  传真：</w:t>
      </w:r>
    </w:p>
    <w:p>
      <w:pPr>
        <w:adjustRightInd w:val="0"/>
        <w:snapToGrid w:val="0"/>
        <w:spacing w:line="336" w:lineRule="auto"/>
        <w:ind w:left="5158" w:hanging="5157" w:hangingChars="2149"/>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 xml:space="preserve">开户银行：                              开户银行： </w:t>
      </w:r>
    </w:p>
    <w:p>
      <w:pPr>
        <w:adjustRightInd w:val="0"/>
        <w:snapToGrid w:val="0"/>
        <w:spacing w:line="336" w:lineRule="auto"/>
        <w:ind w:left="3118" w:hanging="3117" w:hangingChars="1299"/>
        <w:rPr>
          <w:rFonts w:ascii="宋体" w:hAnsi="宋体"/>
          <w:snapToGrid w:val="0"/>
          <w:color w:val="auto"/>
          <w:kern w:val="0"/>
          <w:sz w:val="24"/>
          <w:highlight w:val="none"/>
        </w:rPr>
      </w:pPr>
      <w:r>
        <w:rPr>
          <w:rFonts w:hint="eastAsia" w:ascii="宋体" w:hAnsi="宋体"/>
          <w:snapToGrid w:val="0"/>
          <w:color w:val="auto"/>
          <w:kern w:val="0"/>
          <w:sz w:val="24"/>
          <w:highlight w:val="none"/>
        </w:rPr>
        <w:t>银行账号：                              银行账号：</w:t>
      </w:r>
    </w:p>
    <w:p>
      <w:pPr>
        <w:spacing w:line="360" w:lineRule="auto"/>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签订日期： 年  月  日                   签订日期：年  月  日</w:t>
      </w:r>
    </w:p>
    <w:p>
      <w:pPr>
        <w:spacing w:line="360" w:lineRule="auto"/>
        <w:rPr>
          <w:rFonts w:hint="eastAsia" w:ascii="宋体" w:hAnsi="宋体"/>
          <w:snapToGrid w:val="0"/>
          <w:color w:val="auto"/>
          <w:kern w:val="0"/>
          <w:sz w:val="24"/>
          <w:highlight w:val="none"/>
        </w:rPr>
      </w:pPr>
    </w:p>
    <w:p>
      <w:pPr>
        <w:spacing w:line="360" w:lineRule="auto"/>
        <w:rPr>
          <w:rFonts w:hint="eastAsia" w:ascii="宋体" w:hAnsi="宋体"/>
          <w:snapToGrid w:val="0"/>
          <w:color w:val="auto"/>
          <w:kern w:val="0"/>
          <w:sz w:val="24"/>
          <w:highlight w:val="none"/>
        </w:rPr>
      </w:pPr>
    </w:p>
    <w:p>
      <w:pPr>
        <w:spacing w:line="360" w:lineRule="auto"/>
        <w:rPr>
          <w:rFonts w:ascii="宋体" w:hAnsi="宋体"/>
          <w:snapToGrid w:val="0"/>
          <w:color w:val="auto"/>
          <w:kern w:val="0"/>
          <w:sz w:val="24"/>
          <w:highlight w:val="none"/>
        </w:rPr>
      </w:pPr>
    </w:p>
    <w:p>
      <w:pPr>
        <w:spacing w:line="360" w:lineRule="auto"/>
        <w:rPr>
          <w:rFonts w:ascii="宋体" w:hAnsi="宋体"/>
          <w:snapToGrid w:val="0"/>
          <w:color w:val="auto"/>
          <w:kern w:val="0"/>
          <w:sz w:val="24"/>
          <w:highlight w:val="none"/>
        </w:rPr>
      </w:pPr>
      <w:r>
        <w:rPr>
          <w:rFonts w:hint="eastAsia" w:ascii="宋体" w:hAnsi="宋体"/>
          <w:snapToGrid w:val="0"/>
          <w:color w:val="auto"/>
          <w:kern w:val="0"/>
          <w:sz w:val="24"/>
          <w:highlight w:val="none"/>
        </w:rPr>
        <w:t>本合同于</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年</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 xml:space="preserve"> 月</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日签订于广东省广州市南沙区。</w:t>
      </w:r>
    </w:p>
    <w:p>
      <w:pPr>
        <w:spacing w:line="360" w:lineRule="auto"/>
        <w:rPr>
          <w:rFonts w:ascii="宋体" w:hAnsi="宋体"/>
          <w:snapToGrid w:val="0"/>
          <w:color w:val="auto"/>
          <w:kern w:val="0"/>
          <w:sz w:val="24"/>
          <w:highlight w:val="none"/>
        </w:rPr>
      </w:pPr>
    </w:p>
    <w:p>
      <w:pPr>
        <w:spacing w:line="360" w:lineRule="auto"/>
        <w:rPr>
          <w:rFonts w:ascii="宋体" w:hAnsi="宋体"/>
          <w:snapToGrid w:val="0"/>
          <w:color w:val="auto"/>
          <w:kern w:val="0"/>
          <w:sz w:val="24"/>
          <w:highlight w:val="none"/>
        </w:rPr>
      </w:pPr>
    </w:p>
    <w:p>
      <w:pPr>
        <w:spacing w:line="360" w:lineRule="auto"/>
        <w:rPr>
          <w:rFonts w:ascii="宋体" w:hAnsi="宋体"/>
          <w:snapToGrid w:val="0"/>
          <w:color w:val="auto"/>
          <w:kern w:val="0"/>
          <w:sz w:val="24"/>
          <w:highlight w:val="none"/>
        </w:rPr>
      </w:pPr>
    </w:p>
    <w:p>
      <w:pPr>
        <w:spacing w:line="360" w:lineRule="auto"/>
        <w:rPr>
          <w:rFonts w:ascii="宋体" w:hAnsi="宋体"/>
          <w:snapToGrid w:val="0"/>
          <w:color w:val="auto"/>
          <w:kern w:val="0"/>
          <w:sz w:val="24"/>
          <w:highlight w:val="none"/>
        </w:rPr>
      </w:pPr>
      <w:r>
        <w:rPr>
          <w:rFonts w:ascii="宋体" w:hAnsi="宋体"/>
          <w:b/>
          <w:bCs/>
          <w:snapToGrid w:val="0"/>
          <w:color w:val="auto"/>
          <w:kern w:val="0"/>
          <w:sz w:val="24"/>
          <w:highlight w:val="none"/>
        </w:rPr>
        <w:br w:type="page"/>
      </w:r>
    </w:p>
    <w:p>
      <w:pPr>
        <w:pStyle w:val="3"/>
        <w:spacing w:before="0"/>
        <w:rPr>
          <w:b w:val="0"/>
          <w:bCs w:val="0"/>
          <w:snapToGrid w:val="0"/>
          <w:color w:val="auto"/>
          <w:kern w:val="0"/>
          <w:sz w:val="44"/>
          <w:szCs w:val="44"/>
          <w:highlight w:val="none"/>
        </w:rPr>
      </w:pPr>
      <w:bookmarkStart w:id="6" w:name="_Toc472802232"/>
      <w:r>
        <w:rPr>
          <w:rFonts w:hint="eastAsia"/>
          <w:snapToGrid w:val="0"/>
          <w:color w:val="auto"/>
          <w:kern w:val="0"/>
          <w:sz w:val="44"/>
          <w:szCs w:val="44"/>
          <w:highlight w:val="none"/>
        </w:rPr>
        <w:t>第二篇  合同</w:t>
      </w:r>
      <w:bookmarkEnd w:id="6"/>
      <w:r>
        <w:rPr>
          <w:rFonts w:hint="eastAsia"/>
          <w:snapToGrid w:val="0"/>
          <w:color w:val="auto"/>
          <w:kern w:val="0"/>
          <w:sz w:val="44"/>
          <w:szCs w:val="44"/>
          <w:highlight w:val="none"/>
        </w:rPr>
        <w:t>条款</w:t>
      </w:r>
    </w:p>
    <w:p>
      <w:pPr>
        <w:spacing w:line="360" w:lineRule="auto"/>
        <w:rPr>
          <w:rFonts w:ascii="宋体" w:hAnsi="宋体"/>
          <w:snapToGrid w:val="0"/>
          <w:color w:val="auto"/>
          <w:kern w:val="0"/>
          <w:sz w:val="24"/>
          <w:highlight w:val="none"/>
        </w:rPr>
      </w:pPr>
    </w:p>
    <w:p>
      <w:pPr>
        <w:pStyle w:val="4"/>
        <w:jc w:val="center"/>
        <w:rPr>
          <w:b w:val="0"/>
          <w:color w:val="auto"/>
          <w:sz w:val="30"/>
          <w:szCs w:val="30"/>
          <w:highlight w:val="none"/>
        </w:rPr>
      </w:pPr>
      <w:bookmarkStart w:id="7" w:name="_Toc472802233"/>
      <w:r>
        <w:rPr>
          <w:rFonts w:hint="eastAsia"/>
          <w:color w:val="auto"/>
          <w:sz w:val="30"/>
          <w:szCs w:val="30"/>
          <w:highlight w:val="none"/>
        </w:rPr>
        <w:t>第一章  一般规定</w:t>
      </w:r>
      <w:bookmarkEnd w:id="7"/>
    </w:p>
    <w:p>
      <w:pPr>
        <w:pStyle w:val="6"/>
        <w:spacing w:before="0" w:after="0" w:line="360" w:lineRule="auto"/>
        <w:ind w:firstLine="472" w:firstLineChars="196"/>
        <w:rPr>
          <w:rFonts w:ascii="宋体" w:hAnsi="宋体"/>
          <w:snapToGrid w:val="0"/>
          <w:color w:val="auto"/>
          <w:kern w:val="0"/>
          <w:sz w:val="24"/>
          <w:highlight w:val="none"/>
        </w:rPr>
      </w:pPr>
      <w:bookmarkStart w:id="8" w:name="_Toc472802234"/>
      <w:r>
        <w:rPr>
          <w:rFonts w:hint="eastAsia" w:ascii="宋体" w:hAnsi="宋体"/>
          <w:snapToGrid w:val="0"/>
          <w:color w:val="auto"/>
          <w:kern w:val="0"/>
          <w:sz w:val="24"/>
          <w:highlight w:val="none"/>
        </w:rPr>
        <w:t>1、词语定义</w:t>
      </w:r>
      <w:bookmarkEnd w:id="8"/>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snapToGrid w:val="0"/>
          <w:color w:val="auto"/>
          <w:kern w:val="0"/>
          <w:sz w:val="24"/>
          <w:highlight w:val="none"/>
        </w:rPr>
        <w:t>本工程：指</w:t>
      </w:r>
      <w:r>
        <w:rPr>
          <w:rFonts w:hint="eastAsia" w:ascii="宋体" w:hAnsi="宋体"/>
          <w:b w:val="0"/>
          <w:color w:val="auto"/>
          <w:sz w:val="24"/>
          <w:szCs w:val="24"/>
          <w:highlight w:val="none"/>
          <w:u w:val="single"/>
          <w:lang w:val="en-US" w:eastAsia="zh-CN"/>
        </w:rPr>
        <w:t>广东空天科技研究院风洞项目土地平整</w:t>
      </w:r>
      <w:r>
        <w:rPr>
          <w:rFonts w:hint="eastAsia" w:ascii="宋体" w:hAnsi="宋体"/>
          <w:bCs/>
          <w:snapToGrid w:val="0"/>
          <w:color w:val="auto"/>
          <w:kern w:val="0"/>
          <w:sz w:val="24"/>
          <w:highlight w:val="none"/>
          <w:u w:val="single"/>
          <w:lang w:eastAsia="zh-CN"/>
        </w:rPr>
        <w:t>工程</w:t>
      </w:r>
      <w:r>
        <w:rPr>
          <w:rFonts w:hint="eastAsia" w:ascii="宋体" w:hAnsi="宋体"/>
          <w:snapToGrid w:val="0"/>
          <w:color w:val="auto"/>
          <w:kern w:val="0"/>
          <w:sz w:val="24"/>
          <w:highlight w:val="none"/>
        </w:rPr>
        <w:t>。</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snapToGrid w:val="0"/>
          <w:color w:val="auto"/>
          <w:kern w:val="0"/>
          <w:sz w:val="24"/>
          <w:highlight w:val="none"/>
        </w:rPr>
        <w:t>甲方：指具有本工程勘察设计发包主体资格和支付本工程勘察设计合同价款能力的当事人，在本合同中特指</w:t>
      </w:r>
      <w:r>
        <w:rPr>
          <w:rFonts w:hint="eastAsia" w:ascii="宋体" w:hAnsi="宋体"/>
          <w:snapToGrid w:val="0"/>
          <w:color w:val="auto"/>
          <w:kern w:val="0"/>
          <w:sz w:val="24"/>
          <w:highlight w:val="none"/>
          <w:lang w:val="en-US" w:eastAsia="zh-CN"/>
        </w:rPr>
        <w:t>广州市南沙新区明珠湾开发建设管理局</w:t>
      </w:r>
      <w:r>
        <w:rPr>
          <w:rFonts w:hint="eastAsia" w:ascii="宋体" w:hAnsi="宋体"/>
          <w:snapToGrid w:val="0"/>
          <w:color w:val="auto"/>
          <w:kern w:val="0"/>
          <w:sz w:val="24"/>
          <w:highlight w:val="none"/>
        </w:rPr>
        <w:t>及其合法继承人。</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1.3</w:t>
      </w:r>
      <w:r>
        <w:rPr>
          <w:rFonts w:hint="eastAsia" w:ascii="宋体" w:hAnsi="宋体"/>
          <w:snapToGrid w:val="0"/>
          <w:color w:val="auto"/>
          <w:kern w:val="0"/>
          <w:sz w:val="24"/>
          <w:highlight w:val="none"/>
        </w:rPr>
        <w:t>乙方：</w:t>
      </w:r>
      <w:r>
        <w:rPr>
          <w:rFonts w:ascii="宋体" w:hAnsi="宋体"/>
          <w:snapToGrid w:val="0"/>
          <w:color w:val="auto"/>
          <w:kern w:val="0"/>
          <w:sz w:val="24"/>
          <w:highlight w:val="none"/>
        </w:rPr>
        <w:t>指在本合同中约定，被甲方接受的具有</w:t>
      </w:r>
      <w:r>
        <w:rPr>
          <w:rFonts w:hint="eastAsia" w:ascii="宋体" w:hAnsi="宋体"/>
          <w:snapToGrid w:val="0"/>
          <w:color w:val="auto"/>
          <w:kern w:val="0"/>
          <w:sz w:val="24"/>
          <w:highlight w:val="none"/>
        </w:rPr>
        <w:t>（</w:t>
      </w:r>
      <w:r>
        <w:rPr>
          <w:rFonts w:hint="eastAsia" w:ascii="宋体" w:hAnsi="宋体"/>
          <w:color w:val="auto"/>
          <w:sz w:val="24"/>
          <w:highlight w:val="none"/>
          <w:lang w:eastAsia="zh-CN"/>
        </w:rPr>
        <w:t>☑</w:t>
      </w:r>
      <w:r>
        <w:rPr>
          <w:rFonts w:ascii="宋体" w:hAnsi="宋体"/>
          <w:snapToGrid w:val="0"/>
          <w:color w:val="auto"/>
          <w:kern w:val="0"/>
          <w:sz w:val="24"/>
          <w:highlight w:val="none"/>
        </w:rPr>
        <w:t>工程勘察</w:t>
      </w:r>
      <w:r>
        <w:rPr>
          <w:rFonts w:hint="eastAsia" w:ascii="宋体" w:hAnsi="宋体"/>
          <w:snapToGrid w:val="0"/>
          <w:color w:val="auto"/>
          <w:kern w:val="0"/>
          <w:sz w:val="24"/>
          <w:highlight w:val="none"/>
        </w:rPr>
        <w:t>－初步</w:t>
      </w:r>
      <w:r>
        <w:rPr>
          <w:rFonts w:ascii="宋体" w:hAnsi="宋体"/>
          <w:snapToGrid w:val="0"/>
          <w:color w:val="auto"/>
          <w:kern w:val="0"/>
          <w:sz w:val="24"/>
          <w:highlight w:val="none"/>
        </w:rPr>
        <w:t>设计承包</w:t>
      </w:r>
      <w:r>
        <w:rPr>
          <w:rFonts w:hint="eastAsia" w:ascii="宋体" w:hAnsi="宋体"/>
          <w:snapToGrid w:val="0"/>
          <w:color w:val="auto"/>
          <w:kern w:val="0"/>
          <w:sz w:val="24"/>
          <w:highlight w:val="none"/>
        </w:rPr>
        <w:t>,</w:t>
      </w:r>
      <w:r>
        <w:rPr>
          <w:rFonts w:hint="eastAsia" w:ascii="宋体" w:hAnsi="宋体"/>
          <w:color w:val="auto"/>
          <w:sz w:val="24"/>
          <w:highlight w:val="none"/>
        </w:rPr>
        <w:t xml:space="preserve"> □</w:t>
      </w:r>
      <w:r>
        <w:rPr>
          <w:rFonts w:ascii="宋体" w:hAnsi="宋体"/>
          <w:snapToGrid w:val="0"/>
          <w:color w:val="auto"/>
          <w:kern w:val="0"/>
          <w:sz w:val="24"/>
          <w:highlight w:val="none"/>
        </w:rPr>
        <w:t>工程勘察</w:t>
      </w:r>
      <w:r>
        <w:rPr>
          <w:rFonts w:hint="eastAsia" w:ascii="宋体" w:hAnsi="宋体"/>
          <w:snapToGrid w:val="0"/>
          <w:color w:val="auto"/>
          <w:kern w:val="0"/>
          <w:sz w:val="24"/>
          <w:highlight w:val="none"/>
        </w:rPr>
        <w:t>－</w:t>
      </w:r>
      <w:r>
        <w:rPr>
          <w:rFonts w:ascii="宋体" w:hAnsi="宋体"/>
          <w:snapToGrid w:val="0"/>
          <w:color w:val="auto"/>
          <w:kern w:val="0"/>
          <w:sz w:val="24"/>
          <w:highlight w:val="none"/>
        </w:rPr>
        <w:t>设计</w:t>
      </w:r>
      <w:r>
        <w:rPr>
          <w:rFonts w:hint="eastAsia" w:ascii="宋体" w:hAnsi="宋体"/>
          <w:snapToGrid w:val="0"/>
          <w:color w:val="auto"/>
          <w:kern w:val="0"/>
          <w:sz w:val="24"/>
          <w:highlight w:val="none"/>
        </w:rPr>
        <w:t>总</w:t>
      </w:r>
      <w:r>
        <w:rPr>
          <w:rFonts w:ascii="宋体" w:hAnsi="宋体"/>
          <w:snapToGrid w:val="0"/>
          <w:color w:val="auto"/>
          <w:kern w:val="0"/>
          <w:sz w:val="24"/>
          <w:highlight w:val="none"/>
        </w:rPr>
        <w:t>承包</w:t>
      </w:r>
      <w:r>
        <w:rPr>
          <w:rFonts w:hint="eastAsia" w:ascii="宋体" w:hAnsi="宋体"/>
          <w:snapToGrid w:val="0"/>
          <w:color w:val="auto"/>
          <w:kern w:val="0"/>
          <w:sz w:val="24"/>
          <w:highlight w:val="none"/>
        </w:rPr>
        <w:t>,</w:t>
      </w:r>
      <w:r>
        <w:rPr>
          <w:rFonts w:hint="eastAsia" w:ascii="宋体" w:hAnsi="宋体"/>
          <w:color w:val="auto"/>
          <w:sz w:val="24"/>
          <w:highlight w:val="none"/>
          <w:lang w:eastAsia="zh-CN"/>
        </w:rPr>
        <w:t>□</w:t>
      </w:r>
      <w:r>
        <w:rPr>
          <w:rFonts w:ascii="宋体" w:hAnsi="宋体"/>
          <w:snapToGrid w:val="0"/>
          <w:color w:val="auto"/>
          <w:kern w:val="0"/>
          <w:sz w:val="24"/>
          <w:highlight w:val="none"/>
        </w:rPr>
        <w:t>工程设计承包</w:t>
      </w:r>
      <w:r>
        <w:rPr>
          <w:rFonts w:hint="eastAsia" w:ascii="宋体" w:hAnsi="宋体"/>
          <w:snapToGrid w:val="0"/>
          <w:color w:val="auto"/>
          <w:kern w:val="0"/>
          <w:sz w:val="24"/>
          <w:highlight w:val="none"/>
        </w:rPr>
        <w:t>）</w:t>
      </w:r>
      <w:r>
        <w:rPr>
          <w:rFonts w:ascii="宋体" w:hAnsi="宋体"/>
          <w:snapToGrid w:val="0"/>
          <w:color w:val="auto"/>
          <w:kern w:val="0"/>
          <w:sz w:val="24"/>
          <w:highlight w:val="none"/>
        </w:rPr>
        <w:t>主体资格的当事人以及取得该当事人资格的合法继承人。</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1.4</w:t>
      </w:r>
      <w:r>
        <w:rPr>
          <w:rFonts w:hint="eastAsia" w:ascii="宋体" w:hAnsi="宋体"/>
          <w:snapToGrid w:val="0"/>
          <w:color w:val="auto"/>
          <w:kern w:val="0"/>
          <w:sz w:val="24"/>
          <w:highlight w:val="none"/>
        </w:rPr>
        <w:t>专业勘察、设计单位：指与甲方直接签订勘察、设计合同且具有专项工程勘察、设计承包主体资格的当事人以及取得该当事人资格的合法继承人，即甲方另行发包单位；或者按照本合同约定与乙方签订勘察、设计分包合同且具有专项工程勘察、设计承包主体资格的当事人以及取得该当事人资格的合法继承人，即乙方分包单位。</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1.5</w:t>
      </w:r>
      <w:r>
        <w:rPr>
          <w:rFonts w:hint="eastAsia" w:ascii="宋体" w:hAnsi="宋体"/>
          <w:snapToGrid w:val="0"/>
          <w:color w:val="auto"/>
          <w:kern w:val="0"/>
          <w:sz w:val="24"/>
          <w:highlight w:val="none"/>
        </w:rPr>
        <w:t>工程负责人：指乙方委派的负责本合同工程(</w:t>
      </w:r>
      <w:r>
        <w:rPr>
          <w:rFonts w:hint="eastAsia" w:ascii="宋体" w:hAnsi="宋体"/>
          <w:color w:val="auto"/>
          <w:sz w:val="24"/>
          <w:highlight w:val="none"/>
          <w:lang w:eastAsia="zh-CN"/>
        </w:rPr>
        <w:t>☑</w:t>
      </w:r>
      <w:r>
        <w:rPr>
          <w:rFonts w:hint="eastAsia" w:ascii="宋体" w:hAnsi="宋体"/>
          <w:snapToGrid w:val="0"/>
          <w:color w:val="auto"/>
          <w:kern w:val="0"/>
          <w:sz w:val="24"/>
          <w:highlight w:val="none"/>
        </w:rPr>
        <w:t>勘察、</w:t>
      </w:r>
      <w:r>
        <w:rPr>
          <w:rFonts w:hint="eastAsia" w:ascii="宋体" w:hAnsi="宋体"/>
          <w:color w:val="auto"/>
          <w:sz w:val="24"/>
          <w:highlight w:val="none"/>
          <w:lang w:eastAsia="zh-CN"/>
        </w:rPr>
        <w:t>☑</w:t>
      </w:r>
      <w:r>
        <w:rPr>
          <w:rFonts w:hint="eastAsia" w:ascii="宋体" w:hAnsi="宋体"/>
          <w:snapToGrid w:val="0"/>
          <w:color w:val="auto"/>
          <w:kern w:val="0"/>
          <w:sz w:val="24"/>
          <w:highlight w:val="none"/>
        </w:rPr>
        <w:t>初步设计管理、</w:t>
      </w:r>
      <w:r>
        <w:rPr>
          <w:rFonts w:hint="eastAsia" w:ascii="宋体" w:hAnsi="宋体"/>
          <w:color w:val="auto"/>
          <w:sz w:val="24"/>
          <w:highlight w:val="none"/>
        </w:rPr>
        <w:t>□</w:t>
      </w:r>
      <w:r>
        <w:rPr>
          <w:rFonts w:hint="eastAsia" w:ascii="宋体" w:hAnsi="宋体"/>
          <w:snapToGrid w:val="0"/>
          <w:color w:val="auto"/>
          <w:kern w:val="0"/>
          <w:sz w:val="24"/>
          <w:highlight w:val="none"/>
        </w:rPr>
        <w:t>勘察设计总承包管理）和履行合同的代表。</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1.6</w:t>
      </w:r>
      <w:r>
        <w:rPr>
          <w:rFonts w:hint="eastAsia" w:ascii="宋体" w:hAnsi="宋体"/>
          <w:snapToGrid w:val="0"/>
          <w:color w:val="auto"/>
          <w:kern w:val="0"/>
          <w:sz w:val="24"/>
          <w:highlight w:val="none"/>
        </w:rPr>
        <w:t>(</w:t>
      </w:r>
      <w:r>
        <w:rPr>
          <w:rFonts w:hint="eastAsia" w:ascii="宋体" w:hAnsi="宋体"/>
          <w:color w:val="auto"/>
          <w:sz w:val="24"/>
          <w:highlight w:val="none"/>
          <w:lang w:eastAsia="zh-CN"/>
        </w:rPr>
        <w:t>☑</w:t>
      </w:r>
      <w:r>
        <w:rPr>
          <w:rFonts w:hint="eastAsia" w:ascii="宋体" w:hAnsi="宋体"/>
          <w:snapToGrid w:val="0"/>
          <w:color w:val="auto"/>
          <w:kern w:val="0"/>
          <w:sz w:val="24"/>
          <w:highlight w:val="none"/>
        </w:rPr>
        <w:t>勘察初步设计承包,</w:t>
      </w:r>
      <w:r>
        <w:rPr>
          <w:rFonts w:hint="eastAsia" w:ascii="宋体" w:hAnsi="宋体"/>
          <w:color w:val="auto"/>
          <w:sz w:val="24"/>
          <w:highlight w:val="none"/>
          <w:lang w:eastAsia="zh-CN"/>
        </w:rPr>
        <w:t>□</w:t>
      </w:r>
      <w:r>
        <w:rPr>
          <w:rFonts w:ascii="宋体" w:hAnsi="宋体"/>
          <w:snapToGrid w:val="0"/>
          <w:color w:val="auto"/>
          <w:kern w:val="0"/>
          <w:sz w:val="24"/>
          <w:highlight w:val="none"/>
        </w:rPr>
        <w:t>设计承包</w:t>
      </w:r>
      <w:r>
        <w:rPr>
          <w:rFonts w:hint="eastAsia" w:ascii="宋体" w:hAnsi="宋体"/>
          <w:snapToGrid w:val="0"/>
          <w:color w:val="auto"/>
          <w:kern w:val="0"/>
          <w:sz w:val="24"/>
          <w:highlight w:val="none"/>
        </w:rPr>
        <w:t>)：在本合同中特指乙方。</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1.7</w:t>
      </w:r>
      <w:r>
        <w:rPr>
          <w:rFonts w:hint="eastAsia" w:ascii="宋体" w:hAnsi="宋体"/>
          <w:snapToGrid w:val="0"/>
          <w:color w:val="auto"/>
          <w:kern w:val="0"/>
          <w:sz w:val="24"/>
          <w:highlight w:val="none"/>
        </w:rPr>
        <w:t>勘察设计总承包管理：指乙方按照本合同约定及项目建设管理需要对其总承包管理范围内的专业勘察、设计单位在</w:t>
      </w:r>
      <w:r>
        <w:rPr>
          <w:rFonts w:ascii="宋体" w:hAnsi="宋体"/>
          <w:snapToGrid w:val="0"/>
          <w:color w:val="auto"/>
          <w:kern w:val="0"/>
          <w:sz w:val="24"/>
          <w:highlight w:val="none"/>
        </w:rPr>
        <w:t>勘察、设计</w:t>
      </w:r>
      <w:r>
        <w:rPr>
          <w:rFonts w:hint="eastAsia" w:ascii="宋体" w:hAnsi="宋体"/>
          <w:snapToGrid w:val="0"/>
          <w:color w:val="auto"/>
          <w:kern w:val="0"/>
          <w:sz w:val="24"/>
          <w:highlight w:val="none"/>
        </w:rPr>
        <w:t>的</w:t>
      </w:r>
      <w:r>
        <w:rPr>
          <w:rFonts w:ascii="宋体" w:hAnsi="宋体"/>
          <w:snapToGrid w:val="0"/>
          <w:color w:val="auto"/>
          <w:kern w:val="0"/>
          <w:sz w:val="24"/>
          <w:highlight w:val="none"/>
        </w:rPr>
        <w:t>进度、质量</w:t>
      </w:r>
      <w:r>
        <w:rPr>
          <w:rFonts w:hint="eastAsia" w:ascii="宋体" w:hAnsi="宋体"/>
          <w:snapToGrid w:val="0"/>
          <w:color w:val="auto"/>
          <w:kern w:val="0"/>
          <w:sz w:val="24"/>
          <w:highlight w:val="none"/>
        </w:rPr>
        <w:t>、</w:t>
      </w:r>
      <w:r>
        <w:rPr>
          <w:rFonts w:hint="eastAsia" w:ascii="宋体" w:hAnsi="宋体"/>
          <w:bCs/>
          <w:snapToGrid w:val="0"/>
          <w:color w:val="auto"/>
          <w:kern w:val="0"/>
          <w:sz w:val="24"/>
          <w:highlight w:val="none"/>
        </w:rPr>
        <w:t>安全、</w:t>
      </w:r>
      <w:r>
        <w:rPr>
          <w:rFonts w:hint="eastAsia" w:ascii="宋体" w:hAnsi="宋体"/>
          <w:snapToGrid w:val="0"/>
          <w:color w:val="auto"/>
          <w:kern w:val="0"/>
          <w:sz w:val="24"/>
          <w:highlight w:val="none"/>
        </w:rPr>
        <w:t>工程</w:t>
      </w:r>
      <w:r>
        <w:rPr>
          <w:rFonts w:ascii="宋体" w:hAnsi="宋体"/>
          <w:snapToGrid w:val="0"/>
          <w:color w:val="auto"/>
          <w:kern w:val="0"/>
          <w:sz w:val="24"/>
          <w:highlight w:val="none"/>
        </w:rPr>
        <w:t>投资</w:t>
      </w:r>
      <w:r>
        <w:rPr>
          <w:rFonts w:hint="eastAsia" w:ascii="宋体" w:hAnsi="宋体"/>
          <w:snapToGrid w:val="0"/>
          <w:color w:val="auto"/>
          <w:kern w:val="0"/>
          <w:sz w:val="24"/>
          <w:highlight w:val="none"/>
        </w:rPr>
        <w:t>控制</w:t>
      </w:r>
      <w:r>
        <w:rPr>
          <w:rFonts w:hint="eastAsia" w:ascii="宋体" w:hAnsi="宋体"/>
          <w:bCs/>
          <w:snapToGrid w:val="0"/>
          <w:color w:val="auto"/>
          <w:kern w:val="0"/>
          <w:sz w:val="24"/>
          <w:highlight w:val="none"/>
        </w:rPr>
        <w:t>和勘察、设计配合协调、接口衔接等方面的管理</w:t>
      </w:r>
      <w:r>
        <w:rPr>
          <w:rFonts w:hint="eastAsia" w:ascii="宋体" w:hAnsi="宋体"/>
          <w:snapToGrid w:val="0"/>
          <w:color w:val="auto"/>
          <w:kern w:val="0"/>
          <w:sz w:val="24"/>
          <w:highlight w:val="none"/>
        </w:rPr>
        <w:t>。</w:t>
      </w:r>
    </w:p>
    <w:p>
      <w:pPr>
        <w:spacing w:line="360" w:lineRule="auto"/>
        <w:ind w:firstLine="422" w:firstLineChars="176"/>
        <w:rPr>
          <w:rFonts w:ascii="宋体" w:hAnsi="宋体"/>
          <w:snapToGrid w:val="0"/>
          <w:color w:val="auto"/>
          <w:kern w:val="0"/>
          <w:sz w:val="24"/>
          <w:highlight w:val="none"/>
        </w:rPr>
      </w:pPr>
      <w:r>
        <w:rPr>
          <w:rFonts w:hint="eastAsia" w:ascii="宋体" w:hAnsi="宋体"/>
          <w:color w:val="auto"/>
          <w:sz w:val="24"/>
          <w:highlight w:val="none"/>
          <w:lang w:eastAsia="zh-CN"/>
        </w:rPr>
        <w:t>☑</w:t>
      </w:r>
      <w:r>
        <w:rPr>
          <w:rFonts w:hint="eastAsia" w:ascii="宋体" w:hAnsi="宋体"/>
          <w:b/>
          <w:snapToGrid w:val="0"/>
          <w:color w:val="auto"/>
          <w:kern w:val="0"/>
          <w:sz w:val="24"/>
          <w:highlight w:val="none"/>
        </w:rPr>
        <w:t>1.8</w:t>
      </w:r>
      <w:r>
        <w:rPr>
          <w:rFonts w:hint="eastAsia" w:ascii="宋体" w:hAnsi="宋体"/>
          <w:snapToGrid w:val="0"/>
          <w:color w:val="auto"/>
          <w:kern w:val="0"/>
          <w:sz w:val="24"/>
          <w:highlight w:val="none"/>
        </w:rPr>
        <w:t>设计咨询单位：</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本工程的设计咨询单位由甲方确定</w:t>
      </w:r>
      <w:r>
        <w:rPr>
          <w:rFonts w:ascii="宋体" w:hAnsi="宋体"/>
          <w:snapToGrid w:val="0"/>
          <w:color w:val="auto"/>
          <w:kern w:val="0"/>
          <w:sz w:val="24"/>
          <w:highlight w:val="none"/>
        </w:rPr>
        <w:t>并</w:t>
      </w:r>
      <w:r>
        <w:rPr>
          <w:rFonts w:hint="eastAsia" w:ascii="宋体" w:hAnsi="宋体"/>
          <w:snapToGrid w:val="0"/>
          <w:color w:val="auto"/>
          <w:kern w:val="0"/>
          <w:sz w:val="24"/>
          <w:highlight w:val="none"/>
        </w:rPr>
        <w:t>另行通知。</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1.9</w:t>
      </w:r>
      <w:r>
        <w:rPr>
          <w:rFonts w:hint="eastAsia" w:ascii="宋体" w:hAnsi="宋体"/>
          <w:snapToGrid w:val="0"/>
          <w:color w:val="auto"/>
          <w:kern w:val="0"/>
          <w:sz w:val="24"/>
          <w:highlight w:val="none"/>
        </w:rPr>
        <w:t>甲方驻场代表：指甲方委派的履行本合同的驻场代表。</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1.10</w:t>
      </w:r>
      <w:r>
        <w:rPr>
          <w:rFonts w:hint="eastAsia" w:ascii="宋体" w:hAnsi="宋体"/>
          <w:snapToGrid w:val="0"/>
          <w:color w:val="auto"/>
          <w:kern w:val="0"/>
          <w:sz w:val="24"/>
          <w:highlight w:val="none"/>
        </w:rPr>
        <w:t>勘察、设计管理部门：指国务院有关部门、县级以上人民政府建设行政主管部门或机构。</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1.11</w:t>
      </w:r>
      <w:r>
        <w:rPr>
          <w:rFonts w:hint="eastAsia" w:ascii="宋体" w:hAnsi="宋体"/>
          <w:snapToGrid w:val="0"/>
          <w:color w:val="auto"/>
          <w:kern w:val="0"/>
          <w:sz w:val="24"/>
          <w:highlight w:val="none"/>
        </w:rPr>
        <w:t>勘察、设计：指乙方在本合同中约定的承包范围内的工程勘察、设计运作和勘察、设计服务。</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1.12</w:t>
      </w:r>
      <w:r>
        <w:rPr>
          <w:rFonts w:hint="eastAsia" w:ascii="宋体" w:hAnsi="宋体"/>
          <w:snapToGrid w:val="0"/>
          <w:color w:val="auto"/>
          <w:kern w:val="0"/>
          <w:sz w:val="24"/>
          <w:highlight w:val="none"/>
        </w:rPr>
        <w:t>勘察、设计成果文件：指由乙方及专业勘察、设计单位提交并通过初步设计审查，且经甲方及政府相关部门批准后，能满足投资与质量控制要求和作为下阶段设计依据的各阶段勘察、设计图纸、文件、计算书及说明书、效果图、政府报批所需的模型及存有</w:t>
      </w:r>
      <w:r>
        <w:rPr>
          <w:rFonts w:ascii="宋体" w:hAnsi="宋体"/>
          <w:snapToGrid w:val="0"/>
          <w:color w:val="auto"/>
          <w:kern w:val="0"/>
          <w:sz w:val="24"/>
          <w:highlight w:val="none"/>
        </w:rPr>
        <w:t>AUTOCAD dwg</w:t>
      </w:r>
      <w:r>
        <w:rPr>
          <w:rFonts w:hint="eastAsia" w:ascii="宋体" w:hAnsi="宋体"/>
          <w:snapToGrid w:val="0"/>
          <w:color w:val="auto"/>
          <w:kern w:val="0"/>
          <w:sz w:val="24"/>
          <w:highlight w:val="none"/>
        </w:rPr>
        <w:t>电子格式文件的光盘、概算、配合甲方招标工作而提供的技术规格书等技术资料。（注：乙方提供给甲方的</w:t>
      </w:r>
      <w:r>
        <w:rPr>
          <w:rFonts w:ascii="宋体" w:hAnsi="宋体"/>
          <w:snapToGrid w:val="0"/>
          <w:color w:val="auto"/>
          <w:kern w:val="0"/>
          <w:sz w:val="24"/>
          <w:highlight w:val="none"/>
        </w:rPr>
        <w:t>AUTOCAD</w:t>
      </w:r>
      <w:r>
        <w:rPr>
          <w:rFonts w:hint="eastAsia" w:ascii="宋体" w:hAnsi="宋体"/>
          <w:snapToGrid w:val="0"/>
          <w:color w:val="auto"/>
          <w:kern w:val="0"/>
          <w:sz w:val="24"/>
          <w:highlight w:val="none"/>
        </w:rPr>
        <w:t>文件应为CAD2004 天正三能打开的文件，并须提供各专业电子</w:t>
      </w:r>
      <w:r>
        <w:rPr>
          <w:rFonts w:ascii="宋体" w:hAnsi="宋体"/>
          <w:snapToGrid w:val="0"/>
          <w:color w:val="auto"/>
          <w:kern w:val="0"/>
          <w:sz w:val="24"/>
          <w:highlight w:val="none"/>
        </w:rPr>
        <w:t>设计文件相应字库</w:t>
      </w:r>
      <w:r>
        <w:rPr>
          <w:rFonts w:hint="eastAsia" w:ascii="宋体" w:hAnsi="宋体"/>
          <w:snapToGrid w:val="0"/>
          <w:color w:val="auto"/>
          <w:kern w:val="0"/>
          <w:sz w:val="24"/>
          <w:highlight w:val="none"/>
        </w:rPr>
        <w:t>。）</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b/>
          <w:snapToGrid w:val="0"/>
          <w:color w:val="auto"/>
          <w:kern w:val="0"/>
          <w:sz w:val="24"/>
          <w:highlight w:val="none"/>
          <w:lang w:val="en-US" w:eastAsia="zh-CN"/>
        </w:rPr>
        <w:t>3</w:t>
      </w:r>
      <w:r>
        <w:rPr>
          <w:rFonts w:hint="eastAsia" w:ascii="宋体" w:hAnsi="宋体"/>
          <w:snapToGrid w:val="0"/>
          <w:color w:val="auto"/>
          <w:kern w:val="0"/>
          <w:sz w:val="24"/>
          <w:highlight w:val="none"/>
        </w:rPr>
        <w:t>工程设计概算：指以初步设计为基础根据甲方的相关要求编制而成，且编制深度达到国家有关的编制规定的工程造价文件。</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b/>
          <w:snapToGrid w:val="0"/>
          <w:color w:val="auto"/>
          <w:kern w:val="0"/>
          <w:sz w:val="24"/>
          <w:highlight w:val="none"/>
          <w:lang w:val="en-US" w:eastAsia="zh-CN"/>
        </w:rPr>
        <w:t>4</w:t>
      </w:r>
      <w:r>
        <w:rPr>
          <w:rFonts w:hint="eastAsia" w:ascii="宋体" w:hAnsi="宋体"/>
          <w:snapToGrid w:val="0"/>
          <w:color w:val="auto"/>
          <w:kern w:val="0"/>
          <w:sz w:val="24"/>
          <w:highlight w:val="none"/>
        </w:rPr>
        <w:t>合同价款：指甲乙双方在本合同中约定，由甲方用以支付乙方按照合同约定完成勘察、设计总承包范围内工程勘察、设计、管理及服务的款项。</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b/>
          <w:snapToGrid w:val="0"/>
          <w:color w:val="auto"/>
          <w:kern w:val="0"/>
          <w:sz w:val="24"/>
          <w:highlight w:val="none"/>
          <w:lang w:val="en-US" w:eastAsia="zh-CN"/>
        </w:rPr>
        <w:t>5</w:t>
      </w:r>
      <w:r>
        <w:rPr>
          <w:rFonts w:hint="eastAsia" w:ascii="宋体" w:hAnsi="宋体"/>
          <w:snapToGrid w:val="0"/>
          <w:color w:val="auto"/>
          <w:kern w:val="0"/>
          <w:sz w:val="24"/>
          <w:highlight w:val="none"/>
        </w:rPr>
        <w:t>追加合同价款：指在合同履行中发生需要增加合同价款的情况，经甲方根据合同约定书面确认增加的合同价款。</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b/>
          <w:snapToGrid w:val="0"/>
          <w:color w:val="auto"/>
          <w:kern w:val="0"/>
          <w:sz w:val="24"/>
          <w:highlight w:val="none"/>
          <w:lang w:val="en-US" w:eastAsia="zh-CN"/>
        </w:rPr>
        <w:t>6</w:t>
      </w:r>
      <w:r>
        <w:rPr>
          <w:rFonts w:hint="eastAsia" w:ascii="宋体" w:hAnsi="宋体"/>
          <w:snapToGrid w:val="0"/>
          <w:color w:val="auto"/>
          <w:kern w:val="0"/>
          <w:sz w:val="24"/>
          <w:highlight w:val="none"/>
        </w:rPr>
        <w:t>勘察、设计周期：指甲乙双方在本合同中约定，按总日历天数（包括法定节假日）计算的提交勘察、设计成果文件的天数。</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b/>
          <w:snapToGrid w:val="0"/>
          <w:color w:val="auto"/>
          <w:kern w:val="0"/>
          <w:sz w:val="24"/>
          <w:highlight w:val="none"/>
          <w:lang w:val="en-US" w:eastAsia="zh-CN"/>
        </w:rPr>
        <w:t>7</w:t>
      </w:r>
      <w:r>
        <w:rPr>
          <w:rFonts w:hint="eastAsia" w:ascii="宋体" w:hAnsi="宋体"/>
          <w:snapToGrid w:val="0"/>
          <w:color w:val="auto"/>
          <w:kern w:val="0"/>
          <w:sz w:val="24"/>
          <w:highlight w:val="none"/>
        </w:rPr>
        <w:t>勘察、设计服务：指乙方在实施本工程初步设计、勘察设计现场服务各阶段工作的同时向甲方提供的技术咨询与管理咨询服务以及配合解决施工过程中有关设计问题，协助甲方实施工程、设备与材料的采购招标工作、设备与材料的看样定板、技术验收及工程验收等活动（包括乙方派出足够人员到施工现场进行勘察设计服务）。</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1.1</w:t>
      </w:r>
      <w:r>
        <w:rPr>
          <w:rFonts w:hint="eastAsia" w:ascii="宋体" w:hAnsi="宋体"/>
          <w:b/>
          <w:snapToGrid w:val="0"/>
          <w:color w:val="auto"/>
          <w:kern w:val="0"/>
          <w:sz w:val="24"/>
          <w:highlight w:val="none"/>
          <w:lang w:val="en-US" w:eastAsia="zh-CN"/>
        </w:rPr>
        <w:t>8</w:t>
      </w:r>
      <w:r>
        <w:rPr>
          <w:rFonts w:hint="eastAsia" w:ascii="宋体" w:hAnsi="宋体"/>
          <w:snapToGrid w:val="0"/>
          <w:color w:val="auto"/>
          <w:kern w:val="0"/>
          <w:sz w:val="24"/>
          <w:highlight w:val="none"/>
        </w:rPr>
        <w:t>完整性：指乙方每批次交付的文件是合同及附件中规定的全部文件，并保证与提交人自己保留的该部分文件完全一致。</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19</w:t>
      </w:r>
      <w:r>
        <w:rPr>
          <w:rFonts w:hint="eastAsia" w:ascii="宋体" w:hAnsi="宋体"/>
          <w:snapToGrid w:val="0"/>
          <w:color w:val="auto"/>
          <w:kern w:val="0"/>
          <w:sz w:val="24"/>
          <w:highlight w:val="none"/>
        </w:rPr>
        <w:t>有效性：指乙方每批次交付的文件均符合合同约定并符合现行相关规范和标准规定的要求。</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0</w:t>
      </w:r>
      <w:r>
        <w:rPr>
          <w:rFonts w:hint="eastAsia" w:ascii="宋体" w:hAnsi="宋体"/>
          <w:snapToGrid w:val="0"/>
          <w:color w:val="auto"/>
          <w:kern w:val="0"/>
          <w:sz w:val="24"/>
          <w:highlight w:val="none"/>
        </w:rPr>
        <w:t>正确性：指乙方每批次交付的勘察、设计成果文件均符本合同的有关约定，同时保证勘察、设计输入的基础资料完整、正确，勘察、设计方法、计算方法与结果、技术参数的选用正确、合理，构造合理，图面表达清楚、文字叙述准确，各专业勘察、设计协调统一。</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1</w:t>
      </w:r>
      <w:r>
        <w:rPr>
          <w:rFonts w:hint="eastAsia" w:ascii="宋体" w:hAnsi="宋体"/>
          <w:snapToGrid w:val="0"/>
          <w:color w:val="auto"/>
          <w:kern w:val="0"/>
          <w:sz w:val="24"/>
          <w:highlight w:val="none"/>
        </w:rPr>
        <w:t>经济合理性：指乙方提交的设计成果文件是在符合有效性要求的基础上，采用方案经济比选、价值工程等评价手段，经过甲方组织的评审产生确定的。</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2</w:t>
      </w:r>
      <w:r>
        <w:rPr>
          <w:rFonts w:hint="eastAsia" w:ascii="宋体" w:hAnsi="宋体"/>
          <w:snapToGrid w:val="0"/>
          <w:color w:val="auto"/>
          <w:kern w:val="0"/>
          <w:sz w:val="24"/>
          <w:highlight w:val="none"/>
        </w:rPr>
        <w:t>可靠性：指根据乙方的设计成果文件明示的条件情况投入的设备，所采用的工艺、工法满足技术控制指标要求，之后所形成的已完工程及投入使用的系统、生产工艺满足合同约定且能够在设计年限内充分、正常地实现其设计功能。</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3</w:t>
      </w:r>
      <w:r>
        <w:rPr>
          <w:rFonts w:hint="eastAsia" w:ascii="宋体" w:hAnsi="宋体"/>
          <w:snapToGrid w:val="0"/>
          <w:color w:val="auto"/>
          <w:kern w:val="0"/>
          <w:sz w:val="24"/>
          <w:highlight w:val="none"/>
        </w:rPr>
        <w:t>先进性：指乙方的设计成果文件</w:t>
      </w:r>
      <w:r>
        <w:rPr>
          <w:rFonts w:ascii="宋体" w:hAnsi="宋体"/>
          <w:snapToGrid w:val="0"/>
          <w:color w:val="auto"/>
          <w:kern w:val="0"/>
          <w:sz w:val="24"/>
          <w:highlight w:val="none"/>
        </w:rPr>
        <w:t>采用</w:t>
      </w:r>
      <w:r>
        <w:rPr>
          <w:rFonts w:hint="eastAsia" w:ascii="宋体" w:hAnsi="宋体"/>
          <w:snapToGrid w:val="0"/>
          <w:color w:val="auto"/>
          <w:kern w:val="0"/>
          <w:sz w:val="24"/>
          <w:highlight w:val="none"/>
        </w:rPr>
        <w:t>国际上先进和适用的施工方案、技术、工艺、工法、设备</w:t>
      </w:r>
      <w:r>
        <w:rPr>
          <w:rFonts w:ascii="宋体" w:hAnsi="宋体"/>
          <w:snapToGrid w:val="0"/>
          <w:color w:val="auto"/>
          <w:kern w:val="0"/>
          <w:sz w:val="24"/>
          <w:highlight w:val="none"/>
        </w:rPr>
        <w:t>，或</w:t>
      </w:r>
      <w:r>
        <w:rPr>
          <w:rFonts w:hint="eastAsia" w:ascii="宋体" w:hAnsi="宋体"/>
          <w:snapToGrid w:val="0"/>
          <w:color w:val="auto"/>
          <w:kern w:val="0"/>
          <w:sz w:val="24"/>
          <w:highlight w:val="none"/>
        </w:rPr>
        <w:t>所采用的施工方案、技术、工艺、工法、设备为国内最优（国内同行业中技术排名前五名以内）。</w:t>
      </w:r>
    </w:p>
    <w:p>
      <w:pPr>
        <w:spacing w:line="360" w:lineRule="auto"/>
        <w:ind w:firstLine="424" w:firstLineChars="176"/>
        <w:rPr>
          <w:rFonts w:ascii="宋体" w:hAnsi="宋体" w:cs="Arial"/>
          <w:b/>
          <w:bCs/>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4</w:t>
      </w:r>
      <w:r>
        <w:rPr>
          <w:rFonts w:hint="eastAsia" w:ascii="宋体" w:hAnsi="宋体"/>
          <w:snapToGrid w:val="0"/>
          <w:color w:val="auto"/>
          <w:kern w:val="0"/>
          <w:sz w:val="24"/>
          <w:highlight w:val="none"/>
        </w:rPr>
        <w:t>清晰：指乙方每次交付的勘察、设计成果文件中的图样、线条、术语、符号、尺寸标准、文字说明等清楚准确。</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5</w:t>
      </w:r>
      <w:r>
        <w:rPr>
          <w:rFonts w:hint="eastAsia" w:ascii="宋体" w:hAnsi="宋体"/>
          <w:snapToGrid w:val="0"/>
          <w:color w:val="auto"/>
          <w:kern w:val="0"/>
          <w:sz w:val="24"/>
          <w:highlight w:val="none"/>
        </w:rPr>
        <w:t>违约责任：指合同任何一方不履行或不完全履行合同约定的义务或者履行义务不符合合同约定所应承担的责任。</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（1）一般违约责任：指虽然违反本合同的约定，但其违约行为不对本合同的履行造成严重影响而应承担的责任。</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（2）严重违约责任。指违反本合同的约定且其违约行为足以对本合同的履行造成严重或实质性的影响而应承担的责任。</w:t>
      </w:r>
    </w:p>
    <w:p>
      <w:pPr>
        <w:spacing w:line="360" w:lineRule="auto"/>
        <w:ind w:firstLine="424" w:firstLineChars="176"/>
        <w:rPr>
          <w:rFonts w:ascii="宋体" w:hAnsi="宋体"/>
          <w:snapToGrid w:val="0"/>
          <w:color w:val="auto"/>
          <w:sz w:val="24"/>
          <w:highlight w:val="none"/>
        </w:rPr>
      </w:pPr>
      <w:r>
        <w:rPr>
          <w:rFonts w:hint="eastAsia" w:ascii="宋体" w:hAnsi="宋体"/>
          <w:b/>
          <w:snapToGrid w:val="0"/>
          <w:color w:val="auto"/>
          <w:sz w:val="24"/>
          <w:highlight w:val="none"/>
        </w:rPr>
        <w:t>1.2</w:t>
      </w:r>
      <w:r>
        <w:rPr>
          <w:rFonts w:hint="eastAsia" w:ascii="宋体" w:hAnsi="宋体"/>
          <w:b/>
          <w:snapToGrid w:val="0"/>
          <w:color w:val="auto"/>
          <w:sz w:val="24"/>
          <w:highlight w:val="none"/>
          <w:lang w:val="en-US" w:eastAsia="zh-CN"/>
        </w:rPr>
        <w:t>6</w:t>
      </w:r>
      <w:r>
        <w:rPr>
          <w:rFonts w:hint="eastAsia" w:ascii="宋体" w:hAnsi="宋体"/>
          <w:snapToGrid w:val="0"/>
          <w:color w:val="auto"/>
          <w:sz w:val="24"/>
          <w:highlight w:val="none"/>
        </w:rPr>
        <w:t>设计事故：指因乙方不履行或不完全履行合同约定的义务或履行的义务不符合合同约定，对本合同项目造成极其严重恶劣影响的行为。</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7</w:t>
      </w:r>
      <w:r>
        <w:rPr>
          <w:rFonts w:hint="eastAsia" w:ascii="宋体" w:hAnsi="宋体"/>
          <w:snapToGrid w:val="0"/>
          <w:color w:val="auto"/>
          <w:kern w:val="0"/>
          <w:sz w:val="24"/>
          <w:highlight w:val="none"/>
        </w:rPr>
        <w:t>索赔：指在合同履行过程中，对于并非自己的过错，而由对方造成的实际损失，根据合同的约定，向对方提出经济补偿或其他形式的补偿要求。</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1.2</w:t>
      </w:r>
      <w:r>
        <w:rPr>
          <w:rFonts w:hint="eastAsia" w:ascii="宋体" w:hAnsi="宋体"/>
          <w:b/>
          <w:snapToGrid w:val="0"/>
          <w:color w:val="auto"/>
          <w:kern w:val="0"/>
          <w:sz w:val="24"/>
          <w:highlight w:val="none"/>
          <w:lang w:val="en-US" w:eastAsia="zh-CN"/>
        </w:rPr>
        <w:t>8</w:t>
      </w:r>
      <w:r>
        <w:rPr>
          <w:rFonts w:hint="eastAsia" w:ascii="宋体" w:hAnsi="宋体"/>
          <w:snapToGrid w:val="0"/>
          <w:color w:val="auto"/>
          <w:kern w:val="0"/>
          <w:sz w:val="24"/>
          <w:highlight w:val="none"/>
        </w:rPr>
        <w:t>通知、同意、指令、证明和决定：指经甲方认可或按公开、规范的程序授权的驻场代表、勘察、设计负责人分别签字或盖章的书面通知、同意、指令、证明和决定。</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29</w:t>
      </w:r>
      <w:r>
        <w:rPr>
          <w:rFonts w:hint="eastAsia" w:ascii="宋体" w:hAnsi="宋体"/>
          <w:snapToGrid w:val="0"/>
          <w:color w:val="auto"/>
          <w:kern w:val="0"/>
          <w:sz w:val="24"/>
          <w:highlight w:val="none"/>
        </w:rPr>
        <w:t>书面材料：指合同书、信件和数据电文（电报、电传、传真、电子数据交换、电子邮件）等可以有形地表现所载内容的文件。</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1.3</w:t>
      </w:r>
      <w:r>
        <w:rPr>
          <w:rFonts w:hint="eastAsia" w:ascii="宋体" w:hAnsi="宋体"/>
          <w:b/>
          <w:snapToGrid w:val="0"/>
          <w:color w:val="auto"/>
          <w:kern w:val="0"/>
          <w:sz w:val="24"/>
          <w:highlight w:val="none"/>
          <w:lang w:val="en-US" w:eastAsia="zh-CN"/>
        </w:rPr>
        <w:t>0</w:t>
      </w:r>
      <w:r>
        <w:rPr>
          <w:rFonts w:hint="eastAsia" w:ascii="宋体" w:hAnsi="宋体"/>
          <w:snapToGrid w:val="0"/>
          <w:color w:val="auto"/>
          <w:kern w:val="0"/>
          <w:sz w:val="24"/>
          <w:highlight w:val="none"/>
        </w:rPr>
        <w:t>天或月：规定按天计算时间的均指日历天，开始当天不计入，从次日开始计算；时限的最后一天是休息日或其他法定节假日的，以休息日或其他法定节假日结束后的次日为时限的最后一天；时限最后一天的截止时间为当日24时。月指日历月。</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1.3</w:t>
      </w:r>
      <w:r>
        <w:rPr>
          <w:rFonts w:hint="eastAsia" w:ascii="宋体" w:hAnsi="宋体"/>
          <w:b/>
          <w:snapToGrid w:val="0"/>
          <w:color w:val="auto"/>
          <w:kern w:val="0"/>
          <w:sz w:val="24"/>
          <w:highlight w:val="none"/>
          <w:lang w:val="en-US" w:eastAsia="zh-CN"/>
        </w:rPr>
        <w:t>1</w:t>
      </w:r>
      <w:r>
        <w:rPr>
          <w:rFonts w:hint="eastAsia" w:ascii="宋体" w:hAnsi="宋体"/>
          <w:snapToGrid w:val="0"/>
          <w:color w:val="auto"/>
          <w:kern w:val="0"/>
          <w:sz w:val="24"/>
          <w:highlight w:val="none"/>
        </w:rPr>
        <w:t>中国或国家：指中华人民共和国。</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1.3</w:t>
      </w:r>
      <w:r>
        <w:rPr>
          <w:rFonts w:hint="eastAsia" w:ascii="宋体" w:hAnsi="宋体"/>
          <w:b/>
          <w:snapToGrid w:val="0"/>
          <w:color w:val="auto"/>
          <w:kern w:val="0"/>
          <w:sz w:val="24"/>
          <w:highlight w:val="none"/>
          <w:lang w:val="en-US" w:eastAsia="zh-CN"/>
        </w:rPr>
        <w:t>2</w:t>
      </w:r>
      <w:r>
        <w:rPr>
          <w:rFonts w:hint="eastAsia" w:ascii="宋体" w:hAnsi="宋体"/>
          <w:snapToGrid w:val="0"/>
          <w:color w:val="auto"/>
          <w:kern w:val="0"/>
          <w:sz w:val="24"/>
          <w:highlight w:val="none"/>
        </w:rPr>
        <w:t>国内：指中华人民共和国大陆境内。</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1.3</w:t>
      </w:r>
      <w:r>
        <w:rPr>
          <w:rFonts w:hint="eastAsia" w:ascii="宋体" w:hAnsi="宋体"/>
          <w:b/>
          <w:bCs/>
          <w:snapToGrid w:val="0"/>
          <w:color w:val="auto"/>
          <w:kern w:val="0"/>
          <w:sz w:val="24"/>
          <w:highlight w:val="none"/>
          <w:lang w:val="en-US" w:eastAsia="zh-CN"/>
        </w:rPr>
        <w:t>3</w:t>
      </w:r>
      <w:r>
        <w:rPr>
          <w:rFonts w:hint="eastAsia" w:ascii="宋体" w:hAnsi="宋体"/>
          <w:bCs/>
          <w:snapToGrid w:val="0"/>
          <w:color w:val="auto"/>
          <w:kern w:val="0"/>
          <w:sz w:val="24"/>
          <w:highlight w:val="none"/>
        </w:rPr>
        <w:t>元：指人民币元。</w:t>
      </w:r>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9" w:name="_Toc472802235"/>
      <w:r>
        <w:rPr>
          <w:rFonts w:hint="eastAsia" w:ascii="宋体" w:hAnsi="宋体"/>
          <w:snapToGrid w:val="0"/>
          <w:color w:val="auto"/>
          <w:kern w:val="0"/>
          <w:sz w:val="24"/>
          <w:szCs w:val="24"/>
          <w:highlight w:val="none"/>
        </w:rPr>
        <w:t>2、语言文字和适用法律、标准及规范</w:t>
      </w:r>
      <w:bookmarkEnd w:id="9"/>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2.1</w:t>
      </w:r>
      <w:r>
        <w:rPr>
          <w:rFonts w:hint="eastAsia" w:ascii="宋体" w:hAnsi="宋体"/>
          <w:snapToGrid w:val="0"/>
          <w:color w:val="auto"/>
          <w:kern w:val="0"/>
          <w:sz w:val="24"/>
          <w:highlight w:val="none"/>
        </w:rPr>
        <w:t>语言文字：本合同及其补充协议、甲乙双方来往文件、本工程的所有勘察、设计文件和资料等均使用中国汉语言文字书写、解释和说明。使用其他文字书写的对双方均不具有法律约束力，但如翻译成中国汉语言文字并经双方签字（盖章）确认的，则对双方均具有法律约束力。</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2.2</w:t>
      </w:r>
      <w:r>
        <w:rPr>
          <w:rFonts w:hint="eastAsia" w:ascii="宋体" w:hAnsi="宋体"/>
          <w:snapToGrid w:val="0"/>
          <w:color w:val="auto"/>
          <w:kern w:val="0"/>
          <w:sz w:val="24"/>
          <w:highlight w:val="none"/>
        </w:rPr>
        <w:t>适用法律、标准及规范。乙方交付的勘察、设计成果文件应符合中国的有关法律、法规、规章的规定和相关的工程勘察、设计技术规范、规定及标准的要求。勘察、设计中如遇国家和地方无相应规范、标准、依据的，由乙方提出建议，由甲方报送有关主管部门审查确认所采用的标准、规定、依据或其解释。</w:t>
      </w:r>
    </w:p>
    <w:p>
      <w:pPr>
        <w:pStyle w:val="6"/>
        <w:spacing w:before="0" w:after="0" w:line="360" w:lineRule="auto"/>
        <w:ind w:firstLine="424" w:firstLineChars="176"/>
        <w:rPr>
          <w:rFonts w:ascii="宋体" w:hAnsi="宋体"/>
          <w:b w:val="0"/>
          <w:snapToGrid w:val="0"/>
          <w:color w:val="auto"/>
          <w:kern w:val="0"/>
          <w:sz w:val="24"/>
          <w:szCs w:val="24"/>
          <w:highlight w:val="none"/>
        </w:rPr>
      </w:pPr>
      <w:bookmarkStart w:id="10" w:name="_Toc472802236"/>
      <w:r>
        <w:rPr>
          <w:rFonts w:hint="eastAsia" w:ascii="宋体" w:hAnsi="宋体"/>
          <w:snapToGrid w:val="0"/>
          <w:color w:val="auto"/>
          <w:kern w:val="0"/>
          <w:sz w:val="24"/>
          <w:szCs w:val="24"/>
          <w:highlight w:val="none"/>
        </w:rPr>
        <w:t>3、本合同签订依据</w:t>
      </w:r>
      <w:bookmarkEnd w:id="10"/>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w:t>
      </w:r>
      <w:r>
        <w:rPr>
          <w:rFonts w:ascii="宋体" w:hAnsi="宋体"/>
          <w:snapToGrid w:val="0"/>
          <w:color w:val="auto"/>
          <w:kern w:val="0"/>
          <w:sz w:val="24"/>
          <w:highlight w:val="none"/>
        </w:rPr>
        <w:t>中华人民共和国合同法；</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w:t>
      </w:r>
      <w:r>
        <w:rPr>
          <w:rFonts w:ascii="宋体" w:hAnsi="宋体"/>
          <w:snapToGrid w:val="0"/>
          <w:color w:val="auto"/>
          <w:kern w:val="0"/>
          <w:sz w:val="24"/>
          <w:highlight w:val="none"/>
        </w:rPr>
        <w:t>中华人民共和国建筑法；</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w:t>
      </w:r>
      <w:r>
        <w:rPr>
          <w:rFonts w:ascii="宋体" w:hAnsi="宋体"/>
          <w:snapToGrid w:val="0"/>
          <w:color w:val="auto"/>
          <w:kern w:val="0"/>
          <w:sz w:val="24"/>
          <w:highlight w:val="none"/>
        </w:rPr>
        <w:t>中华人民共和国城</w:t>
      </w:r>
      <w:r>
        <w:rPr>
          <w:rFonts w:hint="eastAsia" w:ascii="宋体" w:hAnsi="宋体"/>
          <w:snapToGrid w:val="0"/>
          <w:color w:val="auto"/>
          <w:kern w:val="0"/>
          <w:sz w:val="24"/>
          <w:highlight w:val="none"/>
        </w:rPr>
        <w:t>乡</w:t>
      </w:r>
      <w:r>
        <w:rPr>
          <w:rFonts w:ascii="宋体" w:hAnsi="宋体"/>
          <w:snapToGrid w:val="0"/>
          <w:color w:val="auto"/>
          <w:kern w:val="0"/>
          <w:sz w:val="24"/>
          <w:highlight w:val="none"/>
        </w:rPr>
        <w:t>规划法；</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w:t>
      </w:r>
      <w:r>
        <w:rPr>
          <w:rFonts w:ascii="宋体" w:hAnsi="宋体"/>
          <w:snapToGrid w:val="0"/>
          <w:color w:val="auto"/>
          <w:kern w:val="0"/>
          <w:sz w:val="24"/>
          <w:highlight w:val="none"/>
        </w:rPr>
        <w:t>中华人民共和国</w:t>
      </w:r>
      <w:r>
        <w:rPr>
          <w:rFonts w:hint="eastAsia" w:ascii="宋体" w:hAnsi="宋体"/>
          <w:snapToGrid w:val="0"/>
          <w:color w:val="auto"/>
          <w:kern w:val="0"/>
          <w:sz w:val="24"/>
          <w:highlight w:val="none"/>
        </w:rPr>
        <w:t>招标投标</w:t>
      </w:r>
      <w:r>
        <w:rPr>
          <w:rFonts w:ascii="宋体" w:hAnsi="宋体"/>
          <w:snapToGrid w:val="0"/>
          <w:color w:val="auto"/>
          <w:kern w:val="0"/>
          <w:sz w:val="24"/>
          <w:highlight w:val="none"/>
        </w:rPr>
        <w:t>法；</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（5）</w:t>
      </w:r>
      <w:r>
        <w:rPr>
          <w:rFonts w:ascii="宋体" w:hAnsi="宋体"/>
          <w:snapToGrid w:val="0"/>
          <w:color w:val="auto"/>
          <w:kern w:val="0"/>
          <w:sz w:val="24"/>
          <w:highlight w:val="none"/>
        </w:rPr>
        <w:t>建设工程勘察设计管理条例；</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（6）</w:t>
      </w:r>
      <w:r>
        <w:rPr>
          <w:rFonts w:ascii="宋体" w:hAnsi="宋体"/>
          <w:snapToGrid w:val="0"/>
          <w:color w:val="auto"/>
          <w:kern w:val="0"/>
          <w:sz w:val="24"/>
          <w:highlight w:val="none"/>
        </w:rPr>
        <w:t>建设工程质量管理条例；</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（7）</w:t>
      </w:r>
      <w:r>
        <w:rPr>
          <w:rFonts w:ascii="宋体" w:hAnsi="宋体"/>
          <w:snapToGrid w:val="0"/>
          <w:color w:val="auto"/>
          <w:kern w:val="0"/>
          <w:sz w:val="24"/>
          <w:highlight w:val="none"/>
        </w:rPr>
        <w:t>《建筑工程设计文件编制深度规定》（</w:t>
      </w:r>
      <w:r>
        <w:rPr>
          <w:rFonts w:hint="eastAsia" w:ascii="宋体" w:hAnsi="宋体"/>
          <w:snapToGrid w:val="0"/>
          <w:color w:val="auto"/>
          <w:kern w:val="0"/>
          <w:sz w:val="24"/>
          <w:highlight w:val="none"/>
        </w:rPr>
        <w:t>2016</w:t>
      </w:r>
      <w:r>
        <w:rPr>
          <w:rFonts w:ascii="宋体" w:hAnsi="宋体"/>
          <w:snapToGrid w:val="0"/>
          <w:color w:val="auto"/>
          <w:kern w:val="0"/>
          <w:sz w:val="24"/>
          <w:highlight w:val="none"/>
        </w:rPr>
        <w:t>年版）；</w:t>
      </w:r>
    </w:p>
    <w:p>
      <w:pPr>
        <w:spacing w:line="360" w:lineRule="auto"/>
        <w:ind w:firstLine="422" w:firstLineChars="176"/>
        <w:rPr>
          <w:rFonts w:ascii="宋体" w:hAnsi="宋体"/>
          <w:snapToGrid w:val="0"/>
          <w:color w:val="auto"/>
          <w:kern w:val="0"/>
          <w:sz w:val="24"/>
          <w:highlight w:val="none"/>
        </w:rPr>
      </w:pPr>
      <w:r>
        <w:rPr>
          <w:rFonts w:hint="eastAsia" w:ascii="宋体" w:hAnsi="宋体"/>
          <w:bCs/>
          <w:snapToGrid w:val="0"/>
          <w:color w:val="auto"/>
          <w:kern w:val="0"/>
          <w:sz w:val="24"/>
          <w:highlight w:val="none"/>
        </w:rPr>
        <w:t>（8</w:t>
      </w:r>
      <w:r>
        <w:rPr>
          <w:rFonts w:ascii="宋体" w:hAnsi="宋体"/>
          <w:bCs/>
          <w:snapToGrid w:val="0"/>
          <w:color w:val="auto"/>
          <w:kern w:val="0"/>
          <w:sz w:val="24"/>
          <w:highlight w:val="none"/>
        </w:rPr>
        <w:t>）</w:t>
      </w:r>
      <w:r>
        <w:rPr>
          <w:rFonts w:hint="eastAsia" w:ascii="宋体" w:hAnsi="宋体"/>
          <w:bCs/>
          <w:snapToGrid w:val="0"/>
          <w:color w:val="auto"/>
          <w:kern w:val="0"/>
          <w:sz w:val="24"/>
          <w:highlight w:val="none"/>
        </w:rPr>
        <w:t>《市政公用工程设计文件编制深度规定》（2013年版）；</w:t>
      </w:r>
    </w:p>
    <w:p>
      <w:pPr>
        <w:spacing w:line="360" w:lineRule="auto"/>
        <w:ind w:firstLine="422" w:firstLineChars="176"/>
        <w:rPr>
          <w:rFonts w:ascii="宋体" w:hAnsi="宋体"/>
          <w:bCs/>
          <w:snapToGrid w:val="0"/>
          <w:color w:val="auto"/>
          <w:kern w:val="0"/>
          <w:sz w:val="24"/>
          <w:highlight w:val="none"/>
        </w:rPr>
      </w:pPr>
      <w:r>
        <w:rPr>
          <w:rFonts w:hint="eastAsia" w:ascii="宋体" w:hAnsi="宋体"/>
          <w:snapToGrid w:val="0"/>
          <w:color w:val="auto"/>
          <w:kern w:val="0"/>
          <w:sz w:val="24"/>
          <w:highlight w:val="none"/>
        </w:rPr>
        <w:t>（9）合同协议书第</w:t>
      </w:r>
      <w:r>
        <w:rPr>
          <w:rFonts w:hint="eastAsia" w:ascii="宋体" w:hAnsi="宋体"/>
          <w:bCs/>
          <w:snapToGrid w:val="0"/>
          <w:color w:val="auto"/>
          <w:kern w:val="0"/>
          <w:sz w:val="24"/>
          <w:highlight w:val="none"/>
        </w:rPr>
        <w:t>5.1款第（1）项、第（4）项、第（6）项、第（7）项、第（8）项、第（9）项、第（10）项所约定的有关文件；</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（10）建设项目</w:t>
      </w:r>
      <w:r>
        <w:rPr>
          <w:rFonts w:ascii="宋体" w:hAnsi="宋体"/>
          <w:snapToGrid w:val="0"/>
          <w:color w:val="auto"/>
          <w:kern w:val="0"/>
          <w:sz w:val="24"/>
          <w:highlight w:val="none"/>
        </w:rPr>
        <w:t>批准文件</w:t>
      </w:r>
      <w:r>
        <w:rPr>
          <w:rFonts w:hint="eastAsia" w:ascii="宋体" w:hAnsi="宋体"/>
          <w:snapToGrid w:val="0"/>
          <w:color w:val="auto"/>
          <w:kern w:val="0"/>
          <w:sz w:val="24"/>
          <w:highlight w:val="none"/>
        </w:rPr>
        <w:t>（包括但不限于立项批复文件、规划部门认可的用地红线和地形图、规划建设主管部门对本合同约定项目的规划设计要点）；</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（11）勘察设计任务书；</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（12）本合同约定的项目基础资料，包括用地红线坐标（表）、场地标高、现有市政设施图的资料（绿化、道路、管线、建构筑物等）等；</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（13）设计和建设过程中的政府审批意见，政府或甲方委托或组织的评审机构（会议）提出的或甲方发出的阶段性书面意见，双方来往的与双方权利义务有关的各类书面文件、会议纪要等；</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（14）乙方参加投标的方案、评标委员会的意见、甲方提出的修改意见，和版权属于甲方的其他投标方案。</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上述法律法规及有关文件应是现行有效的，如国家或有关部门对上述法律法规及有关文件进行修改或补充并提出新的要求，双方均应按新的要求执行，必要时另行签订补充合同。</w:t>
      </w:r>
    </w:p>
    <w:p>
      <w:pPr>
        <w:spacing w:line="360" w:lineRule="auto"/>
        <w:ind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11" w:name="_Toc472802237"/>
      <w:r>
        <w:rPr>
          <w:rFonts w:hint="eastAsia"/>
          <w:color w:val="auto"/>
          <w:sz w:val="30"/>
          <w:szCs w:val="30"/>
          <w:highlight w:val="none"/>
        </w:rPr>
        <w:t>第二章  勘察设计承包</w:t>
      </w:r>
      <w:bookmarkEnd w:id="11"/>
    </w:p>
    <w:p>
      <w:pPr>
        <w:pStyle w:val="6"/>
        <w:spacing w:before="0" w:after="0" w:line="360" w:lineRule="auto"/>
        <w:ind w:firstLine="424" w:firstLineChars="176"/>
        <w:rPr>
          <w:rFonts w:ascii="宋体" w:hAnsi="宋体"/>
          <w:b w:val="0"/>
          <w:snapToGrid w:val="0"/>
          <w:color w:val="auto"/>
          <w:kern w:val="0"/>
          <w:sz w:val="24"/>
          <w:szCs w:val="24"/>
          <w:highlight w:val="none"/>
        </w:rPr>
      </w:pPr>
      <w:bookmarkStart w:id="12" w:name="_Toc472802238"/>
      <w:r>
        <w:rPr>
          <w:rFonts w:hint="eastAsia" w:ascii="宋体" w:hAnsi="宋体"/>
          <w:snapToGrid w:val="0"/>
          <w:color w:val="auto"/>
          <w:kern w:val="0"/>
          <w:sz w:val="24"/>
          <w:szCs w:val="24"/>
          <w:highlight w:val="none"/>
        </w:rPr>
        <w:t>4、勘察设计承包管理</w:t>
      </w:r>
      <w:bookmarkEnd w:id="12"/>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4.1</w:t>
      </w:r>
      <w:r>
        <w:rPr>
          <w:rFonts w:hint="eastAsia" w:ascii="宋体" w:hAnsi="宋体"/>
          <w:snapToGrid w:val="0"/>
          <w:color w:val="auto"/>
          <w:kern w:val="0"/>
          <w:sz w:val="24"/>
          <w:highlight w:val="none"/>
        </w:rPr>
        <w:t>如乙方为联合体，则设计单位为联合体主办人，联合体主办人代表乙方承担责任和接受甲方指令、指示和通知，并根据合同条款的约定进行勘察设计承包及配合协调服务工作。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4.2</w:t>
      </w:r>
      <w:r>
        <w:rPr>
          <w:rFonts w:hint="eastAsia" w:ascii="宋体" w:hAnsi="宋体"/>
          <w:snapToGrid w:val="0"/>
          <w:color w:val="auto"/>
          <w:kern w:val="0"/>
          <w:sz w:val="24"/>
          <w:highlight w:val="none"/>
        </w:rPr>
        <w:t>乙方应按合同约定及项目建设管理需要做好下列勘察设计承包管理及配合协调服务工作（包括但不限于）：</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（1）对其承包管理范围内的专业勘察、设计单位在</w:t>
      </w:r>
      <w:r>
        <w:rPr>
          <w:rFonts w:ascii="宋体" w:hAnsi="宋体"/>
          <w:snapToGrid w:val="0"/>
          <w:color w:val="auto"/>
          <w:kern w:val="0"/>
          <w:sz w:val="24"/>
          <w:highlight w:val="none"/>
        </w:rPr>
        <w:t>勘察、设计</w:t>
      </w:r>
      <w:r>
        <w:rPr>
          <w:rFonts w:hint="eastAsia" w:ascii="宋体" w:hAnsi="宋体"/>
          <w:snapToGrid w:val="0"/>
          <w:color w:val="auto"/>
          <w:kern w:val="0"/>
          <w:sz w:val="24"/>
          <w:highlight w:val="none"/>
        </w:rPr>
        <w:t>的</w:t>
      </w:r>
      <w:r>
        <w:rPr>
          <w:rFonts w:ascii="宋体" w:hAnsi="宋体"/>
          <w:snapToGrid w:val="0"/>
          <w:color w:val="auto"/>
          <w:kern w:val="0"/>
          <w:sz w:val="24"/>
          <w:highlight w:val="none"/>
        </w:rPr>
        <w:t>进度、质量</w:t>
      </w:r>
      <w:r>
        <w:rPr>
          <w:rFonts w:hint="eastAsia" w:ascii="宋体" w:hAnsi="宋体"/>
          <w:snapToGrid w:val="0"/>
          <w:color w:val="auto"/>
          <w:kern w:val="0"/>
          <w:sz w:val="24"/>
          <w:highlight w:val="none"/>
        </w:rPr>
        <w:t>、</w:t>
      </w:r>
      <w:r>
        <w:rPr>
          <w:rFonts w:hint="eastAsia" w:ascii="宋体" w:hAnsi="宋体"/>
          <w:bCs/>
          <w:snapToGrid w:val="0"/>
          <w:color w:val="auto"/>
          <w:kern w:val="0"/>
          <w:sz w:val="24"/>
          <w:highlight w:val="none"/>
        </w:rPr>
        <w:t>安全、</w:t>
      </w:r>
      <w:r>
        <w:rPr>
          <w:rFonts w:hint="eastAsia" w:ascii="宋体" w:hAnsi="宋体"/>
          <w:snapToGrid w:val="0"/>
          <w:color w:val="auto"/>
          <w:kern w:val="0"/>
          <w:sz w:val="24"/>
          <w:highlight w:val="none"/>
        </w:rPr>
        <w:t>工程</w:t>
      </w:r>
      <w:r>
        <w:rPr>
          <w:rFonts w:ascii="宋体" w:hAnsi="宋体"/>
          <w:snapToGrid w:val="0"/>
          <w:color w:val="auto"/>
          <w:kern w:val="0"/>
          <w:sz w:val="24"/>
          <w:highlight w:val="none"/>
        </w:rPr>
        <w:t>投资</w:t>
      </w:r>
      <w:r>
        <w:rPr>
          <w:rFonts w:hint="eastAsia" w:ascii="宋体" w:hAnsi="宋体"/>
          <w:snapToGrid w:val="0"/>
          <w:color w:val="auto"/>
          <w:kern w:val="0"/>
          <w:sz w:val="24"/>
          <w:highlight w:val="none"/>
        </w:rPr>
        <w:t>控制</w:t>
      </w:r>
      <w:r>
        <w:rPr>
          <w:rFonts w:hint="eastAsia" w:ascii="宋体" w:hAnsi="宋体"/>
          <w:bCs/>
          <w:snapToGrid w:val="0"/>
          <w:color w:val="auto"/>
          <w:kern w:val="0"/>
          <w:sz w:val="24"/>
          <w:highlight w:val="none"/>
        </w:rPr>
        <w:t>和勘察、设计配合协调、接口衔接等方面进行管理</w:t>
      </w:r>
      <w:r>
        <w:rPr>
          <w:rFonts w:hint="eastAsia" w:ascii="宋体" w:hAnsi="宋体"/>
          <w:snapToGrid w:val="0"/>
          <w:color w:val="auto"/>
          <w:kern w:val="0"/>
          <w:sz w:val="24"/>
          <w:highlight w:val="none"/>
        </w:rPr>
        <w:t>，确保各勘察、设计单位之间的勘察、设计界面和工作内容清晰，不出现勘察、设计重复或交叉的现象，并保证本工程各专业接口及与周边工程接口（包括与市政工程接口）的良好衔接。</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（2）乙方应在实施本工程初步设计、勘察设计现场服务各阶段向甲方提供技术咨询与管理咨询，配合施工图设计。</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对于在乙方提交的勘察、设计成果文件的基础上由甲方另行发包的设计单位进行的施工图设计等工作，乙方除须对该设计单位提交给甲方的勘察、设计成果文件的完整性、有效性进行预审把关外，还须积极配合相关的设计工作，提供相关的勘察、设计成果文件（包括但不限于报告、数据、图表、设计图纸、设计说明、相关的计算原理和方法等），不得以专利和知识产权为借口拒绝配合。</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乙方应积极主动进行与项目有关的内、外协调工作，积极配合与规划、市政、交通、水利、电力、环保、消防、卫生、煤气、人防等部门和单位的协调，并负责向有关部门办理勘察、设计文件报建和审批工作，保证勘察、设计文件通过主管部门的审查。</w:t>
      </w:r>
    </w:p>
    <w:p>
      <w:pPr>
        <w:spacing w:line="360" w:lineRule="auto"/>
        <w:ind w:firstLine="422" w:firstLineChars="17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（5）乙方应编制勘察设计总进度计划，季度计划，并负责审核专业勘察、设计单位的实施性计划、月度计划，定期对专业勘察、设计单位进行月度计划检查。</w:t>
      </w:r>
    </w:p>
    <w:p>
      <w:pPr>
        <w:spacing w:line="360" w:lineRule="auto"/>
        <w:ind w:firstLine="422" w:firstLineChars="176"/>
        <w:rPr>
          <w:rFonts w:hint="eastAsia" w:ascii="宋体" w:hAnsi="宋体"/>
          <w:snapToGrid w:val="0"/>
          <w:color w:val="auto"/>
          <w:kern w:val="0"/>
          <w:sz w:val="24"/>
          <w:highlight w:val="none"/>
        </w:rPr>
      </w:pPr>
    </w:p>
    <w:p>
      <w:pPr>
        <w:pStyle w:val="4"/>
        <w:jc w:val="center"/>
        <w:rPr>
          <w:rFonts w:hint="eastAsia"/>
          <w:color w:val="auto"/>
          <w:sz w:val="30"/>
          <w:szCs w:val="30"/>
          <w:highlight w:val="none"/>
        </w:rPr>
      </w:pPr>
      <w:bookmarkStart w:id="13" w:name="_Toc472802240"/>
      <w:bookmarkStart w:id="14" w:name="_Toc472802242"/>
      <w:r>
        <w:rPr>
          <w:rFonts w:hint="eastAsia"/>
          <w:color w:val="auto"/>
          <w:sz w:val="30"/>
          <w:szCs w:val="30"/>
          <w:highlight w:val="none"/>
        </w:rPr>
        <w:t>第三章  设计工作内容及要求</w:t>
      </w:r>
      <w:bookmarkEnd w:id="13"/>
    </w:p>
    <w:p>
      <w:pPr>
        <w:pStyle w:val="6"/>
        <w:spacing w:before="0" w:after="0" w:line="360" w:lineRule="auto"/>
        <w:ind w:firstLine="424" w:firstLineChars="176"/>
        <w:rPr>
          <w:rFonts w:hint="eastAsia" w:ascii="宋体" w:hAnsi="宋体"/>
          <w:snapToGrid w:val="0"/>
          <w:color w:val="auto"/>
          <w:kern w:val="0"/>
          <w:sz w:val="24"/>
          <w:szCs w:val="24"/>
          <w:highlight w:val="none"/>
        </w:rPr>
      </w:pPr>
      <w:r>
        <w:rPr>
          <w:rFonts w:hint="eastAsia" w:ascii="宋体" w:hAnsi="宋体"/>
          <w:snapToGrid w:val="0"/>
          <w:color w:val="auto"/>
          <w:kern w:val="0"/>
          <w:sz w:val="24"/>
          <w:szCs w:val="24"/>
          <w:highlight w:val="none"/>
          <w:lang w:val="en-US" w:eastAsia="zh-CN"/>
        </w:rPr>
        <w:t>5</w:t>
      </w:r>
      <w:r>
        <w:rPr>
          <w:rFonts w:hint="eastAsia" w:ascii="宋体" w:hAnsi="宋体"/>
          <w:snapToGrid w:val="0"/>
          <w:color w:val="auto"/>
          <w:kern w:val="0"/>
          <w:sz w:val="24"/>
          <w:szCs w:val="24"/>
          <w:highlight w:val="none"/>
        </w:rPr>
        <w:t>、设计工作内容及要求</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具体设计</w:t>
      </w:r>
      <w:r>
        <w:rPr>
          <w:rFonts w:ascii="宋体" w:hAnsi="宋体"/>
          <w:snapToGrid w:val="0"/>
          <w:color w:val="auto"/>
          <w:kern w:val="0"/>
          <w:sz w:val="24"/>
          <w:highlight w:val="none"/>
        </w:rPr>
        <w:t>工作内容及要求</w:t>
      </w:r>
      <w:r>
        <w:rPr>
          <w:rFonts w:hint="eastAsia" w:ascii="宋体" w:hAnsi="宋体"/>
          <w:snapToGrid w:val="0"/>
          <w:color w:val="auto"/>
          <w:kern w:val="0"/>
          <w:sz w:val="24"/>
          <w:highlight w:val="none"/>
        </w:rPr>
        <w:t>见勘察设计任务书</w:t>
      </w:r>
    </w:p>
    <w:p>
      <w:pPr>
        <w:spacing w:line="360" w:lineRule="auto"/>
        <w:ind w:firstLine="424" w:firstLineChars="176"/>
        <w:rPr>
          <w:rFonts w:hint="eastAsia"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ascii="宋体" w:hAnsi="宋体"/>
          <w:b/>
          <w:snapToGrid w:val="0"/>
          <w:color w:val="auto"/>
          <w:kern w:val="0"/>
          <w:sz w:val="24"/>
          <w:highlight w:val="none"/>
        </w:rPr>
        <w:t>.1设计工作内容</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ascii="宋体" w:hAnsi="宋体"/>
          <w:b/>
          <w:snapToGrid w:val="0"/>
          <w:color w:val="auto"/>
          <w:kern w:val="0"/>
          <w:sz w:val="24"/>
          <w:highlight w:val="none"/>
        </w:rPr>
        <w:t>.1.1设计工作内容</w:t>
      </w:r>
    </w:p>
    <w:p>
      <w:pPr>
        <w:numPr>
          <w:ilvl w:val="0"/>
          <w:numId w:val="1"/>
        </w:numPr>
        <w:spacing w:line="360" w:lineRule="auto"/>
        <w:ind w:firstLine="422" w:firstLineChars="176"/>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土地平整</w:t>
      </w:r>
    </w:p>
    <w:p>
      <w:pPr>
        <w:numPr>
          <w:ilvl w:val="0"/>
          <w:numId w:val="1"/>
        </w:numPr>
        <w:spacing w:line="360" w:lineRule="auto"/>
        <w:ind w:firstLine="422" w:firstLineChars="176"/>
        <w:rPr>
          <w:rFonts w:hint="default" w:ascii="宋体" w:hAnsi="宋体"/>
          <w:color w:val="auto"/>
          <w:sz w:val="24"/>
          <w:highlight w:val="none"/>
          <w:lang w:val="en-US" w:eastAsia="zh-CN"/>
        </w:rPr>
      </w:pPr>
      <w:r>
        <w:rPr>
          <w:rFonts w:hint="eastAsia" w:ascii="宋体" w:hAnsi="宋体"/>
          <w:color w:val="auto"/>
          <w:sz w:val="24"/>
          <w:highlight w:val="none"/>
          <w:lang w:val="en-US" w:eastAsia="zh-CN"/>
        </w:rPr>
        <w:t>地基处理</w:t>
      </w:r>
    </w:p>
    <w:p>
      <w:pPr>
        <w:spacing w:line="360" w:lineRule="auto"/>
        <w:ind w:firstLine="422" w:firstLineChars="176"/>
        <w:rPr>
          <w:rFonts w:ascii="宋体" w:hAnsi="宋体" w:cs="宋体"/>
          <w:color w:val="auto"/>
          <w:kern w:val="0"/>
          <w:sz w:val="24"/>
          <w:highlight w:val="none"/>
        </w:rPr>
      </w:pPr>
      <w:r>
        <w:rPr>
          <w:rFonts w:hint="eastAsia" w:ascii="宋体" w:hAnsi="宋体"/>
          <w:color w:val="auto"/>
          <w:sz w:val="24"/>
          <w:highlight w:val="none"/>
        </w:rPr>
        <w:t>以上专业的</w:t>
      </w:r>
      <w:r>
        <w:rPr>
          <w:rFonts w:ascii="宋体" w:hAnsi="宋体" w:cs="宋体"/>
          <w:color w:val="auto"/>
          <w:kern w:val="0"/>
          <w:sz w:val="24"/>
          <w:highlight w:val="none"/>
        </w:rPr>
        <w:t>初步设计</w:t>
      </w:r>
      <w:r>
        <w:rPr>
          <w:rFonts w:hint="eastAsia" w:ascii="宋体" w:hAnsi="宋体" w:cs="宋体"/>
          <w:color w:val="auto"/>
          <w:kern w:val="0"/>
          <w:sz w:val="24"/>
          <w:highlight w:val="none"/>
          <w:lang w:eastAsia="zh-CN"/>
        </w:rPr>
        <w:t>、</w:t>
      </w:r>
      <w:r>
        <w:rPr>
          <w:rFonts w:hint="eastAsia" w:ascii="宋体" w:hAnsi="宋体"/>
          <w:color w:val="auto"/>
          <w:sz w:val="24"/>
          <w:highlight w:val="none"/>
        </w:rPr>
        <w:t>概算取得</w:t>
      </w:r>
      <w:r>
        <w:rPr>
          <w:rFonts w:hint="eastAsia" w:ascii="宋体" w:hAnsi="宋体"/>
          <w:color w:val="auto"/>
          <w:sz w:val="24"/>
          <w:highlight w:val="none"/>
          <w:lang w:val="en-US" w:eastAsia="zh-CN"/>
        </w:rPr>
        <w:t>行政主管</w:t>
      </w:r>
      <w:r>
        <w:rPr>
          <w:rFonts w:hint="eastAsia" w:ascii="宋体" w:hAnsi="宋体"/>
          <w:color w:val="auto"/>
          <w:sz w:val="24"/>
          <w:highlight w:val="none"/>
        </w:rPr>
        <w:t>部门批复。</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2</w:t>
      </w:r>
      <w:r>
        <w:rPr>
          <w:rFonts w:hint="eastAsia" w:ascii="宋体" w:hAnsi="宋体"/>
          <w:b/>
          <w:snapToGrid w:val="0"/>
          <w:color w:val="auto"/>
          <w:kern w:val="0"/>
          <w:sz w:val="24"/>
          <w:highlight w:val="none"/>
        </w:rPr>
        <w:t>其他设计工作内容</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w:t>
      </w:r>
      <w:r>
        <w:rPr>
          <w:rFonts w:ascii="宋体" w:hAnsi="宋体"/>
          <w:snapToGrid w:val="0"/>
          <w:color w:val="auto"/>
          <w:kern w:val="0"/>
          <w:sz w:val="24"/>
          <w:highlight w:val="none"/>
        </w:rPr>
        <w:t>编制初步设计概算。</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w:t>
      </w:r>
      <w:r>
        <w:rPr>
          <w:rFonts w:ascii="宋体" w:hAnsi="宋体"/>
          <w:snapToGrid w:val="0"/>
          <w:color w:val="auto"/>
          <w:kern w:val="0"/>
          <w:sz w:val="24"/>
          <w:highlight w:val="none"/>
        </w:rPr>
        <w:t>在规划红线范围内，乙方应保证按规划及</w:t>
      </w:r>
      <w:r>
        <w:rPr>
          <w:rFonts w:hint="eastAsia" w:ascii="宋体" w:hAnsi="宋体"/>
          <w:snapToGrid w:val="0"/>
          <w:color w:val="auto"/>
          <w:kern w:val="0"/>
          <w:sz w:val="24"/>
          <w:highlight w:val="none"/>
        </w:rPr>
        <w:t>设计</w:t>
      </w:r>
      <w:r>
        <w:rPr>
          <w:rFonts w:ascii="宋体" w:hAnsi="宋体"/>
          <w:snapToGrid w:val="0"/>
          <w:color w:val="auto"/>
          <w:kern w:val="0"/>
          <w:sz w:val="24"/>
          <w:highlight w:val="none"/>
        </w:rPr>
        <w:t>功能要求、配套设施要求完成本合同工程造价中包含的全部项目的专业专项勘察、设计</w:t>
      </w:r>
      <w:r>
        <w:rPr>
          <w:rFonts w:hint="eastAsia" w:ascii="宋体" w:hAnsi="宋体"/>
          <w:snapToGrid w:val="0"/>
          <w:color w:val="auto"/>
          <w:kern w:val="0"/>
          <w:sz w:val="24"/>
          <w:highlight w:val="none"/>
        </w:rPr>
        <w:t>。</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snapToGrid w:val="0"/>
          <w:color w:val="auto"/>
          <w:kern w:val="0"/>
          <w:sz w:val="24"/>
          <w:highlight w:val="none"/>
        </w:rPr>
        <w:t>（3）提供设备材料的技术要求，配合甲方的招标工作。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.2工程设计的总体要求</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乙方交付的设计成果文件应符合国家现行的有关法律、行政法规和相关的工程设计技术规范、规定及标准，必须执行国家规定的工程建设标准强制性条文要求，遵守设计工作程序以及确定投资的有关指标、定额和费用标准的规定，控制好设计的每一环节。</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（2）乙方应在设计成果文件中明确列出本工程设计涉及到的详细的设计规范、规定及标准（名称、编号与版本）。</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（3）乙方应认真贯彻执行ISO 9001质量管理体系，确保设计质量。乙方对其承担的本合同约定的设计工作的设计成果文件的正确性、完整性、有效性、经济合理性、可靠性、清晰性负责，甲方或政府相关部门对其的审查及审核并不减轻乙方的相关责任。</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乙方应在接到《中标通知书》后立即进行本工程设计策划，建立质量目标，规定质量要求，根据甲方总体实施计划和本工程特点编制详细的设计计划，根据甲方的相关要求合理安排各项活动的实施时间，并保证设计的进度、质量，保证乙方设计范围内工程的施工进度不受影响。</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5）如在项目运作中遇国家或地区颁布新的标准、规定和依据，按新标准、规定和依据执行。如果执行新标准、规定和依据导致乙方增加工作量或费用超过50%以上的，甲方应根据实际情况，支付相应费用，使乙方不因执行新标准、规定和依据而遭受损失,双方另行签订补充协议。设计中如遇国家和地区无相应规范、标准和依据的，由乙方提出建议，由甲方报送有关主管部门审查确认或解释所采用的标准、规定和依据。</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（6）乙方根据本合同约定进行设计、资料管理、技术管理、现场配合等工作时，必须同时遵守甲方的相关设计、技术、图文、图档、工程的各项管理办法、规定和细则。</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（7）乙方应积极配合各项审批、甲方的审核、初步设计审查及图纸会审，对审查过程中发现的设计质量问题，应及时解决并按规定出具修改图纸。</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（8）乙方应对甲方提供的文件、资料进行认真研究，对本工程的特点和不确定因素进行认真考虑，并提出合理建议和评价，对影响勘察、设计稳定的重大问题要进行多方案比较选择。</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（9）乙方的设计成果文件应尽可能减少施工难度，为施工创造方便合理的施工条件；应尽量减少施工对城市交通、市民生活以及水利的干扰，并尽可能减少对施工期的影响。</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（10）在交付项目的部分或全部勘察、设计文件后，如获悉有更好的新工艺、新技术、新材料、新设备等适用于本工程，乙方应向甲方推荐并提供科学的评估。</w:t>
      </w:r>
    </w:p>
    <w:p>
      <w:pPr>
        <w:spacing w:line="360" w:lineRule="auto"/>
        <w:ind w:firstLine="424" w:firstLineChars="176"/>
        <w:rPr>
          <w:rFonts w:hint="eastAsia"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3</w:t>
      </w:r>
      <w:r>
        <w:rPr>
          <w:rFonts w:hint="eastAsia" w:ascii="宋体" w:hAnsi="宋体"/>
          <w:b/>
          <w:snapToGrid w:val="0"/>
          <w:color w:val="auto"/>
          <w:kern w:val="0"/>
          <w:sz w:val="24"/>
          <w:highlight w:val="none"/>
        </w:rPr>
        <w:t>工程</w:t>
      </w:r>
      <w:r>
        <w:rPr>
          <w:rFonts w:hint="eastAsia" w:ascii="宋体" w:hAnsi="宋体"/>
          <w:b/>
          <w:snapToGrid w:val="0"/>
          <w:color w:val="auto"/>
          <w:kern w:val="0"/>
          <w:sz w:val="24"/>
          <w:highlight w:val="none"/>
          <w:lang w:val="en-US" w:eastAsia="zh-CN"/>
        </w:rPr>
        <w:t>勘察</w:t>
      </w:r>
      <w:r>
        <w:rPr>
          <w:rFonts w:hint="eastAsia" w:ascii="宋体" w:hAnsi="宋体"/>
          <w:b/>
          <w:snapToGrid w:val="0"/>
          <w:color w:val="auto"/>
          <w:kern w:val="0"/>
          <w:sz w:val="24"/>
          <w:highlight w:val="none"/>
        </w:rPr>
        <w:t>设计的总体要求</w:t>
      </w:r>
    </w:p>
    <w:p>
      <w:pPr>
        <w:spacing w:line="360" w:lineRule="auto"/>
        <w:ind w:firstLine="422" w:firstLineChars="176"/>
        <w:rPr>
          <w:rFonts w:ascii="宋体" w:hAnsi="宋体"/>
          <w:snapToGrid w:val="0"/>
          <w:color w:val="auto"/>
          <w:kern w:val="0"/>
          <w:sz w:val="24"/>
          <w:highlight w:val="none"/>
        </w:rPr>
      </w:pPr>
      <w:r>
        <w:rPr>
          <w:rFonts w:hint="default" w:ascii="宋体" w:hAnsi="宋体"/>
          <w:snapToGrid w:val="0"/>
          <w:color w:val="auto"/>
          <w:kern w:val="0"/>
          <w:sz w:val="24"/>
          <w:highlight w:val="none"/>
        </w:rPr>
        <w:t>本工程为</w:t>
      </w:r>
      <w:r>
        <w:rPr>
          <w:rFonts w:hint="eastAsia" w:ascii="宋体" w:hAnsi="宋体"/>
          <w:snapToGrid w:val="0"/>
          <w:color w:val="auto"/>
          <w:kern w:val="0"/>
          <w:sz w:val="24"/>
          <w:highlight w:val="none"/>
          <w:lang w:val="en-US" w:eastAsia="zh-CN"/>
        </w:rPr>
        <w:t>土地</w:t>
      </w:r>
      <w:r>
        <w:rPr>
          <w:rFonts w:hint="default" w:ascii="宋体" w:hAnsi="宋体"/>
          <w:snapToGrid w:val="0"/>
          <w:color w:val="auto"/>
          <w:kern w:val="0"/>
          <w:sz w:val="24"/>
          <w:highlight w:val="none"/>
        </w:rPr>
        <w:t>平整工程，需要对原场地进行清表与回填砂（土），涉及的相关内容包括勘探、清表、围堰、填砂、排水、沉降观测等专业，根据本项目实际情况，确定设计的总体原则是：方案合理经济、工序简单、施工便捷、可实施性好、工期可控、绿色节能、低碳环保，并力求最大限度控制投资规模、减少工程变更。</w:t>
      </w:r>
    </w:p>
    <w:p>
      <w:pPr>
        <w:numPr>
          <w:ilvl w:val="0"/>
          <w:numId w:val="0"/>
        </w:num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1</w:t>
      </w: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土</w:t>
      </w:r>
      <w:r>
        <w:rPr>
          <w:rFonts w:hint="default" w:ascii="宋体" w:hAnsi="宋体"/>
          <w:snapToGrid w:val="0"/>
          <w:color w:val="auto"/>
          <w:kern w:val="0"/>
          <w:sz w:val="24"/>
          <w:highlight w:val="none"/>
        </w:rPr>
        <w:t>地平整后有利于土地开发利用，与周边地块及市政工程衔接良好；</w:t>
      </w:r>
    </w:p>
    <w:p>
      <w:pPr>
        <w:numPr>
          <w:ilvl w:val="0"/>
          <w:numId w:val="0"/>
        </w:num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2</w:t>
      </w:r>
      <w:r>
        <w:rPr>
          <w:rFonts w:hint="eastAsia" w:ascii="宋体" w:hAnsi="宋体"/>
          <w:snapToGrid w:val="0"/>
          <w:color w:val="auto"/>
          <w:kern w:val="0"/>
          <w:sz w:val="24"/>
          <w:highlight w:val="none"/>
          <w:lang w:eastAsia="zh-CN"/>
        </w:rPr>
        <w:t>）</w:t>
      </w:r>
      <w:r>
        <w:rPr>
          <w:rFonts w:hint="default" w:ascii="宋体" w:hAnsi="宋体"/>
          <w:snapToGrid w:val="0"/>
          <w:color w:val="auto"/>
          <w:kern w:val="0"/>
          <w:sz w:val="24"/>
          <w:highlight w:val="none"/>
        </w:rPr>
        <w:t>满足地块使用功能及工程总投资规模；</w:t>
      </w:r>
    </w:p>
    <w:p>
      <w:pPr>
        <w:numPr>
          <w:ilvl w:val="0"/>
          <w:numId w:val="0"/>
        </w:num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3</w:t>
      </w:r>
      <w:r>
        <w:rPr>
          <w:rFonts w:hint="eastAsia" w:ascii="宋体" w:hAnsi="宋体"/>
          <w:snapToGrid w:val="0"/>
          <w:color w:val="auto"/>
          <w:kern w:val="0"/>
          <w:sz w:val="24"/>
          <w:highlight w:val="none"/>
          <w:lang w:eastAsia="zh-CN"/>
        </w:rPr>
        <w:t>）</w:t>
      </w:r>
      <w:r>
        <w:rPr>
          <w:rFonts w:hint="default" w:ascii="宋体" w:hAnsi="宋体"/>
          <w:snapToGrid w:val="0"/>
          <w:color w:val="auto"/>
          <w:kern w:val="0"/>
          <w:sz w:val="24"/>
          <w:highlight w:val="none"/>
        </w:rPr>
        <w:t>与周边建筑物衔接合理，不影响建筑物使用及安全，不影响居民出行；</w:t>
      </w:r>
    </w:p>
    <w:p>
      <w:pPr>
        <w:numPr>
          <w:ilvl w:val="0"/>
          <w:numId w:val="0"/>
        </w:num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4</w:t>
      </w:r>
      <w:r>
        <w:rPr>
          <w:rFonts w:hint="eastAsia" w:ascii="宋体" w:hAnsi="宋体"/>
          <w:snapToGrid w:val="0"/>
          <w:color w:val="auto"/>
          <w:kern w:val="0"/>
          <w:sz w:val="24"/>
          <w:highlight w:val="none"/>
          <w:lang w:eastAsia="zh-CN"/>
        </w:rPr>
        <w:t>）</w:t>
      </w:r>
      <w:r>
        <w:rPr>
          <w:rFonts w:hint="default" w:ascii="宋体" w:hAnsi="宋体"/>
          <w:snapToGrid w:val="0"/>
          <w:color w:val="auto"/>
          <w:kern w:val="0"/>
          <w:sz w:val="24"/>
          <w:highlight w:val="none"/>
        </w:rPr>
        <w:t>要保护好场区环境和景观并与周边相协调；</w:t>
      </w:r>
    </w:p>
    <w:p>
      <w:pPr>
        <w:numPr>
          <w:ilvl w:val="0"/>
          <w:numId w:val="0"/>
        </w:num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5</w:t>
      </w:r>
      <w:r>
        <w:rPr>
          <w:rFonts w:hint="eastAsia" w:ascii="宋体" w:hAnsi="宋体"/>
          <w:snapToGrid w:val="0"/>
          <w:color w:val="auto"/>
          <w:kern w:val="0"/>
          <w:sz w:val="24"/>
          <w:highlight w:val="none"/>
          <w:lang w:eastAsia="zh-CN"/>
        </w:rPr>
        <w:t>）</w:t>
      </w:r>
      <w:r>
        <w:rPr>
          <w:rFonts w:hint="default" w:ascii="宋体" w:hAnsi="宋体"/>
          <w:snapToGrid w:val="0"/>
          <w:color w:val="auto"/>
          <w:kern w:val="0"/>
          <w:sz w:val="24"/>
          <w:highlight w:val="none"/>
        </w:rPr>
        <w:t>因地制宜，选择合理的回填方案；</w:t>
      </w:r>
    </w:p>
    <w:p>
      <w:pPr>
        <w:numPr>
          <w:ilvl w:val="0"/>
          <w:numId w:val="0"/>
        </w:num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6</w:t>
      </w:r>
      <w:r>
        <w:rPr>
          <w:rFonts w:hint="eastAsia" w:ascii="宋体" w:hAnsi="宋体"/>
          <w:snapToGrid w:val="0"/>
          <w:color w:val="auto"/>
          <w:kern w:val="0"/>
          <w:sz w:val="24"/>
          <w:highlight w:val="none"/>
          <w:lang w:eastAsia="zh-CN"/>
        </w:rPr>
        <w:t>）</w:t>
      </w:r>
      <w:r>
        <w:rPr>
          <w:rFonts w:hint="default" w:ascii="宋体" w:hAnsi="宋体"/>
          <w:snapToGrid w:val="0"/>
          <w:color w:val="auto"/>
          <w:kern w:val="0"/>
          <w:sz w:val="24"/>
          <w:highlight w:val="none"/>
        </w:rPr>
        <w:t>尽可能缩短工期建设周期，使工程场地早日投入使用；</w:t>
      </w:r>
    </w:p>
    <w:p>
      <w:pPr>
        <w:spacing w:line="360" w:lineRule="auto"/>
        <w:ind w:firstLine="422" w:firstLineChars="176"/>
        <w:rPr>
          <w:rFonts w:hint="eastAsia" w:ascii="宋体" w:hAnsi="宋体"/>
          <w:snapToGrid w:val="0"/>
          <w:color w:val="auto"/>
          <w:kern w:val="0"/>
          <w:sz w:val="24"/>
          <w:highlight w:val="none"/>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7</w:t>
      </w:r>
      <w:r>
        <w:rPr>
          <w:rFonts w:hint="eastAsia" w:ascii="宋体" w:hAnsi="宋体"/>
          <w:snapToGrid w:val="0"/>
          <w:color w:val="auto"/>
          <w:kern w:val="0"/>
          <w:sz w:val="24"/>
          <w:highlight w:val="none"/>
          <w:lang w:eastAsia="zh-CN"/>
        </w:rPr>
        <w:t>）</w:t>
      </w:r>
      <w:r>
        <w:rPr>
          <w:rFonts w:hint="default" w:ascii="宋体" w:hAnsi="宋体"/>
          <w:snapToGrid w:val="0"/>
          <w:color w:val="auto"/>
          <w:kern w:val="0"/>
          <w:sz w:val="24"/>
          <w:highlight w:val="none"/>
        </w:rPr>
        <w:t>场地满足防洪、排水要求。</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.4初步设计阶段的主要工作及要求</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.4.1</w:t>
      </w:r>
      <w:r>
        <w:rPr>
          <w:rFonts w:hint="eastAsia" w:ascii="宋体" w:hAnsi="宋体"/>
          <w:snapToGrid w:val="0"/>
          <w:color w:val="auto"/>
          <w:kern w:val="0"/>
          <w:sz w:val="24"/>
          <w:highlight w:val="none"/>
        </w:rPr>
        <w:t>提交初步设计成果文件</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初步设计成果文件应按建设部批准的《市政公用工程设计文件编制深度规定》</w:t>
      </w:r>
      <w:r>
        <w:rPr>
          <w:rFonts w:ascii="宋体" w:hAnsi="宋体"/>
          <w:snapToGrid w:val="0"/>
          <w:color w:val="auto"/>
          <w:kern w:val="0"/>
          <w:sz w:val="24"/>
          <w:highlight w:val="none"/>
        </w:rPr>
        <w:t>（20</w:t>
      </w:r>
      <w:r>
        <w:rPr>
          <w:rFonts w:hint="eastAsia" w:ascii="宋体" w:hAnsi="宋体"/>
          <w:snapToGrid w:val="0"/>
          <w:color w:val="auto"/>
          <w:kern w:val="0"/>
          <w:sz w:val="24"/>
          <w:highlight w:val="none"/>
        </w:rPr>
        <w:t>13</w:t>
      </w:r>
      <w:r>
        <w:rPr>
          <w:rFonts w:ascii="宋体" w:hAnsi="宋体"/>
          <w:snapToGrid w:val="0"/>
          <w:color w:val="auto"/>
          <w:kern w:val="0"/>
          <w:sz w:val="24"/>
          <w:highlight w:val="none"/>
        </w:rPr>
        <w:t>年版）</w:t>
      </w:r>
      <w:r>
        <w:rPr>
          <w:rFonts w:hint="eastAsia" w:ascii="宋体" w:hAnsi="宋体"/>
          <w:snapToGrid w:val="0"/>
          <w:color w:val="auto"/>
          <w:kern w:val="0"/>
          <w:sz w:val="24"/>
          <w:highlight w:val="none"/>
        </w:rPr>
        <w:t>初步设计阶段的要求进行编制，由总章和各专业设计文件分章编制而成，应包括但不限于以下设计成果文件：</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（1）初步设计方案编制；</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（2）设计说明书（含设计总说明、各专业的设计说明书、结构计算书）；</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（3）设计图纸（由各专业设计图纸组成）；</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（4）工程设计概算；</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eastAsia="zh-CN"/>
        </w:rPr>
        <w:t>5</w:t>
      </w:r>
      <w:r>
        <w:rPr>
          <w:rFonts w:hint="eastAsia" w:ascii="宋体" w:hAnsi="宋体"/>
          <w:snapToGrid w:val="0"/>
          <w:color w:val="auto"/>
          <w:kern w:val="0"/>
          <w:sz w:val="24"/>
          <w:highlight w:val="none"/>
        </w:rPr>
        <w:t>）报批模型（如需）；</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eastAsia="zh-CN"/>
        </w:rPr>
        <w:t>6</w:t>
      </w:r>
      <w:r>
        <w:rPr>
          <w:rFonts w:hint="eastAsia" w:ascii="宋体" w:hAnsi="宋体"/>
          <w:snapToGrid w:val="0"/>
          <w:color w:val="auto"/>
          <w:kern w:val="0"/>
          <w:sz w:val="24"/>
          <w:highlight w:val="none"/>
        </w:rPr>
        <w:t>）主要材料样板。</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乙方应向甲方提交初步设计成果文件图纸及文本文件</w:t>
      </w:r>
      <w:r>
        <w:rPr>
          <w:rFonts w:hint="eastAsia" w:ascii="宋体" w:hAnsi="宋体"/>
          <w:snapToGrid w:val="0"/>
          <w:color w:val="auto"/>
          <w:kern w:val="0"/>
          <w:sz w:val="24"/>
          <w:highlight w:val="none"/>
          <w:u w:val="single"/>
        </w:rPr>
        <w:t>10</w:t>
      </w:r>
      <w:r>
        <w:rPr>
          <w:rFonts w:hint="eastAsia" w:ascii="宋体" w:hAnsi="宋体"/>
          <w:snapToGrid w:val="0"/>
          <w:color w:val="auto"/>
          <w:kern w:val="0"/>
          <w:sz w:val="24"/>
          <w:highlight w:val="none"/>
        </w:rPr>
        <w:t>套、概算</w:t>
      </w:r>
      <w:r>
        <w:rPr>
          <w:rFonts w:hint="eastAsia" w:ascii="宋体" w:hAnsi="宋体"/>
          <w:snapToGrid w:val="0"/>
          <w:color w:val="auto"/>
          <w:kern w:val="0"/>
          <w:sz w:val="24"/>
          <w:highlight w:val="none"/>
          <w:u w:val="single"/>
        </w:rPr>
        <w:t>10</w:t>
      </w:r>
      <w:r>
        <w:rPr>
          <w:rFonts w:hint="eastAsia" w:ascii="宋体" w:hAnsi="宋体"/>
          <w:snapToGrid w:val="0"/>
          <w:color w:val="auto"/>
          <w:kern w:val="0"/>
          <w:sz w:val="24"/>
          <w:highlight w:val="none"/>
        </w:rPr>
        <w:t>份、效果图</w:t>
      </w:r>
      <w:r>
        <w:rPr>
          <w:rFonts w:ascii="宋体" w:hAnsi="宋体"/>
          <w:snapToGrid w:val="0"/>
          <w:color w:val="auto"/>
          <w:kern w:val="0"/>
          <w:sz w:val="24"/>
          <w:highlight w:val="none"/>
        </w:rPr>
        <w:t>各</w:t>
      </w:r>
      <w:r>
        <w:rPr>
          <w:rFonts w:hint="eastAsia" w:ascii="宋体" w:hAnsi="宋体"/>
          <w:snapToGrid w:val="0"/>
          <w:color w:val="auto"/>
          <w:kern w:val="0"/>
          <w:sz w:val="24"/>
          <w:highlight w:val="none"/>
        </w:rPr>
        <w:t>一式</w:t>
      </w:r>
      <w:r>
        <w:rPr>
          <w:rFonts w:hint="eastAsia" w:ascii="宋体" w:hAnsi="宋体"/>
          <w:snapToGrid w:val="0"/>
          <w:color w:val="auto"/>
          <w:kern w:val="0"/>
          <w:sz w:val="24"/>
          <w:highlight w:val="none"/>
          <w:u w:val="single"/>
        </w:rPr>
        <w:t>10</w:t>
      </w:r>
      <w:r>
        <w:rPr>
          <w:rFonts w:hint="eastAsia" w:ascii="宋体" w:hAnsi="宋体"/>
          <w:snapToGrid w:val="0"/>
          <w:color w:val="auto"/>
          <w:kern w:val="0"/>
          <w:sz w:val="24"/>
          <w:highlight w:val="none"/>
        </w:rPr>
        <w:t>套、电子文档光盘1</w:t>
      </w:r>
      <w:r>
        <w:rPr>
          <w:rFonts w:ascii="宋体" w:hAnsi="宋体"/>
          <w:snapToGrid w:val="0"/>
          <w:color w:val="auto"/>
          <w:kern w:val="0"/>
          <w:sz w:val="24"/>
          <w:highlight w:val="none"/>
        </w:rPr>
        <w:t>套、</w:t>
      </w:r>
      <w:r>
        <w:rPr>
          <w:rFonts w:hint="eastAsia" w:ascii="宋体" w:hAnsi="宋体"/>
          <w:snapToGrid w:val="0"/>
          <w:color w:val="auto"/>
          <w:kern w:val="0"/>
          <w:sz w:val="24"/>
          <w:highlight w:val="none"/>
        </w:rPr>
        <w:t>专业报建（交通、市政、人防、消防、环保、卫生、绿化）所需设计成果文件（具体数量按报建要求提供）；文件加盖设计单位出图章、</w:t>
      </w:r>
      <w:r>
        <w:rPr>
          <w:rFonts w:hint="eastAsia" w:ascii="宋体" w:hAnsi="宋体"/>
          <w:snapToGrid w:val="0"/>
          <w:color w:val="auto"/>
          <w:kern w:val="0"/>
          <w:sz w:val="24"/>
          <w:highlight w:val="none"/>
          <w:lang w:val="en-US" w:eastAsia="zh-CN"/>
        </w:rPr>
        <w:t>相关</w:t>
      </w:r>
      <w:r>
        <w:rPr>
          <w:rFonts w:hint="eastAsia" w:ascii="宋体" w:hAnsi="宋体"/>
          <w:snapToGrid w:val="0"/>
          <w:color w:val="auto"/>
          <w:kern w:val="0"/>
          <w:sz w:val="24"/>
          <w:highlight w:val="none"/>
        </w:rPr>
        <w:t>注册师章，各专业负责人、乙方签署。</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.4.2</w:t>
      </w:r>
      <w:r>
        <w:rPr>
          <w:rFonts w:hint="eastAsia" w:ascii="宋体" w:hAnsi="宋体"/>
          <w:snapToGrid w:val="0"/>
          <w:color w:val="auto"/>
          <w:kern w:val="0"/>
          <w:sz w:val="24"/>
          <w:highlight w:val="none"/>
        </w:rPr>
        <w:t>初步设计阶段的工作要求</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（1）初步设计文件均以各工程子项为编制单位。</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（2）初步设计阶段须进行方案的综合技术经济比较（</w:t>
      </w:r>
      <w:r>
        <w:rPr>
          <w:rFonts w:ascii="宋体" w:hAnsi="宋体"/>
          <w:snapToGrid w:val="0"/>
          <w:color w:val="auto"/>
          <w:kern w:val="0"/>
          <w:sz w:val="24"/>
          <w:highlight w:val="none"/>
        </w:rPr>
        <w:t>其主要内容</w:t>
      </w:r>
      <w:r>
        <w:rPr>
          <w:rFonts w:hint="eastAsia" w:ascii="宋体" w:hAnsi="宋体"/>
          <w:snapToGrid w:val="0"/>
          <w:color w:val="auto"/>
          <w:kern w:val="0"/>
          <w:sz w:val="24"/>
          <w:highlight w:val="none"/>
        </w:rPr>
        <w:t>含于</w:t>
      </w:r>
      <w:r>
        <w:rPr>
          <w:rFonts w:ascii="宋体" w:hAnsi="宋体"/>
          <w:snapToGrid w:val="0"/>
          <w:color w:val="auto"/>
          <w:kern w:val="0"/>
          <w:sz w:val="24"/>
          <w:highlight w:val="none"/>
        </w:rPr>
        <w:t>本专业初步设计说明书中</w:t>
      </w:r>
      <w:r>
        <w:rPr>
          <w:rFonts w:hint="eastAsia" w:ascii="宋体" w:hAnsi="宋体"/>
          <w:snapToGrid w:val="0"/>
          <w:color w:val="auto"/>
          <w:kern w:val="0"/>
          <w:sz w:val="24"/>
          <w:highlight w:val="none"/>
        </w:rPr>
        <w:t>），使设计具备先进性、可靠性和经济合理性，并满足以下要求：</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1）应符合甲方批准的设计方案和实施性方案；</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2</w:t>
      </w:r>
      <w:r>
        <w:rPr>
          <w:rFonts w:hint="eastAsia" w:ascii="宋体" w:hAnsi="宋体"/>
          <w:snapToGrid w:val="0"/>
          <w:color w:val="auto"/>
          <w:kern w:val="0"/>
          <w:sz w:val="24"/>
          <w:highlight w:val="none"/>
        </w:rPr>
        <w:t>）能据以编制、审核工程设计概算；</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3</w:t>
      </w:r>
      <w:r>
        <w:rPr>
          <w:rFonts w:hint="eastAsia" w:ascii="宋体" w:hAnsi="宋体"/>
          <w:snapToGrid w:val="0"/>
          <w:color w:val="auto"/>
          <w:kern w:val="0"/>
          <w:sz w:val="24"/>
          <w:highlight w:val="none"/>
        </w:rPr>
        <w:t>）能据以进行施工准备；</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4</w:t>
      </w:r>
      <w:r>
        <w:rPr>
          <w:rFonts w:hint="eastAsia" w:ascii="宋体" w:hAnsi="宋体"/>
          <w:snapToGrid w:val="0"/>
          <w:color w:val="auto"/>
          <w:kern w:val="0"/>
          <w:sz w:val="24"/>
          <w:highlight w:val="none"/>
        </w:rPr>
        <w:t>）能作为施工图设计的依据。</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eastAsia="zh-CN"/>
        </w:rPr>
        <w:t>3</w:t>
      </w:r>
      <w:r>
        <w:rPr>
          <w:rFonts w:hint="eastAsia" w:ascii="宋体" w:hAnsi="宋体"/>
          <w:snapToGrid w:val="0"/>
          <w:color w:val="auto"/>
          <w:kern w:val="0"/>
          <w:sz w:val="24"/>
          <w:highlight w:val="none"/>
        </w:rPr>
        <w:t>）乙方须根据甲方的相关规定和要求进行工程设计概算的编制，概算文件中的开项必须齐全完整，造价指标必须准确，须满足工程投资控制的要求。</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eastAsia="zh-CN"/>
        </w:rPr>
        <w:t>4</w:t>
      </w:r>
      <w:r>
        <w:rPr>
          <w:rFonts w:hint="eastAsia" w:ascii="宋体" w:hAnsi="宋体"/>
          <w:snapToGrid w:val="0"/>
          <w:color w:val="auto"/>
          <w:kern w:val="0"/>
          <w:sz w:val="24"/>
          <w:highlight w:val="none"/>
        </w:rPr>
        <w:t>）对在</w:t>
      </w:r>
      <w:r>
        <w:rPr>
          <w:rFonts w:hint="eastAsia" w:ascii="宋体" w:hAnsi="宋体"/>
          <w:bCs/>
          <w:snapToGrid w:val="0"/>
          <w:color w:val="auto"/>
          <w:kern w:val="0"/>
          <w:sz w:val="24"/>
          <w:highlight w:val="none"/>
        </w:rPr>
        <w:t>乙方提供的初步设计成果文件的基础上由</w:t>
      </w:r>
      <w:r>
        <w:rPr>
          <w:rFonts w:hint="eastAsia" w:ascii="宋体" w:hAnsi="宋体"/>
          <w:snapToGrid w:val="0"/>
          <w:color w:val="auto"/>
          <w:kern w:val="0"/>
          <w:sz w:val="24"/>
          <w:highlight w:val="none"/>
        </w:rPr>
        <w:t>甲方另行发包的单位进行的专项施工图设计（含施工图深化设计），乙方初步设计成果文件中</w:t>
      </w:r>
      <w:r>
        <w:rPr>
          <w:rFonts w:hint="eastAsia" w:ascii="宋体" w:hAnsi="宋体"/>
          <w:bCs/>
          <w:snapToGrid w:val="0"/>
          <w:color w:val="auto"/>
          <w:kern w:val="0"/>
          <w:sz w:val="24"/>
          <w:highlight w:val="none"/>
        </w:rPr>
        <w:t>相关部分中的系统的构成、强制性的系统功能要求、设备技术参数中的强制性条目要求、接口及界面等设计内容须成熟稳定。乙方应确保相关的初步设计成果文件深度能够有效满足专项施工图设计工程投资控制的要求。</w:t>
      </w:r>
    </w:p>
    <w:p>
      <w:pPr>
        <w:spacing w:line="360" w:lineRule="auto"/>
        <w:ind w:firstLine="422" w:firstLineChars="176"/>
        <w:rPr>
          <w:rFonts w:ascii="宋体" w:hAnsi="宋体"/>
          <w:bCs/>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eastAsia="zh-CN"/>
        </w:rPr>
        <w:t>5</w:t>
      </w:r>
      <w:r>
        <w:rPr>
          <w:rFonts w:hint="eastAsia" w:ascii="宋体" w:hAnsi="宋体"/>
          <w:snapToGrid w:val="0"/>
          <w:color w:val="auto"/>
          <w:kern w:val="0"/>
          <w:sz w:val="24"/>
          <w:highlight w:val="none"/>
        </w:rPr>
        <w:t>）初步设计达预施工图深度。</w:t>
      </w:r>
    </w:p>
    <w:p>
      <w:pPr>
        <w:pStyle w:val="6"/>
        <w:spacing w:before="0" w:after="0" w:line="360" w:lineRule="auto"/>
        <w:ind w:firstLine="424" w:firstLineChars="176"/>
        <w:rPr>
          <w:rFonts w:ascii="宋体" w:hAnsi="宋体"/>
          <w:bCs w:val="0"/>
          <w:snapToGrid w:val="0"/>
          <w:color w:val="auto"/>
          <w:kern w:val="0"/>
          <w:sz w:val="24"/>
          <w:szCs w:val="24"/>
          <w:highlight w:val="none"/>
        </w:rPr>
      </w:pPr>
      <w:r>
        <w:rPr>
          <w:rFonts w:hint="eastAsia" w:ascii="宋体" w:hAnsi="宋体"/>
          <w:snapToGrid w:val="0"/>
          <w:color w:val="auto"/>
          <w:kern w:val="0"/>
          <w:sz w:val="24"/>
          <w:szCs w:val="24"/>
          <w:highlight w:val="none"/>
          <w:lang w:val="en-US" w:eastAsia="zh-CN"/>
        </w:rPr>
        <w:t>6</w:t>
      </w:r>
      <w:r>
        <w:rPr>
          <w:rFonts w:hint="eastAsia" w:ascii="宋体" w:hAnsi="宋体"/>
          <w:snapToGrid w:val="0"/>
          <w:color w:val="auto"/>
          <w:kern w:val="0"/>
          <w:sz w:val="24"/>
          <w:szCs w:val="24"/>
          <w:highlight w:val="none"/>
        </w:rPr>
        <w:t>、设计服务</w:t>
      </w:r>
      <w:bookmarkEnd w:id="14"/>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乙方的服务应符合国际通用的ISO—9000质量管理体系对于工程设计所规定的标准及质量要求。乙方应及时地提供服务，满足甲方在时间上的要求。</w:t>
      </w:r>
    </w:p>
    <w:p>
      <w:pPr>
        <w:spacing w:line="360" w:lineRule="auto"/>
        <w:ind w:firstLine="424" w:firstLineChars="176"/>
        <w:rPr>
          <w:rFonts w:ascii="宋体" w:hAnsi="宋体"/>
          <w:b/>
          <w:bCs/>
          <w:snapToGrid w:val="0"/>
          <w:color w:val="auto"/>
          <w:kern w:val="0"/>
          <w:sz w:val="24"/>
          <w:highlight w:val="none"/>
        </w:rPr>
      </w:pPr>
      <w:r>
        <w:rPr>
          <w:rFonts w:hint="eastAsia" w:ascii="宋体" w:hAnsi="宋体"/>
          <w:b/>
          <w:bCs/>
          <w:snapToGrid w:val="0"/>
          <w:color w:val="auto"/>
          <w:kern w:val="0"/>
          <w:sz w:val="24"/>
          <w:highlight w:val="none"/>
          <w:lang w:val="en-US" w:eastAsia="zh-CN"/>
        </w:rPr>
        <w:t>6</w:t>
      </w:r>
      <w:r>
        <w:rPr>
          <w:rFonts w:ascii="宋体" w:hAnsi="宋体"/>
          <w:b/>
          <w:bCs/>
          <w:snapToGrid w:val="0"/>
          <w:color w:val="auto"/>
          <w:kern w:val="0"/>
          <w:sz w:val="24"/>
          <w:highlight w:val="none"/>
        </w:rPr>
        <w:t>.1</w:t>
      </w:r>
      <w:r>
        <w:rPr>
          <w:rFonts w:hint="eastAsia" w:ascii="宋体" w:hAnsi="宋体"/>
          <w:bCs/>
          <w:snapToGrid w:val="0"/>
          <w:color w:val="auto"/>
          <w:kern w:val="0"/>
          <w:sz w:val="24"/>
          <w:highlight w:val="none"/>
        </w:rPr>
        <w:t>驻场设计</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.1.1</w:t>
      </w:r>
      <w:r>
        <w:rPr>
          <w:rFonts w:hint="eastAsia" w:ascii="宋体" w:hAnsi="宋体"/>
          <w:snapToGrid w:val="0"/>
          <w:color w:val="auto"/>
          <w:kern w:val="0"/>
          <w:sz w:val="24"/>
          <w:highlight w:val="none"/>
        </w:rPr>
        <w:t>为便于甲方与乙方及时沟通协调，以保证乙方的设计成果文件能更好地体现甲方的建设意图，乙方应根据甲方的要求，在指定的地点投入本合同约定的专业人员、设备及设施，实施本工程的设计工作。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.1.2</w:t>
      </w:r>
      <w:r>
        <w:rPr>
          <w:rFonts w:hint="eastAsia" w:ascii="宋体" w:hAnsi="宋体"/>
          <w:snapToGrid w:val="0"/>
          <w:color w:val="auto"/>
          <w:kern w:val="0"/>
          <w:sz w:val="24"/>
          <w:highlight w:val="none"/>
        </w:rPr>
        <w:t>乙方驻场设计人员应满足招标文件及合同条款的相关要求，并全部统一纳入甲方的统一管理，其出勤、休假等考勤由甲方负责。乙方驻场设计人员只为本工程服务，不得再参与其他工作。</w:t>
      </w:r>
      <w:r>
        <w:rPr>
          <w:rFonts w:ascii="宋体" w:hAnsi="宋体"/>
          <w:snapToGrid w:val="0"/>
          <w:color w:val="auto"/>
          <w:kern w:val="0"/>
          <w:sz w:val="24"/>
          <w:highlight w:val="none"/>
        </w:rPr>
        <w:t>驻场</w:t>
      </w:r>
      <w:r>
        <w:rPr>
          <w:rFonts w:hint="eastAsia" w:ascii="宋体" w:hAnsi="宋体"/>
          <w:snapToGrid w:val="0"/>
          <w:color w:val="auto"/>
          <w:kern w:val="0"/>
          <w:sz w:val="24"/>
          <w:highlight w:val="none"/>
        </w:rPr>
        <w:t>人员食宿、交通、办公等费用由乙方自行负责</w:t>
      </w:r>
      <w:r>
        <w:rPr>
          <w:rFonts w:ascii="宋体" w:hAnsi="宋体"/>
          <w:snapToGrid w:val="0"/>
          <w:color w:val="auto"/>
          <w:kern w:val="0"/>
          <w:sz w:val="24"/>
          <w:highlight w:val="none"/>
        </w:rPr>
        <w:t>。</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.1.3</w:t>
      </w:r>
      <w:r>
        <w:rPr>
          <w:rFonts w:hint="eastAsia" w:ascii="宋体" w:hAnsi="宋体"/>
          <w:snapToGrid w:val="0"/>
          <w:color w:val="auto"/>
          <w:kern w:val="0"/>
          <w:sz w:val="24"/>
          <w:highlight w:val="none"/>
        </w:rPr>
        <w:t>乙方驻场设计人员的名单须在进场前提交甲方审核，乙方驻场设计组的人员数量、专业水平、专业配套以及设备设施须满足设计质量与进度的需要。甲方有权根据实际情况在设计实施的过程中对乙方的驻场人员进行适当调整。</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.1.4</w:t>
      </w:r>
      <w:r>
        <w:rPr>
          <w:rFonts w:hint="eastAsia" w:ascii="宋体" w:hAnsi="宋体"/>
          <w:snapToGrid w:val="0"/>
          <w:color w:val="auto"/>
          <w:kern w:val="0"/>
          <w:sz w:val="24"/>
          <w:highlight w:val="none"/>
        </w:rPr>
        <w:t>乙方应保证驻场人员的稳定性，原则在驻场期间不得更换，确须更换的应向甲方提出书面报告且征得</w:t>
      </w:r>
      <w:r>
        <w:rPr>
          <w:rFonts w:hint="eastAsia" w:ascii="宋体" w:hAnsi="宋体"/>
          <w:snapToGrid w:val="0"/>
          <w:color w:val="auto"/>
          <w:kern w:val="0"/>
          <w:sz w:val="24"/>
          <w:highlight w:val="none"/>
          <w:lang w:eastAsia="zh-CN"/>
        </w:rPr>
        <w:t>书面</w:t>
      </w:r>
      <w:r>
        <w:rPr>
          <w:rFonts w:hint="eastAsia" w:ascii="宋体" w:hAnsi="宋体"/>
          <w:snapToGrid w:val="0"/>
          <w:color w:val="auto"/>
          <w:kern w:val="0"/>
          <w:sz w:val="24"/>
          <w:highlight w:val="none"/>
        </w:rPr>
        <w:t>同意后方可更换。</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.1.5</w:t>
      </w:r>
      <w:r>
        <w:rPr>
          <w:rFonts w:hint="eastAsia" w:ascii="宋体" w:hAnsi="宋体"/>
          <w:snapToGrid w:val="0"/>
          <w:color w:val="auto"/>
          <w:kern w:val="0"/>
          <w:sz w:val="24"/>
          <w:highlight w:val="none"/>
        </w:rPr>
        <w:t>乙方应自甲方通知驻场之日起至初步设计审查及修改完成前，驻场设计人员必须在甲方指定的办公地点开展各项设计工作，以确保设计进度。</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报审报建配合服务</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.2.1</w:t>
      </w:r>
      <w:r>
        <w:rPr>
          <w:rFonts w:hint="eastAsia" w:ascii="宋体" w:hAnsi="宋体"/>
          <w:snapToGrid w:val="0"/>
          <w:color w:val="auto"/>
          <w:kern w:val="0"/>
          <w:sz w:val="24"/>
          <w:highlight w:val="none"/>
        </w:rPr>
        <w:t>乙方应在设计过程各阶段按照本工程报审报建的要求，提交所有必需的文件、图纸及其相应的电子文件（刻制成光盘），并配合报审报建过程中必要的技术协调、送审技术性文件等工作，直至完成所有审批手续。</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.2.2</w:t>
      </w:r>
      <w:r>
        <w:rPr>
          <w:rFonts w:hint="eastAsia" w:ascii="宋体" w:hAnsi="宋体"/>
          <w:snapToGrid w:val="0"/>
          <w:color w:val="auto"/>
          <w:kern w:val="0"/>
          <w:sz w:val="24"/>
          <w:highlight w:val="none"/>
        </w:rPr>
        <w:t>对乙方提交报审报建资料的要求：提交的文件、图纸及其相应的电子文件的要求和份数按照相关报审报建职能部门或主管部门的要求执行。</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.2.3</w:t>
      </w:r>
      <w:r>
        <w:rPr>
          <w:rFonts w:hint="eastAsia" w:ascii="宋体" w:hAnsi="宋体"/>
          <w:snapToGrid w:val="0"/>
          <w:color w:val="auto"/>
          <w:kern w:val="0"/>
          <w:sz w:val="24"/>
          <w:highlight w:val="none"/>
        </w:rPr>
        <w:t>根据甲方工作要求，乙方应派驻专人（1名）全面开展所有报审报建工作（包括提供报审报建所需的交通便利，相关费用已包含在合同价款中）。</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招标配合服务</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.3.1</w:t>
      </w:r>
      <w:r>
        <w:rPr>
          <w:rFonts w:hint="eastAsia" w:ascii="宋体" w:hAnsi="宋体"/>
          <w:snapToGrid w:val="0"/>
          <w:color w:val="auto"/>
          <w:kern w:val="0"/>
          <w:sz w:val="24"/>
          <w:highlight w:val="none"/>
        </w:rPr>
        <w:t>乙方应在甲方进行的工程施工招标、设备材料采购招标过程中提供技术指导，编制用户需求书，制定技术文件（包括主要材料设备清单、技术规格书等），根据甲方的要求参加招标答疑会，审核答疑文件，审核及签署设备、材料供货合同技术附件，并根据甲方的要求配合甲方进行合同技术条款的谈判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.3.2</w:t>
      </w:r>
      <w:r>
        <w:rPr>
          <w:rFonts w:hint="eastAsia" w:ascii="宋体" w:hAnsi="宋体"/>
          <w:snapToGrid w:val="0"/>
          <w:color w:val="auto"/>
          <w:kern w:val="0"/>
          <w:sz w:val="24"/>
          <w:highlight w:val="none"/>
        </w:rPr>
        <w:t>对于甲方召开的相关招标会议（如招标答疑会、概预算会议等），乙方应根据甲方的要求派出相关专业人员参加，并积极配合甲方做好招标答疑文件、招标澄清文件等的编制工作。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.3.3</w:t>
      </w:r>
      <w:r>
        <w:rPr>
          <w:rFonts w:hint="eastAsia" w:ascii="宋体" w:hAnsi="宋体"/>
          <w:snapToGrid w:val="0"/>
          <w:color w:val="auto"/>
          <w:kern w:val="0"/>
          <w:sz w:val="24"/>
          <w:highlight w:val="none"/>
        </w:rPr>
        <w:t>乙方根据甲方要求（包括时间要求、深度要求等）提供本工程进行招标所需的设计成果文件。</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.3.4</w:t>
      </w:r>
      <w:r>
        <w:rPr>
          <w:rFonts w:hint="eastAsia" w:ascii="宋体" w:hAnsi="宋体"/>
          <w:snapToGrid w:val="0"/>
          <w:color w:val="auto"/>
          <w:kern w:val="0"/>
          <w:sz w:val="24"/>
          <w:highlight w:val="none"/>
        </w:rPr>
        <w:t>乙方应负责协调各专业设计单位编写工程施工、材料设备等招标文件中的技术和质量标准。</w:t>
      </w:r>
    </w:p>
    <w:p>
      <w:pPr>
        <w:spacing w:line="360" w:lineRule="auto"/>
        <w:ind w:firstLine="424" w:firstLineChars="176"/>
        <w:rPr>
          <w:rFonts w:hint="eastAsia"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4</w:t>
      </w:r>
      <w:r>
        <w:rPr>
          <w:rFonts w:hint="eastAsia" w:ascii="宋体" w:hAnsi="宋体"/>
          <w:snapToGrid w:val="0"/>
          <w:color w:val="auto"/>
          <w:kern w:val="0"/>
          <w:sz w:val="24"/>
          <w:highlight w:val="none"/>
        </w:rPr>
        <w:t>施工图设计配合</w:t>
      </w:r>
    </w:p>
    <w:p>
      <w:pPr>
        <w:spacing w:line="360" w:lineRule="auto"/>
        <w:ind w:firstLine="422" w:firstLineChars="17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根据甲方工作要求，乙方应派驻专人（1名</w:t>
      </w: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lang w:val="en-US" w:eastAsia="zh-CN"/>
        </w:rPr>
        <w:t>且为参与本项目初步设计人员</w:t>
      </w:r>
      <w:r>
        <w:rPr>
          <w:rFonts w:hint="eastAsia" w:ascii="宋体" w:hAnsi="宋体"/>
          <w:snapToGrid w:val="0"/>
          <w:color w:val="auto"/>
          <w:kern w:val="0"/>
          <w:sz w:val="24"/>
          <w:highlight w:val="none"/>
        </w:rPr>
        <w:t>）全面配合施工图设计</w:t>
      </w:r>
      <w:r>
        <w:rPr>
          <w:rFonts w:hint="eastAsia" w:ascii="宋体" w:hAnsi="宋体"/>
          <w:snapToGrid w:val="0"/>
          <w:color w:val="auto"/>
          <w:kern w:val="0"/>
          <w:sz w:val="24"/>
          <w:highlight w:val="none"/>
          <w:lang w:val="en-US" w:eastAsia="zh-CN"/>
        </w:rPr>
        <w:t>相关</w:t>
      </w:r>
      <w:r>
        <w:rPr>
          <w:rFonts w:hint="eastAsia" w:ascii="宋体" w:hAnsi="宋体"/>
          <w:snapToGrid w:val="0"/>
          <w:color w:val="auto"/>
          <w:kern w:val="0"/>
          <w:sz w:val="24"/>
          <w:highlight w:val="none"/>
        </w:rPr>
        <w:t>工作（相关费用已包含在合同价款中）。</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5</w:t>
      </w:r>
      <w:r>
        <w:rPr>
          <w:rFonts w:hint="eastAsia" w:ascii="宋体" w:hAnsi="宋体"/>
          <w:snapToGrid w:val="0"/>
          <w:color w:val="auto"/>
          <w:kern w:val="0"/>
          <w:sz w:val="24"/>
          <w:highlight w:val="none"/>
        </w:rPr>
        <w:t>工程结算配合服务</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乙方应根据甲方指令提交本工程的结算配合服务工作计划，根据经批准的工作计划积极参与并配合甲方或甲方委托的第三方组织的本工程乙方设计范围内的工程结算工作，以保证工程结算工作的顺利推进。</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乙方应根据甲方的要求提供结算工作所涉及的相关设计文件。</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乙方应根据甲方要求在工程结算过程中提供相关的技术支持。</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本合同设计范围内如存在甲方另行发包的专项工程设计服务内容的，乙方负责整理汇总其合同设计范围内所有设计单位的结算工作。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5</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为确保本工程结算的顺利进行，甲方可能对本工程按分部分项或单位工程进行分段结算，乙方在接到甲方关于分段结算配合工作的指令后7天内向甲方提交相关的分段结算配合服务工作计划。</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乙方应根据经过甲方批准的分段结算配合服务工作计划积极配合相关的分段结算工作。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w:t>
      </w:r>
      <w:r>
        <w:rPr>
          <w:rFonts w:hint="eastAsia" w:ascii="宋体" w:hAnsi="宋体"/>
          <w:b/>
          <w:snapToGrid w:val="0"/>
          <w:color w:val="auto"/>
          <w:kern w:val="0"/>
          <w:sz w:val="24"/>
          <w:highlight w:val="none"/>
          <w:lang w:val="en-US" w:eastAsia="zh-CN"/>
        </w:rPr>
        <w:t>6</w:t>
      </w:r>
      <w:r>
        <w:rPr>
          <w:rFonts w:hint="eastAsia" w:ascii="宋体" w:hAnsi="宋体"/>
          <w:snapToGrid w:val="0"/>
          <w:color w:val="auto"/>
          <w:kern w:val="0"/>
          <w:sz w:val="24"/>
          <w:highlight w:val="none"/>
        </w:rPr>
        <w:t>保修阶段的服务</w:t>
      </w:r>
    </w:p>
    <w:p>
      <w:pPr>
        <w:spacing w:line="360" w:lineRule="auto"/>
        <w:ind w:firstLine="422" w:firstLineChars="17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乙方应根据甲方或物业业主的要求积极配合并参与工程的保修工作，提供相应的技术支持，对期间发生的工程问题提交书面的技术建议及相关的工程设计资料。</w:t>
      </w:r>
    </w:p>
    <w:p>
      <w:pPr>
        <w:pStyle w:val="6"/>
        <w:spacing w:before="0" w:after="0" w:line="360" w:lineRule="auto"/>
        <w:ind w:firstLine="424" w:firstLineChars="176"/>
        <w:rPr>
          <w:rFonts w:ascii="宋体" w:hAnsi="宋体"/>
          <w:b w:val="0"/>
          <w:snapToGrid w:val="0"/>
          <w:color w:val="auto"/>
          <w:kern w:val="0"/>
          <w:sz w:val="24"/>
          <w:szCs w:val="24"/>
          <w:highlight w:val="none"/>
        </w:rPr>
      </w:pPr>
      <w:bookmarkStart w:id="15" w:name="_Toc472802243"/>
      <w:r>
        <w:rPr>
          <w:rFonts w:hint="eastAsia" w:ascii="宋体" w:hAnsi="宋体"/>
          <w:snapToGrid w:val="0"/>
          <w:color w:val="auto"/>
          <w:kern w:val="0"/>
          <w:sz w:val="24"/>
          <w:szCs w:val="24"/>
          <w:highlight w:val="none"/>
          <w:lang w:val="en-US" w:eastAsia="zh-CN"/>
        </w:rPr>
        <w:t>7</w:t>
      </w:r>
      <w:r>
        <w:rPr>
          <w:rFonts w:hint="eastAsia" w:ascii="宋体" w:hAnsi="宋体"/>
          <w:snapToGrid w:val="0"/>
          <w:color w:val="auto"/>
          <w:kern w:val="0"/>
          <w:sz w:val="24"/>
          <w:szCs w:val="24"/>
          <w:highlight w:val="none"/>
        </w:rPr>
        <w:t>、设计人员</w:t>
      </w:r>
      <w:bookmarkEnd w:id="15"/>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w:t>
      </w:r>
      <w:r>
        <w:rPr>
          <w:rFonts w:ascii="宋体" w:hAnsi="宋体"/>
          <w:b/>
          <w:snapToGrid w:val="0"/>
          <w:color w:val="auto"/>
          <w:kern w:val="0"/>
          <w:sz w:val="24"/>
          <w:highlight w:val="none"/>
        </w:rPr>
        <w:t>1</w:t>
      </w:r>
      <w:r>
        <w:rPr>
          <w:rFonts w:hint="eastAsia" w:ascii="宋体" w:hAnsi="宋体"/>
          <w:snapToGrid w:val="0"/>
          <w:color w:val="auto"/>
          <w:kern w:val="0"/>
          <w:sz w:val="24"/>
          <w:highlight w:val="none"/>
        </w:rPr>
        <w:t>为确保本工程的设计质量，在明确分工各负其责的基础上，乙方（包括乙方分包单位）在本合同履行期内为本工程派出的设计总负责人、设计驻场总负责人、各专业设计负责人、各专业设计驻场代表的职务、资历、资格须满足招标文件及合同约定，在本合同履行期间，乙方如需更换人员，必须向甲方提出书面申请经甲方同意，更换人员的职务、资历、资格不得低于本合同相应条款的要求，非经过甲方书面同意，不得更换或再参与本合同项目以外的其他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w:t>
      </w:r>
      <w:r>
        <w:rPr>
          <w:rFonts w:ascii="宋体" w:hAnsi="宋体"/>
          <w:b/>
          <w:snapToGrid w:val="0"/>
          <w:color w:val="auto"/>
          <w:kern w:val="0"/>
          <w:sz w:val="24"/>
          <w:highlight w:val="none"/>
        </w:rPr>
        <w:t>2</w:t>
      </w:r>
      <w:r>
        <w:rPr>
          <w:rFonts w:hint="eastAsia" w:ascii="宋体" w:hAnsi="宋体"/>
          <w:snapToGrid w:val="0"/>
          <w:color w:val="auto"/>
          <w:kern w:val="0"/>
          <w:sz w:val="24"/>
          <w:highlight w:val="none"/>
        </w:rPr>
        <w:t>乙方应根据设计任务建立项目组，从组织上保证投入的人力、物力能满足设计开展的需要，保证不同设计时段设计工作的连续性和外部条件接口衔接的连贯性。</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乙方需要按照招标文件的要求投入主要勘察设计人员及现场指导和配合人员。</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乙方如为境外机构，必须自行配备专业翻译一名。</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专业设计单位必须成立设计项目组按照甲方的指令在规定的时间和指定的场所，在</w:t>
      </w:r>
      <w:r>
        <w:rPr>
          <w:rFonts w:ascii="宋体" w:hAnsi="宋体"/>
          <w:snapToGrid w:val="0"/>
          <w:color w:val="auto"/>
          <w:kern w:val="0"/>
          <w:sz w:val="24"/>
          <w:highlight w:val="none"/>
        </w:rPr>
        <w:t>勘察、设计</w:t>
      </w:r>
      <w:r>
        <w:rPr>
          <w:rFonts w:hint="eastAsia" w:ascii="宋体" w:hAnsi="宋体"/>
          <w:snapToGrid w:val="0"/>
          <w:color w:val="auto"/>
          <w:kern w:val="0"/>
          <w:sz w:val="24"/>
          <w:highlight w:val="none"/>
        </w:rPr>
        <w:t>承包单位的统一管理和协调下开展各项设计工作，确保设计进度和质量。设计项目组人员组成必须满足招标文件及合同约定的要求。</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.6</w:t>
      </w:r>
      <w:r>
        <w:rPr>
          <w:rFonts w:hint="eastAsia" w:ascii="宋体" w:hAnsi="宋体"/>
          <w:snapToGrid w:val="0"/>
          <w:color w:val="auto"/>
          <w:kern w:val="0"/>
          <w:sz w:val="24"/>
          <w:highlight w:val="none"/>
        </w:rPr>
        <w:t>甲方认为设计总负责人、设计驻场总负责人、各专业设计负责人、各专业设计驻场代表不称职时，有权向乙方发出书面更换人员通知，乙方应当在收到甲方的书面通知后5天内更换，更换人员的职务、资历、资格不得低于本合同相应条款的要求，且更换人员须先经过甲方</w:t>
      </w:r>
      <w:r>
        <w:rPr>
          <w:rFonts w:hint="eastAsia" w:ascii="宋体" w:hAnsi="宋体"/>
          <w:snapToGrid w:val="0"/>
          <w:color w:val="auto"/>
          <w:kern w:val="0"/>
          <w:sz w:val="24"/>
          <w:highlight w:val="none"/>
          <w:lang w:eastAsia="zh-CN"/>
        </w:rPr>
        <w:t>书面</w:t>
      </w:r>
      <w:r>
        <w:rPr>
          <w:rFonts w:hint="eastAsia" w:ascii="宋体" w:hAnsi="宋体"/>
          <w:snapToGrid w:val="0"/>
          <w:color w:val="auto"/>
          <w:kern w:val="0"/>
          <w:sz w:val="24"/>
          <w:highlight w:val="none"/>
        </w:rPr>
        <w:t>确认。若乙方对甲方要求更换人员有异议时，可申请复议一次，若经复议后甲方仍然要求更换，则乙方应无条件进行更换，否则视乙方该人员从甲方发出更换通知的时间开始擅自离岗。</w:t>
      </w:r>
    </w:p>
    <w:p>
      <w:pPr>
        <w:spacing w:line="360" w:lineRule="auto"/>
        <w:ind w:firstLine="426" w:firstLineChars="177"/>
        <w:rPr>
          <w:rFonts w:hint="eastAsia"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.7</w:t>
      </w:r>
      <w:r>
        <w:rPr>
          <w:rFonts w:hint="eastAsia" w:ascii="宋体" w:hAnsi="宋体"/>
          <w:snapToGrid w:val="0"/>
          <w:color w:val="auto"/>
          <w:kern w:val="0"/>
          <w:sz w:val="24"/>
          <w:highlight w:val="none"/>
        </w:rPr>
        <w:t>当甲方认为乙方及其分包单位的设计人员、驻场人员及管理服务人员的数量、专业水平、专业配套等达不到设计所需时，甲方有权要求乙方更换及补充相关人员，直至满足设计工作要求为止，否则甲方有权扣减设计费直至解除合同等。</w:t>
      </w:r>
    </w:p>
    <w:p>
      <w:pPr>
        <w:spacing w:line="360" w:lineRule="auto"/>
        <w:ind w:firstLine="426" w:firstLineChars="177"/>
        <w:rPr>
          <w:rFonts w:ascii="宋体" w:hAnsi="宋体"/>
          <w:snapToGrid w:val="0"/>
          <w:color w:val="auto"/>
          <w:sz w:val="24"/>
          <w:highlight w:val="none"/>
        </w:rPr>
      </w:pPr>
      <w:r>
        <w:rPr>
          <w:rFonts w:hint="eastAsia" w:ascii="宋体" w:hAnsi="宋体"/>
          <w:b/>
          <w:color w:val="auto"/>
          <w:sz w:val="24"/>
          <w:highlight w:val="none"/>
          <w:lang w:val="en-US" w:eastAsia="zh-CN"/>
        </w:rPr>
        <w:t>7</w:t>
      </w:r>
      <w:r>
        <w:rPr>
          <w:rFonts w:hint="eastAsia" w:ascii="宋体" w:hAnsi="宋体"/>
          <w:b/>
          <w:color w:val="auto"/>
          <w:sz w:val="24"/>
          <w:highlight w:val="none"/>
        </w:rPr>
        <w:t>.8</w:t>
      </w:r>
      <w:r>
        <w:rPr>
          <w:rFonts w:hint="eastAsia" w:ascii="宋体" w:hAnsi="宋体"/>
          <w:color w:val="auto"/>
          <w:sz w:val="24"/>
          <w:highlight w:val="none"/>
        </w:rPr>
        <w:t xml:space="preserve"> </w:t>
      </w:r>
      <w:r>
        <w:rPr>
          <w:rFonts w:hint="eastAsia" w:ascii="宋体" w:hAnsi="宋体"/>
          <w:color w:val="auto"/>
          <w:kern w:val="0"/>
          <w:sz w:val="24"/>
          <w:highlight w:val="none"/>
        </w:rPr>
        <w:t>合同履行过程中，如项目进展不顺甲方有权随时约见乙方的法定代表人，并要求法定代表人驻场协调及安排工作，直至项目顺利开展。</w:t>
      </w:r>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16" w:name="_Toc472802244"/>
      <w:r>
        <w:rPr>
          <w:rFonts w:hint="eastAsia" w:ascii="宋体" w:hAnsi="宋体"/>
          <w:snapToGrid w:val="0"/>
          <w:color w:val="auto"/>
          <w:kern w:val="0"/>
          <w:sz w:val="24"/>
          <w:szCs w:val="24"/>
          <w:highlight w:val="none"/>
          <w:lang w:val="en-US" w:eastAsia="zh-CN"/>
        </w:rPr>
        <w:t>8</w:t>
      </w:r>
      <w:r>
        <w:rPr>
          <w:rFonts w:ascii="宋体" w:hAnsi="宋体"/>
          <w:snapToGrid w:val="0"/>
          <w:color w:val="auto"/>
          <w:kern w:val="0"/>
          <w:sz w:val="24"/>
          <w:szCs w:val="24"/>
          <w:highlight w:val="none"/>
        </w:rPr>
        <w:t>、设计成果文件的提交</w:t>
      </w:r>
      <w:bookmarkEnd w:id="16"/>
    </w:p>
    <w:p>
      <w:pPr>
        <w:spacing w:line="360" w:lineRule="auto"/>
        <w:ind w:firstLine="424" w:firstLineChars="176"/>
        <w:rPr>
          <w:rFonts w:hint="eastAsia" w:ascii="仿宋" w:hAnsi="仿宋" w:eastAsia="仿宋" w:cs="Courier New"/>
          <w:color w:val="auto"/>
          <w:sz w:val="20"/>
          <w:szCs w:val="20"/>
          <w:highlight w:val="none"/>
        </w:rPr>
      </w:pPr>
      <w:r>
        <w:rPr>
          <w:rFonts w:hint="eastAsia" w:ascii="宋体" w:hAnsi="宋体"/>
          <w:b/>
          <w:bCs/>
          <w:snapToGrid w:val="0"/>
          <w:color w:val="auto"/>
          <w:sz w:val="24"/>
          <w:highlight w:val="none"/>
          <w:lang w:val="en-US" w:eastAsia="zh-CN"/>
        </w:rPr>
        <w:t>8</w:t>
      </w:r>
      <w:r>
        <w:rPr>
          <w:rFonts w:hint="eastAsia" w:ascii="宋体" w:hAnsi="宋体"/>
          <w:b/>
          <w:bCs/>
          <w:snapToGrid w:val="0"/>
          <w:color w:val="auto"/>
          <w:sz w:val="24"/>
          <w:highlight w:val="none"/>
        </w:rPr>
        <w:t>.1</w:t>
      </w:r>
      <w:r>
        <w:rPr>
          <w:rFonts w:hint="eastAsia" w:ascii="宋体" w:hAnsi="宋体"/>
          <w:snapToGrid w:val="0"/>
          <w:color w:val="auto"/>
          <w:sz w:val="24"/>
          <w:highlight w:val="none"/>
        </w:rPr>
        <w:t>乙方提交的设计成果文件应满足合同约定的时间要求；相关设计成果文件的质量须一次性通过甲方或甲方委托的第三方根据合同约定标准进行的审核。乙方设计成果文件的提交时间以符合合同约定质量的设计成果文件的提交时间为准。设计成果文件提交的时间及套数如下：</w:t>
      </w:r>
    </w:p>
    <w:tbl>
      <w:tblPr>
        <w:tblStyle w:val="57"/>
        <w:tblW w:w="8426"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766"/>
        <w:gridCol w:w="2744"/>
        <w:gridCol w:w="2127"/>
        <w:gridCol w:w="1284"/>
        <w:gridCol w:w="150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序号</w:t>
            </w:r>
          </w:p>
        </w:tc>
        <w:tc>
          <w:tcPr>
            <w:tcW w:w="2744" w:type="dxa"/>
            <w:tcBorders>
              <w:top w:val="single" w:color="auto" w:sz="4" w:space="0"/>
              <w:left w:val="nil"/>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资料及文件名称</w:t>
            </w:r>
          </w:p>
        </w:tc>
        <w:tc>
          <w:tcPr>
            <w:tcW w:w="2127" w:type="dxa"/>
            <w:tcBorders>
              <w:top w:val="single" w:color="auto" w:sz="4" w:space="0"/>
              <w:left w:val="nil"/>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提交日期（日历</w:t>
            </w:r>
            <w:r>
              <w:rPr>
                <w:rFonts w:ascii="仿宋" w:hAnsi="仿宋" w:eastAsia="仿宋" w:cs="Courier New"/>
                <w:color w:val="auto"/>
                <w:sz w:val="20"/>
                <w:szCs w:val="20"/>
                <w:highlight w:val="none"/>
              </w:rPr>
              <w:t>日</w:t>
            </w:r>
            <w:r>
              <w:rPr>
                <w:rFonts w:hint="eastAsia" w:ascii="仿宋" w:hAnsi="仿宋" w:eastAsia="仿宋" w:cs="Courier New"/>
                <w:color w:val="auto"/>
                <w:sz w:val="20"/>
                <w:szCs w:val="20"/>
                <w:highlight w:val="none"/>
              </w:rPr>
              <w:t>）</w:t>
            </w:r>
          </w:p>
        </w:tc>
        <w:tc>
          <w:tcPr>
            <w:tcW w:w="2789"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份数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Courier New"/>
                <w:color w:val="auto"/>
                <w:sz w:val="20"/>
                <w:szCs w:val="20"/>
                <w:highlight w:val="none"/>
                <w:lang w:eastAsia="zh-CN"/>
              </w:rPr>
            </w:pPr>
            <w:r>
              <w:rPr>
                <w:rFonts w:hint="eastAsia" w:ascii="仿宋" w:hAnsi="仿宋" w:eastAsia="仿宋" w:cs="Courier New"/>
                <w:color w:val="auto"/>
                <w:sz w:val="20"/>
                <w:szCs w:val="20"/>
                <w:highlight w:val="none"/>
                <w:lang w:val="en-US" w:eastAsia="zh-CN"/>
              </w:rPr>
              <w:t>1</w:t>
            </w:r>
          </w:p>
        </w:tc>
        <w:tc>
          <w:tcPr>
            <w:tcW w:w="274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勘察</w:t>
            </w:r>
            <w:r>
              <w:rPr>
                <w:rFonts w:ascii="仿宋" w:hAnsi="仿宋" w:eastAsia="仿宋" w:cs="Courier New"/>
                <w:color w:val="auto"/>
                <w:sz w:val="20"/>
                <w:szCs w:val="20"/>
                <w:highlight w:val="none"/>
              </w:rPr>
              <w:t>大纲</w:t>
            </w:r>
          </w:p>
        </w:tc>
        <w:tc>
          <w:tcPr>
            <w:tcW w:w="2127"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中标</w:t>
            </w:r>
            <w:r>
              <w:rPr>
                <w:rFonts w:ascii="仿宋" w:hAnsi="仿宋" w:eastAsia="仿宋" w:cs="Courier New"/>
                <w:color w:val="auto"/>
                <w:sz w:val="20"/>
                <w:szCs w:val="20"/>
                <w:highlight w:val="none"/>
              </w:rPr>
              <w:t>后</w:t>
            </w:r>
            <w:r>
              <w:rPr>
                <w:rFonts w:hint="eastAsia" w:ascii="仿宋" w:hAnsi="仿宋" w:eastAsia="仿宋" w:cs="Courier New"/>
                <w:color w:val="auto"/>
                <w:sz w:val="20"/>
                <w:szCs w:val="20"/>
                <w:highlight w:val="none"/>
                <w:lang w:val="en-US" w:eastAsia="zh-CN"/>
              </w:rPr>
              <w:t>7</w:t>
            </w:r>
            <w:r>
              <w:rPr>
                <w:rFonts w:hint="eastAsia" w:ascii="仿宋" w:hAnsi="仿宋" w:eastAsia="仿宋" w:cs="Courier New"/>
                <w:color w:val="auto"/>
                <w:sz w:val="20"/>
                <w:szCs w:val="20"/>
                <w:highlight w:val="none"/>
              </w:rPr>
              <w:t>天</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3份</w:t>
            </w:r>
          </w:p>
        </w:tc>
        <w:tc>
          <w:tcPr>
            <w:tcW w:w="1505"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Courier New"/>
                <w:color w:val="auto"/>
                <w:sz w:val="20"/>
                <w:szCs w:val="20"/>
                <w:highlight w:val="none"/>
                <w:lang w:eastAsia="zh-CN"/>
              </w:rPr>
            </w:pPr>
            <w:r>
              <w:rPr>
                <w:rFonts w:hint="eastAsia" w:ascii="仿宋" w:hAnsi="仿宋" w:eastAsia="仿宋" w:cs="Courier New"/>
                <w:color w:val="auto"/>
                <w:sz w:val="20"/>
                <w:szCs w:val="20"/>
                <w:highlight w:val="none"/>
                <w:lang w:val="en-US" w:eastAsia="zh-CN"/>
              </w:rPr>
              <w:t>2</w:t>
            </w:r>
          </w:p>
        </w:tc>
        <w:tc>
          <w:tcPr>
            <w:tcW w:w="274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工可初步</w:t>
            </w:r>
            <w:r>
              <w:rPr>
                <w:rFonts w:ascii="仿宋" w:hAnsi="仿宋" w:eastAsia="仿宋" w:cs="Courier New"/>
                <w:color w:val="auto"/>
                <w:sz w:val="20"/>
                <w:szCs w:val="20"/>
                <w:highlight w:val="none"/>
              </w:rPr>
              <w:t>勘察</w:t>
            </w:r>
            <w:r>
              <w:rPr>
                <w:rFonts w:hint="eastAsia" w:ascii="仿宋" w:hAnsi="仿宋" w:eastAsia="仿宋" w:cs="Courier New"/>
                <w:color w:val="auto"/>
                <w:sz w:val="20"/>
                <w:szCs w:val="20"/>
                <w:highlight w:val="none"/>
              </w:rPr>
              <w:t>（包括</w:t>
            </w:r>
            <w:r>
              <w:rPr>
                <w:rFonts w:ascii="仿宋" w:hAnsi="仿宋" w:eastAsia="仿宋" w:cs="Courier New"/>
                <w:color w:val="auto"/>
                <w:sz w:val="20"/>
                <w:szCs w:val="20"/>
                <w:highlight w:val="none"/>
              </w:rPr>
              <w:t>建设条件摸查</w:t>
            </w:r>
            <w:r>
              <w:rPr>
                <w:rFonts w:hint="eastAsia" w:ascii="仿宋" w:hAnsi="仿宋" w:eastAsia="仿宋" w:cs="Courier New"/>
                <w:color w:val="auto"/>
                <w:sz w:val="20"/>
                <w:szCs w:val="20"/>
                <w:highlight w:val="none"/>
              </w:rPr>
              <w:t>、地下</w:t>
            </w:r>
            <w:r>
              <w:rPr>
                <w:rFonts w:ascii="仿宋" w:hAnsi="仿宋" w:eastAsia="仿宋" w:cs="Courier New"/>
                <w:color w:val="auto"/>
                <w:sz w:val="20"/>
                <w:szCs w:val="20"/>
                <w:highlight w:val="none"/>
              </w:rPr>
              <w:t>管线障碍物物探</w:t>
            </w:r>
            <w:r>
              <w:rPr>
                <w:rFonts w:hint="eastAsia" w:ascii="仿宋" w:hAnsi="仿宋" w:eastAsia="仿宋" w:cs="Courier New"/>
                <w:color w:val="auto"/>
                <w:sz w:val="20"/>
                <w:szCs w:val="20"/>
                <w:highlight w:val="none"/>
              </w:rPr>
              <w:t>、地形测量、初步地质勘察）报告</w:t>
            </w:r>
          </w:p>
        </w:tc>
        <w:tc>
          <w:tcPr>
            <w:tcW w:w="2127"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中标后</w:t>
            </w:r>
            <w:r>
              <w:rPr>
                <w:rFonts w:hint="eastAsia" w:ascii="仿宋" w:hAnsi="仿宋" w:eastAsia="仿宋" w:cs="Courier New"/>
                <w:color w:val="auto"/>
                <w:sz w:val="20"/>
                <w:szCs w:val="20"/>
                <w:highlight w:val="none"/>
                <w:lang w:val="en-US" w:eastAsia="zh-CN"/>
              </w:rPr>
              <w:t>2</w:t>
            </w:r>
            <w:r>
              <w:rPr>
                <w:rFonts w:ascii="仿宋" w:hAnsi="仿宋" w:eastAsia="仿宋" w:cs="Courier New"/>
                <w:color w:val="auto"/>
                <w:sz w:val="20"/>
                <w:szCs w:val="20"/>
                <w:highlight w:val="none"/>
              </w:rPr>
              <w:t>0</w:t>
            </w:r>
            <w:r>
              <w:rPr>
                <w:rFonts w:hint="eastAsia" w:ascii="仿宋" w:hAnsi="仿宋" w:eastAsia="仿宋" w:cs="Courier New"/>
                <w:color w:val="auto"/>
                <w:sz w:val="20"/>
                <w:szCs w:val="20"/>
                <w:highlight w:val="none"/>
              </w:rPr>
              <w:t>天</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ascii="仿宋" w:hAnsi="仿宋" w:eastAsia="仿宋" w:cs="Courier New"/>
                <w:color w:val="auto"/>
                <w:sz w:val="20"/>
                <w:szCs w:val="20"/>
                <w:highlight w:val="none"/>
              </w:rPr>
              <w:t>5</w:t>
            </w:r>
            <w:r>
              <w:rPr>
                <w:rFonts w:hint="eastAsia" w:ascii="仿宋" w:hAnsi="仿宋" w:eastAsia="仿宋" w:cs="Courier New"/>
                <w:color w:val="auto"/>
                <w:sz w:val="20"/>
                <w:szCs w:val="20"/>
                <w:highlight w:val="none"/>
              </w:rPr>
              <w:t>，或按甲方要求提供</w:t>
            </w:r>
          </w:p>
        </w:tc>
        <w:tc>
          <w:tcPr>
            <w:tcW w:w="1505"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lang w:val="en-US" w:eastAsia="zh-CN"/>
              </w:rPr>
              <w:t>3</w:t>
            </w:r>
          </w:p>
        </w:tc>
        <w:tc>
          <w:tcPr>
            <w:tcW w:w="274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详细</w:t>
            </w:r>
            <w:r>
              <w:rPr>
                <w:rFonts w:ascii="仿宋" w:hAnsi="仿宋" w:eastAsia="仿宋" w:cs="Courier New"/>
                <w:color w:val="auto"/>
                <w:sz w:val="20"/>
                <w:szCs w:val="20"/>
                <w:highlight w:val="none"/>
              </w:rPr>
              <w:t>勘察</w:t>
            </w:r>
            <w:r>
              <w:rPr>
                <w:rFonts w:hint="eastAsia" w:ascii="仿宋" w:hAnsi="仿宋" w:eastAsia="仿宋" w:cs="Courier New"/>
                <w:color w:val="auto"/>
                <w:sz w:val="20"/>
                <w:szCs w:val="20"/>
                <w:highlight w:val="none"/>
              </w:rPr>
              <w:t>（包括工程测量）</w:t>
            </w:r>
          </w:p>
        </w:tc>
        <w:tc>
          <w:tcPr>
            <w:tcW w:w="2127"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中标后</w:t>
            </w:r>
            <w:r>
              <w:rPr>
                <w:rFonts w:hint="eastAsia" w:ascii="仿宋" w:hAnsi="仿宋" w:eastAsia="仿宋" w:cs="Courier New"/>
                <w:color w:val="auto"/>
                <w:sz w:val="20"/>
                <w:szCs w:val="20"/>
                <w:highlight w:val="none"/>
                <w:lang w:val="en-US" w:eastAsia="zh-CN"/>
              </w:rPr>
              <w:t>3</w:t>
            </w:r>
            <w:r>
              <w:rPr>
                <w:rFonts w:ascii="仿宋" w:hAnsi="仿宋" w:eastAsia="仿宋" w:cs="Courier New"/>
                <w:color w:val="auto"/>
                <w:sz w:val="20"/>
                <w:szCs w:val="20"/>
                <w:highlight w:val="none"/>
              </w:rPr>
              <w:t>0天</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10，或按甲方要求提供</w:t>
            </w:r>
          </w:p>
        </w:tc>
        <w:tc>
          <w:tcPr>
            <w:tcW w:w="1505"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lang w:val="en-US" w:eastAsia="zh-CN"/>
              </w:rPr>
              <w:t>4</w:t>
            </w:r>
          </w:p>
        </w:tc>
        <w:tc>
          <w:tcPr>
            <w:tcW w:w="274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初步设计及概算（报批稿）</w:t>
            </w:r>
          </w:p>
        </w:tc>
        <w:tc>
          <w:tcPr>
            <w:tcW w:w="2127"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lang w:val="en-US" w:eastAsia="zh-CN"/>
              </w:rPr>
              <w:t>可研批复</w:t>
            </w:r>
            <w:r>
              <w:rPr>
                <w:rFonts w:hint="eastAsia" w:ascii="仿宋" w:hAnsi="仿宋" w:eastAsia="仿宋" w:cs="Courier New"/>
                <w:color w:val="auto"/>
                <w:sz w:val="20"/>
                <w:szCs w:val="20"/>
                <w:highlight w:val="none"/>
              </w:rPr>
              <w:t>后</w:t>
            </w:r>
            <w:r>
              <w:rPr>
                <w:rFonts w:hint="eastAsia" w:ascii="仿宋" w:hAnsi="仿宋" w:eastAsia="仿宋" w:cs="Courier New"/>
                <w:color w:val="auto"/>
                <w:sz w:val="20"/>
                <w:szCs w:val="20"/>
                <w:highlight w:val="none"/>
                <w:lang w:val="en-US" w:eastAsia="zh-CN"/>
              </w:rPr>
              <w:t>15</w:t>
            </w:r>
            <w:r>
              <w:rPr>
                <w:rFonts w:hint="eastAsia" w:ascii="仿宋" w:hAnsi="仿宋" w:eastAsia="仿宋" w:cs="Courier New"/>
                <w:color w:val="auto"/>
                <w:sz w:val="20"/>
                <w:szCs w:val="20"/>
                <w:highlight w:val="none"/>
              </w:rPr>
              <w:t>天</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按初步</w:t>
            </w:r>
            <w:r>
              <w:rPr>
                <w:rFonts w:ascii="仿宋" w:hAnsi="仿宋" w:eastAsia="仿宋" w:cs="Courier New"/>
                <w:color w:val="auto"/>
                <w:sz w:val="20"/>
                <w:szCs w:val="20"/>
                <w:highlight w:val="none"/>
              </w:rPr>
              <w:t>设计审查要求</w:t>
            </w:r>
            <w:r>
              <w:rPr>
                <w:rFonts w:hint="eastAsia" w:ascii="仿宋" w:hAnsi="仿宋" w:eastAsia="仿宋" w:cs="Courier New"/>
                <w:color w:val="auto"/>
                <w:sz w:val="20"/>
                <w:szCs w:val="20"/>
                <w:highlight w:val="none"/>
              </w:rPr>
              <w:t>提供</w:t>
            </w:r>
          </w:p>
        </w:tc>
        <w:tc>
          <w:tcPr>
            <w:tcW w:w="1505"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电子文档1份（含符合评审要求的软件版）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85"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lang w:val="en-US" w:eastAsia="zh-CN"/>
              </w:rPr>
              <w:t>5</w:t>
            </w:r>
          </w:p>
        </w:tc>
        <w:tc>
          <w:tcPr>
            <w:tcW w:w="274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多媒体介绍片（约1</w:t>
            </w:r>
            <w:r>
              <w:rPr>
                <w:rFonts w:ascii="仿宋" w:hAnsi="仿宋" w:eastAsia="仿宋" w:cs="Courier New"/>
                <w:color w:val="auto"/>
                <w:sz w:val="20"/>
                <w:szCs w:val="20"/>
                <w:highlight w:val="none"/>
              </w:rPr>
              <w:t>0</w:t>
            </w:r>
            <w:r>
              <w:rPr>
                <w:rFonts w:hint="eastAsia" w:ascii="仿宋" w:hAnsi="仿宋" w:eastAsia="仿宋" w:cs="Courier New"/>
                <w:color w:val="auto"/>
                <w:sz w:val="20"/>
                <w:szCs w:val="20"/>
                <w:highlight w:val="none"/>
              </w:rPr>
              <w:t>分钟）</w:t>
            </w:r>
          </w:p>
        </w:tc>
        <w:tc>
          <w:tcPr>
            <w:tcW w:w="2127"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中标后</w:t>
            </w:r>
            <w:r>
              <w:rPr>
                <w:rFonts w:ascii="仿宋" w:hAnsi="仿宋" w:eastAsia="仿宋" w:cs="Courier New"/>
                <w:color w:val="auto"/>
                <w:sz w:val="20"/>
                <w:szCs w:val="20"/>
                <w:highlight w:val="none"/>
              </w:rPr>
              <w:t>90</w:t>
            </w:r>
            <w:r>
              <w:rPr>
                <w:rFonts w:hint="eastAsia" w:ascii="仿宋" w:hAnsi="仿宋" w:eastAsia="仿宋" w:cs="Courier New"/>
                <w:color w:val="auto"/>
                <w:sz w:val="20"/>
                <w:szCs w:val="20"/>
                <w:highlight w:val="none"/>
              </w:rPr>
              <w:t>天</w:t>
            </w:r>
          </w:p>
        </w:tc>
        <w:tc>
          <w:tcPr>
            <w:tcW w:w="1284"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w:t>
            </w:r>
            <w:r>
              <w:rPr>
                <w:rFonts w:ascii="仿宋" w:hAnsi="仿宋" w:eastAsia="仿宋" w:cs="Courier New"/>
                <w:color w:val="auto"/>
                <w:sz w:val="20"/>
                <w:szCs w:val="20"/>
                <w:highlight w:val="none"/>
              </w:rPr>
              <w:t>-</w:t>
            </w:r>
          </w:p>
        </w:tc>
        <w:tc>
          <w:tcPr>
            <w:tcW w:w="1505" w:type="dxa"/>
            <w:tcBorders>
              <w:top w:val="single" w:color="auto" w:sz="4" w:space="0"/>
              <w:left w:val="nil"/>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40" w:hRule="atLeast"/>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lang w:val="en-US" w:eastAsia="zh-CN"/>
              </w:rPr>
              <w:t>6</w:t>
            </w:r>
          </w:p>
        </w:tc>
        <w:tc>
          <w:tcPr>
            <w:tcW w:w="27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初步设计（修编）</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通过</w:t>
            </w:r>
            <w:r>
              <w:rPr>
                <w:rFonts w:hint="eastAsia" w:ascii="仿宋" w:hAnsi="仿宋" w:eastAsia="仿宋" w:cs="Courier New"/>
                <w:color w:val="auto"/>
                <w:sz w:val="20"/>
                <w:szCs w:val="20"/>
                <w:highlight w:val="none"/>
                <w:lang w:val="en-US" w:eastAsia="zh-CN"/>
              </w:rPr>
              <w:t>技术</w:t>
            </w:r>
            <w:r>
              <w:rPr>
                <w:rFonts w:ascii="仿宋" w:hAnsi="仿宋" w:eastAsia="仿宋" w:cs="Courier New"/>
                <w:color w:val="auto"/>
                <w:sz w:val="20"/>
                <w:szCs w:val="20"/>
                <w:highlight w:val="none"/>
              </w:rPr>
              <w:t>审查后</w:t>
            </w:r>
            <w:r>
              <w:rPr>
                <w:rFonts w:hint="eastAsia" w:ascii="仿宋" w:hAnsi="仿宋" w:eastAsia="仿宋" w:cs="Courier New"/>
                <w:color w:val="auto"/>
                <w:sz w:val="20"/>
                <w:szCs w:val="20"/>
                <w:highlight w:val="none"/>
                <w:lang w:val="en-US" w:eastAsia="zh-CN"/>
              </w:rPr>
              <w:t>7</w:t>
            </w:r>
            <w:r>
              <w:rPr>
                <w:rFonts w:hint="eastAsia" w:ascii="仿宋" w:hAnsi="仿宋" w:eastAsia="仿宋" w:cs="Courier New"/>
                <w:color w:val="auto"/>
                <w:sz w:val="20"/>
                <w:szCs w:val="20"/>
                <w:highlight w:val="none"/>
              </w:rPr>
              <w:t>天</w:t>
            </w:r>
          </w:p>
        </w:tc>
        <w:tc>
          <w:tcPr>
            <w:tcW w:w="12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5，或按甲方要求提供</w:t>
            </w:r>
          </w:p>
        </w:tc>
        <w:tc>
          <w:tcPr>
            <w:tcW w:w="15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40" w:hRule="atLeast"/>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lang w:val="en-US" w:eastAsia="zh-CN"/>
              </w:rPr>
              <w:t>7</w:t>
            </w:r>
          </w:p>
        </w:tc>
        <w:tc>
          <w:tcPr>
            <w:tcW w:w="274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设计总结专著</w:t>
            </w:r>
          </w:p>
        </w:tc>
        <w:tc>
          <w:tcPr>
            <w:tcW w:w="212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初步设计</w:t>
            </w:r>
            <w:r>
              <w:rPr>
                <w:rFonts w:ascii="仿宋" w:hAnsi="仿宋" w:eastAsia="仿宋" w:cs="Courier New"/>
                <w:color w:val="auto"/>
                <w:sz w:val="20"/>
                <w:szCs w:val="20"/>
                <w:highlight w:val="none"/>
              </w:rPr>
              <w:t>批复后</w:t>
            </w:r>
            <w:r>
              <w:rPr>
                <w:rFonts w:hint="eastAsia" w:ascii="仿宋" w:hAnsi="仿宋" w:eastAsia="仿宋" w:cs="Courier New"/>
                <w:color w:val="auto"/>
                <w:sz w:val="20"/>
                <w:szCs w:val="20"/>
                <w:highlight w:val="none"/>
                <w:lang w:val="en-US" w:eastAsia="zh-CN"/>
              </w:rPr>
              <w:t>3</w:t>
            </w:r>
            <w:r>
              <w:rPr>
                <w:rFonts w:hint="eastAsia" w:ascii="仿宋" w:hAnsi="仿宋" w:eastAsia="仿宋" w:cs="Courier New"/>
                <w:color w:val="auto"/>
                <w:sz w:val="20"/>
                <w:szCs w:val="20"/>
                <w:highlight w:val="none"/>
              </w:rPr>
              <w:t>0天</w:t>
            </w:r>
          </w:p>
        </w:tc>
        <w:tc>
          <w:tcPr>
            <w:tcW w:w="12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专著1本</w:t>
            </w:r>
          </w:p>
        </w:tc>
        <w:tc>
          <w:tcPr>
            <w:tcW w:w="15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Courier New"/>
                <w:color w:val="auto"/>
                <w:sz w:val="20"/>
                <w:szCs w:val="20"/>
                <w:highlight w:val="none"/>
              </w:rPr>
            </w:pPr>
            <w:r>
              <w:rPr>
                <w:rFonts w:hint="eastAsia" w:ascii="仿宋" w:hAnsi="仿宋" w:eastAsia="仿宋" w:cs="Courier New"/>
                <w:color w:val="auto"/>
                <w:sz w:val="20"/>
                <w:szCs w:val="20"/>
                <w:highlight w:val="none"/>
              </w:rPr>
              <w:t>电子文档1份</w:t>
            </w:r>
          </w:p>
        </w:tc>
      </w:tr>
    </w:tbl>
    <w:p>
      <w:pPr>
        <w:spacing w:line="360" w:lineRule="auto"/>
        <w:ind w:firstLine="360" w:firstLineChars="150"/>
        <w:rPr>
          <w:rFonts w:ascii="宋体" w:hAnsi="宋体"/>
          <w:snapToGrid w:val="0"/>
          <w:color w:val="auto"/>
          <w:sz w:val="24"/>
          <w:highlight w:val="none"/>
        </w:rPr>
      </w:pPr>
      <w:r>
        <w:rPr>
          <w:rFonts w:hint="eastAsia" w:ascii="宋体" w:hAnsi="宋体"/>
          <w:snapToGrid w:val="0"/>
          <w:color w:val="auto"/>
          <w:sz w:val="24"/>
          <w:highlight w:val="none"/>
        </w:rPr>
        <w:t>注：合同约定的所有设计工作成果文件均不另行支付费用。</w:t>
      </w:r>
    </w:p>
    <w:p>
      <w:pPr>
        <w:spacing w:line="360" w:lineRule="auto"/>
        <w:ind w:firstLine="424" w:firstLineChars="176"/>
        <w:rPr>
          <w:rFonts w:ascii="宋体" w:hAnsi="宋体"/>
          <w:bCs/>
          <w:snapToGrid w:val="0"/>
          <w:color w:val="auto"/>
          <w:sz w:val="24"/>
          <w:highlight w:val="none"/>
        </w:rPr>
      </w:pPr>
      <w:r>
        <w:rPr>
          <w:rFonts w:hint="eastAsia" w:ascii="宋体" w:hAnsi="宋体"/>
          <w:b/>
          <w:snapToGrid w:val="0"/>
          <w:color w:val="auto"/>
          <w:sz w:val="24"/>
          <w:highlight w:val="none"/>
          <w:lang w:val="en-US" w:eastAsia="zh-CN"/>
        </w:rPr>
        <w:t>8</w:t>
      </w:r>
      <w:r>
        <w:rPr>
          <w:rFonts w:hint="eastAsia" w:ascii="宋体" w:hAnsi="宋体"/>
          <w:b/>
          <w:snapToGrid w:val="0"/>
          <w:color w:val="auto"/>
          <w:sz w:val="24"/>
          <w:highlight w:val="none"/>
        </w:rPr>
        <w:t>.2</w:t>
      </w:r>
      <w:r>
        <w:rPr>
          <w:rFonts w:hint="eastAsia" w:ascii="宋体" w:hAnsi="宋体"/>
          <w:snapToGrid w:val="0"/>
          <w:color w:val="auto"/>
          <w:sz w:val="24"/>
          <w:highlight w:val="none"/>
        </w:rPr>
        <w:t>乙方必须按照经过甲方审批确定的设计进度计划及时提交</w:t>
      </w:r>
      <w:r>
        <w:rPr>
          <w:rFonts w:hint="eastAsia" w:ascii="宋体" w:hAnsi="宋体"/>
          <w:bCs/>
          <w:snapToGrid w:val="0"/>
          <w:color w:val="auto"/>
          <w:sz w:val="24"/>
          <w:highlight w:val="none"/>
        </w:rPr>
        <w:t>设计中间资料，以满足甲方开展有关工作的需要，有关费用已包含在本合同约定的设计费用之内。</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8</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乙方向甲方提交的各版次设计成果文件应满足勘察设计文件审批的要求及本工程各阶段建设的需要。</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8</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乙方按合同约定的时限将设计成果文件或资料交付至甲方指定的地点，相关费用（包括运输、邮寄、电传、关税等费用）已经含于设计费中。</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8</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在报建过程中需要提供设计成果文件或设计中间资料的电子文档的，乙方应无偿提供。</w:t>
      </w:r>
    </w:p>
    <w:p>
      <w:pPr>
        <w:spacing w:line="360" w:lineRule="auto"/>
        <w:ind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17" w:name="_Toc472802245"/>
      <w:r>
        <w:rPr>
          <w:rFonts w:hint="eastAsia"/>
          <w:color w:val="auto"/>
          <w:sz w:val="30"/>
          <w:szCs w:val="30"/>
          <w:highlight w:val="none"/>
        </w:rPr>
        <w:t>第四章  设计质量</w:t>
      </w:r>
      <w:bookmarkEnd w:id="17"/>
    </w:p>
    <w:p>
      <w:pPr>
        <w:pStyle w:val="6"/>
        <w:spacing w:before="0" w:after="0" w:line="360" w:lineRule="auto"/>
        <w:ind w:firstLine="424" w:firstLineChars="176"/>
        <w:rPr>
          <w:rFonts w:ascii="宋体" w:hAnsi="宋体"/>
          <w:bCs w:val="0"/>
          <w:snapToGrid w:val="0"/>
          <w:color w:val="auto"/>
          <w:kern w:val="0"/>
          <w:sz w:val="24"/>
          <w:szCs w:val="24"/>
          <w:highlight w:val="none"/>
        </w:rPr>
      </w:pPr>
      <w:bookmarkStart w:id="18" w:name="_Toc472802246"/>
      <w:r>
        <w:rPr>
          <w:rFonts w:hint="eastAsia" w:ascii="宋体" w:hAnsi="宋体"/>
          <w:snapToGrid w:val="0"/>
          <w:color w:val="auto"/>
          <w:kern w:val="0"/>
          <w:sz w:val="24"/>
          <w:szCs w:val="24"/>
          <w:highlight w:val="none"/>
          <w:lang w:val="en-US" w:eastAsia="zh-CN"/>
        </w:rPr>
        <w:t>9</w:t>
      </w:r>
      <w:r>
        <w:rPr>
          <w:rFonts w:hint="eastAsia" w:ascii="宋体" w:hAnsi="宋体"/>
          <w:snapToGrid w:val="0"/>
          <w:color w:val="auto"/>
          <w:kern w:val="0"/>
          <w:sz w:val="24"/>
          <w:szCs w:val="24"/>
          <w:highlight w:val="none"/>
        </w:rPr>
        <w:t>、设计的质量要求</w:t>
      </w:r>
      <w:bookmarkEnd w:id="18"/>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9</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设计应体现甲方的建设意图，满足甲方所提供计技术文件要求，应符合有关法律、法规</w:t>
      </w:r>
      <w:r>
        <w:rPr>
          <w:rFonts w:hint="eastAsia" w:ascii="宋体" w:hAnsi="宋体"/>
          <w:snapToGrid w:val="0"/>
          <w:color w:val="auto"/>
          <w:kern w:val="0"/>
          <w:sz w:val="24"/>
          <w:highlight w:val="none"/>
          <w:lang w:eastAsia="zh-CN"/>
        </w:rPr>
        <w:t>、规章</w:t>
      </w:r>
      <w:r>
        <w:rPr>
          <w:rFonts w:hint="eastAsia" w:ascii="宋体" w:hAnsi="宋体"/>
          <w:snapToGrid w:val="0"/>
          <w:color w:val="auto"/>
          <w:kern w:val="0"/>
          <w:sz w:val="24"/>
          <w:highlight w:val="none"/>
        </w:rPr>
        <w:t>的规定，符合建设工程质量、安全标准，符合建设工程勘察设计的技术规范（尤其是强制性规范），达到设计任务书的要求，满足本工程的功能需求。在控制投资的同时，做到美观、适用、安全、经济，并具备良好的节能环保特性，取得良好的社会效益。</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9</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乙方的设计成果文件应满足（《建筑工程设计文件编制深度规定》（2016年版）、</w:t>
      </w:r>
      <w:r>
        <w:rPr>
          <w:rFonts w:hint="eastAsia" w:ascii="宋体" w:hAnsi="宋体"/>
          <w:bCs/>
          <w:snapToGrid w:val="0"/>
          <w:color w:val="auto"/>
          <w:kern w:val="0"/>
          <w:sz w:val="24"/>
          <w:highlight w:val="none"/>
        </w:rPr>
        <w:t>《市政公用工程设计文件编制深度规定》（2013年版））</w:t>
      </w:r>
      <w:r>
        <w:rPr>
          <w:rFonts w:hint="eastAsia" w:ascii="宋体" w:hAnsi="宋体"/>
          <w:snapToGrid w:val="0"/>
          <w:color w:val="auto"/>
          <w:kern w:val="0"/>
          <w:sz w:val="24"/>
          <w:highlight w:val="none"/>
        </w:rPr>
        <w:t>中的相关要求，并按照专家评审意见和甲方要求对设计进行深化、优化。乙方对本合同范围内的勘察、设计成果文件达到合同约定的相应设计深度负总体责任。</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9</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乙方在设计过程中应考虑工程实施的可操作性，对工序方案提出相应的技术要求，应明确提出关键工序的工艺要求、质量控制要求及安全技术措施方案。</w:t>
      </w:r>
    </w:p>
    <w:p>
      <w:pPr>
        <w:spacing w:line="360" w:lineRule="auto"/>
        <w:ind w:firstLine="424" w:firstLineChars="176"/>
        <w:rPr>
          <w:rFonts w:ascii="宋体" w:hAnsi="宋体"/>
          <w:strike/>
          <w:snapToGrid w:val="0"/>
          <w:color w:val="auto"/>
          <w:kern w:val="0"/>
          <w:sz w:val="24"/>
          <w:highlight w:val="none"/>
        </w:rPr>
      </w:pPr>
      <w:r>
        <w:rPr>
          <w:rFonts w:hint="eastAsia" w:ascii="宋体" w:hAnsi="宋体"/>
          <w:b/>
          <w:snapToGrid w:val="0"/>
          <w:color w:val="auto"/>
          <w:kern w:val="0"/>
          <w:sz w:val="24"/>
          <w:highlight w:val="none"/>
          <w:lang w:val="en-US" w:eastAsia="zh-CN"/>
        </w:rPr>
        <w:t>9</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勘察、设计成果文件的计量单位均应采用国际标准计量单位。</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9</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设计图纸必须按照国家对工程图纸规格的规定绘制，保持同类图纸规格统一。</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9</w:t>
      </w:r>
      <w:r>
        <w:rPr>
          <w:rFonts w:hint="eastAsia" w:ascii="宋体" w:hAnsi="宋体"/>
          <w:b/>
          <w:snapToGrid w:val="0"/>
          <w:color w:val="auto"/>
          <w:kern w:val="0"/>
          <w:sz w:val="24"/>
          <w:highlight w:val="none"/>
        </w:rPr>
        <w:t>.6</w:t>
      </w:r>
      <w:r>
        <w:rPr>
          <w:rFonts w:hint="eastAsia" w:ascii="宋体" w:hAnsi="宋体"/>
          <w:snapToGrid w:val="0"/>
          <w:color w:val="auto"/>
          <w:kern w:val="0"/>
          <w:sz w:val="24"/>
          <w:highlight w:val="none"/>
        </w:rPr>
        <w:t>乙方应根据甲方及甲方委托的第三方对勘察、设计成果文件的审核意见对勘察、设计进行必要的修改。当乙方提交的勘察、设计成果文件不符合本合同所约定的质量要求时，乙方应在收到甲方、甲方委托的第三方的通知后5天内将经过修改的符合规定的勘察、设计文件交付甲方。</w:t>
      </w:r>
    </w:p>
    <w:p>
      <w:pPr>
        <w:spacing w:line="360" w:lineRule="auto"/>
        <w:ind w:firstLine="424" w:firstLineChars="176"/>
        <w:rPr>
          <w:rFonts w:hint="eastAsia" w:ascii="宋体" w:hAnsi="宋体"/>
          <w:snapToGrid w:val="0"/>
          <w:color w:val="auto"/>
          <w:sz w:val="24"/>
          <w:highlight w:val="none"/>
        </w:rPr>
      </w:pPr>
      <w:r>
        <w:rPr>
          <w:rFonts w:hint="eastAsia" w:ascii="宋体" w:hAnsi="宋体"/>
          <w:b/>
          <w:snapToGrid w:val="0"/>
          <w:color w:val="auto"/>
          <w:sz w:val="24"/>
          <w:highlight w:val="none"/>
          <w:lang w:val="en-US" w:eastAsia="zh-CN"/>
        </w:rPr>
        <w:t>9</w:t>
      </w:r>
      <w:r>
        <w:rPr>
          <w:rFonts w:hint="eastAsia" w:ascii="宋体" w:hAnsi="宋体"/>
          <w:b/>
          <w:snapToGrid w:val="0"/>
          <w:color w:val="auto"/>
          <w:sz w:val="24"/>
          <w:highlight w:val="none"/>
        </w:rPr>
        <w:t>.7</w:t>
      </w:r>
      <w:r>
        <w:rPr>
          <w:rFonts w:hint="eastAsia" w:ascii="宋体" w:hAnsi="宋体"/>
          <w:snapToGrid w:val="0"/>
          <w:color w:val="auto"/>
          <w:sz w:val="24"/>
          <w:highlight w:val="none"/>
        </w:rPr>
        <w:t>乙方应提供国际权威机构或国内有关部门对新材料及特殊结构的试验报告，并提供相应新材料及特殊结构在工程中应用的经验供甲方参考。</w:t>
      </w:r>
    </w:p>
    <w:p>
      <w:pPr>
        <w:spacing w:line="360" w:lineRule="auto"/>
        <w:ind w:firstLine="422" w:firstLineChars="176"/>
        <w:rPr>
          <w:rFonts w:hint="eastAsia" w:ascii="宋体" w:hAnsi="宋体"/>
          <w:snapToGrid w:val="0"/>
          <w:color w:val="auto"/>
          <w:sz w:val="24"/>
          <w:highlight w:val="none"/>
        </w:rPr>
      </w:pPr>
    </w:p>
    <w:p>
      <w:pPr>
        <w:pStyle w:val="4"/>
        <w:jc w:val="center"/>
        <w:rPr>
          <w:rFonts w:hint="eastAsia"/>
          <w:color w:val="auto"/>
          <w:sz w:val="30"/>
          <w:szCs w:val="30"/>
          <w:highlight w:val="none"/>
        </w:rPr>
      </w:pPr>
      <w:bookmarkStart w:id="19" w:name="_Toc472802247"/>
      <w:bookmarkStart w:id="20" w:name="_Toc472802248"/>
      <w:r>
        <w:rPr>
          <w:rFonts w:hint="eastAsia"/>
          <w:color w:val="auto"/>
          <w:sz w:val="30"/>
          <w:szCs w:val="30"/>
          <w:highlight w:val="none"/>
        </w:rPr>
        <w:t>第五章  设计事故</w:t>
      </w:r>
      <w:bookmarkEnd w:id="19"/>
    </w:p>
    <w:p>
      <w:pPr>
        <w:pStyle w:val="6"/>
        <w:spacing w:before="0" w:after="0" w:line="360" w:lineRule="auto"/>
        <w:ind w:firstLine="424" w:firstLineChars="176"/>
        <w:rPr>
          <w:rFonts w:ascii="宋体" w:hAnsi="宋体"/>
          <w:b w:val="0"/>
          <w:snapToGrid w:val="0"/>
          <w:color w:val="auto"/>
          <w:sz w:val="24"/>
          <w:szCs w:val="24"/>
          <w:highlight w:val="none"/>
        </w:rPr>
      </w:pPr>
      <w:r>
        <w:rPr>
          <w:rFonts w:hint="eastAsia" w:ascii="宋体" w:hAnsi="宋体"/>
          <w:snapToGrid w:val="0"/>
          <w:color w:val="auto"/>
          <w:sz w:val="24"/>
          <w:szCs w:val="24"/>
          <w:highlight w:val="none"/>
          <w:lang w:val="en-US" w:eastAsia="zh-CN"/>
        </w:rPr>
        <w:t>10</w:t>
      </w:r>
      <w:r>
        <w:rPr>
          <w:rFonts w:hint="eastAsia" w:ascii="宋体" w:hAnsi="宋体"/>
          <w:snapToGrid w:val="0"/>
          <w:color w:val="auto"/>
          <w:sz w:val="24"/>
          <w:szCs w:val="24"/>
          <w:highlight w:val="none"/>
        </w:rPr>
        <w:t>、设计事故</w:t>
      </w:r>
      <w:bookmarkEnd w:id="20"/>
    </w:p>
    <w:p>
      <w:pPr>
        <w:spacing w:line="360" w:lineRule="auto"/>
        <w:ind w:firstLine="424" w:firstLineChars="176"/>
        <w:rPr>
          <w:rFonts w:ascii="宋体" w:hAnsi="宋体"/>
          <w:snapToGrid w:val="0"/>
          <w:color w:val="auto"/>
          <w:sz w:val="24"/>
          <w:highlight w:val="none"/>
        </w:rPr>
      </w:pPr>
      <w:r>
        <w:rPr>
          <w:rFonts w:hint="eastAsia" w:ascii="宋体" w:hAnsi="宋体"/>
          <w:b/>
          <w:snapToGrid w:val="0"/>
          <w:color w:val="auto"/>
          <w:sz w:val="24"/>
          <w:highlight w:val="none"/>
        </w:rPr>
        <w:t>1</w:t>
      </w:r>
      <w:r>
        <w:rPr>
          <w:rFonts w:hint="eastAsia" w:ascii="宋体" w:hAnsi="宋体"/>
          <w:b/>
          <w:snapToGrid w:val="0"/>
          <w:color w:val="auto"/>
          <w:sz w:val="24"/>
          <w:highlight w:val="none"/>
          <w:lang w:val="en-US" w:eastAsia="zh-CN"/>
        </w:rPr>
        <w:t>0</w:t>
      </w:r>
      <w:r>
        <w:rPr>
          <w:rFonts w:hint="eastAsia" w:ascii="宋体" w:hAnsi="宋体"/>
          <w:b/>
          <w:snapToGrid w:val="0"/>
          <w:color w:val="auto"/>
          <w:sz w:val="24"/>
          <w:highlight w:val="none"/>
        </w:rPr>
        <w:t>.1</w:t>
      </w:r>
      <w:r>
        <w:rPr>
          <w:rFonts w:hint="eastAsia" w:ascii="宋体" w:hAnsi="宋体"/>
          <w:snapToGrid w:val="0"/>
          <w:color w:val="auto"/>
          <w:sz w:val="24"/>
          <w:highlight w:val="none"/>
        </w:rPr>
        <w:t>按乙方违约行为的严重，设计事故分为一类设计事故及二类设计事故，具体如下：</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（1）一类设计事故（符合下列条件之一，但未达到二类设计事故标准的）：</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1）乙方逾期提交设计成果文件10天以上（含10天），或累计达15天以上（含15天）。</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2）乙方提交的设计成果文件违反国家相关强制性规定累计发生2例（含</w:t>
      </w:r>
      <w:r>
        <w:rPr>
          <w:rFonts w:hint="eastAsia" w:ascii="宋体" w:hAnsi="宋体"/>
          <w:snapToGrid w:val="0"/>
          <w:color w:val="auto"/>
          <w:kern w:val="0"/>
          <w:sz w:val="24"/>
          <w:highlight w:val="none"/>
          <w:lang w:val="en-US" w:eastAsia="zh-CN"/>
        </w:rPr>
        <w:t>2</w:t>
      </w:r>
      <w:r>
        <w:rPr>
          <w:rFonts w:hint="eastAsia" w:ascii="宋体" w:hAnsi="宋体"/>
          <w:snapToGrid w:val="0"/>
          <w:color w:val="auto"/>
          <w:kern w:val="0"/>
          <w:sz w:val="24"/>
          <w:highlight w:val="none"/>
        </w:rPr>
        <w:t>例，设计成果文件中每1处违反1条强制性规定的为1例</w:t>
      </w:r>
      <w:r>
        <w:rPr>
          <w:rFonts w:ascii="宋体" w:hAnsi="宋体"/>
          <w:snapToGrid w:val="0"/>
          <w:color w:val="auto"/>
          <w:kern w:val="0"/>
          <w:sz w:val="24"/>
          <w:highlight w:val="none"/>
        </w:rPr>
        <w:t>）</w:t>
      </w:r>
      <w:r>
        <w:rPr>
          <w:rFonts w:hint="eastAsia" w:ascii="宋体" w:hAnsi="宋体"/>
          <w:snapToGrid w:val="0"/>
          <w:color w:val="auto"/>
          <w:kern w:val="0"/>
          <w:sz w:val="24"/>
          <w:highlight w:val="none"/>
        </w:rPr>
        <w:t>。</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如乙方的设计成果文件中含有明显倾向于某一专门厂商生产的设备、材料的描述，或在其设计成果文件中选用了具有专一性、排他性的材料、设备而又未事先向甲方书面报告并详细说明理由的，累计出现2次以上（含2次）。</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4）乙方设计成果文件出现错、漏、碰，直接导致甲方招标工作进度、项目施工进度逾期累计7天以上（含7天），或累计达10天（含10天）以上的。</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（2）二类设计事故（符合下列条件之一）：</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1）乙方逾期提交设计成果文件15天（含15天），或累计达20天（含20天）的。</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2）乙方提交的设计成果文件违反国家相关强制性规定累计发生5例（含</w:t>
      </w:r>
      <w:r>
        <w:rPr>
          <w:rFonts w:hint="eastAsia" w:ascii="宋体" w:hAnsi="宋体"/>
          <w:snapToGrid w:val="0"/>
          <w:color w:val="auto"/>
          <w:kern w:val="0"/>
          <w:sz w:val="24"/>
          <w:highlight w:val="none"/>
          <w:lang w:val="en-US" w:eastAsia="zh-CN"/>
        </w:rPr>
        <w:t>5</w:t>
      </w:r>
      <w:r>
        <w:rPr>
          <w:rFonts w:hint="eastAsia" w:ascii="宋体" w:hAnsi="宋体"/>
          <w:snapToGrid w:val="0"/>
          <w:color w:val="auto"/>
          <w:kern w:val="0"/>
          <w:sz w:val="24"/>
          <w:highlight w:val="none"/>
        </w:rPr>
        <w:t>例，设计成果文件中每1处违反1条强制性规定的为1例</w:t>
      </w:r>
      <w:r>
        <w:rPr>
          <w:rFonts w:ascii="宋体" w:hAnsi="宋体"/>
          <w:snapToGrid w:val="0"/>
          <w:color w:val="auto"/>
          <w:kern w:val="0"/>
          <w:sz w:val="24"/>
          <w:highlight w:val="none"/>
        </w:rPr>
        <w:t>）</w:t>
      </w:r>
      <w:r>
        <w:rPr>
          <w:rFonts w:hint="eastAsia" w:ascii="宋体" w:hAnsi="宋体"/>
          <w:snapToGrid w:val="0"/>
          <w:color w:val="auto"/>
          <w:kern w:val="0"/>
          <w:sz w:val="24"/>
          <w:highlight w:val="none"/>
        </w:rPr>
        <w:t>。</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如乙方的设计成果文件中含有明显倾向于某一专门厂商生产的设备、材料的描述，或在其设计成果文件中选用了具有专一性、排他性的材料、设备而又未事先向甲方书面报告并详细说明理由的，累计出现3次（含3次）以上的。</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4）乙方的设计成果文件无法实施的（包括乙方的设计成果文件中明示的施工方案、工艺及措施难度极大或现有的施工条件无法实现的；设计成果文件中拟采用的材料设备无法采购的）。</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5）乙方设计成果文件出现错、漏、碰，直接导致甲方招标工作进度、项目施工进度逾期累计10天（含10天），或累计达15天（含15天）以上的。</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0</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如发生设计事故，经过甲方审定，甲方有权另行指定分包项目、部分解除合同或解除合同。</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0</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设计事故的的认定方式及送达程序参照合同条款第2</w:t>
      </w:r>
      <w:r>
        <w:rPr>
          <w:rFonts w:hint="eastAsia" w:ascii="宋体" w:hAnsi="宋体"/>
          <w:snapToGrid w:val="0"/>
          <w:color w:val="auto"/>
          <w:kern w:val="0"/>
          <w:sz w:val="24"/>
          <w:highlight w:val="none"/>
          <w:lang w:val="en-US" w:eastAsia="zh-CN"/>
        </w:rPr>
        <w:t>6</w:t>
      </w:r>
      <w:r>
        <w:rPr>
          <w:rFonts w:hint="eastAsia" w:ascii="宋体" w:hAnsi="宋体"/>
          <w:snapToGrid w:val="0"/>
          <w:color w:val="auto"/>
          <w:kern w:val="0"/>
          <w:sz w:val="24"/>
          <w:highlight w:val="none"/>
        </w:rPr>
        <w:t>.10款执行。</w:t>
      </w:r>
    </w:p>
    <w:p>
      <w:pPr>
        <w:spacing w:line="360" w:lineRule="auto"/>
        <w:rPr>
          <w:rFonts w:ascii="宋体" w:hAnsi="宋体"/>
          <w:snapToGrid w:val="0"/>
          <w:color w:val="auto"/>
          <w:sz w:val="24"/>
          <w:highlight w:val="none"/>
        </w:rPr>
      </w:pPr>
      <w:bookmarkStart w:id="21" w:name="_Toc81802534"/>
      <w:bookmarkStart w:id="22" w:name="_Toc81895175"/>
    </w:p>
    <w:p>
      <w:pPr>
        <w:pStyle w:val="4"/>
        <w:jc w:val="center"/>
        <w:rPr>
          <w:rFonts w:hint="eastAsia"/>
          <w:color w:val="auto"/>
          <w:sz w:val="30"/>
          <w:szCs w:val="30"/>
          <w:highlight w:val="none"/>
        </w:rPr>
      </w:pPr>
      <w:bookmarkStart w:id="23" w:name="_Toc472802251"/>
      <w:r>
        <w:rPr>
          <w:rFonts w:hint="eastAsia"/>
          <w:color w:val="auto"/>
          <w:sz w:val="30"/>
          <w:szCs w:val="30"/>
          <w:highlight w:val="none"/>
        </w:rPr>
        <w:t>第</w:t>
      </w:r>
      <w:r>
        <w:rPr>
          <w:rFonts w:hint="eastAsia"/>
          <w:color w:val="auto"/>
          <w:sz w:val="30"/>
          <w:szCs w:val="30"/>
          <w:highlight w:val="none"/>
          <w:lang w:eastAsia="zh-CN"/>
        </w:rPr>
        <w:t>六</w:t>
      </w:r>
      <w:r>
        <w:rPr>
          <w:rFonts w:hint="eastAsia"/>
          <w:color w:val="auto"/>
          <w:sz w:val="30"/>
          <w:szCs w:val="30"/>
          <w:highlight w:val="none"/>
        </w:rPr>
        <w:t>章  工程投资控制</w:t>
      </w:r>
      <w:bookmarkEnd w:id="23"/>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24" w:name="_Toc472802252"/>
      <w:r>
        <w:rPr>
          <w:rFonts w:hint="eastAsia" w:ascii="宋体" w:hAnsi="宋体"/>
          <w:snapToGrid w:val="0"/>
          <w:color w:val="auto"/>
          <w:kern w:val="0"/>
          <w:sz w:val="24"/>
          <w:szCs w:val="24"/>
          <w:highlight w:val="none"/>
          <w:lang w:val="en-US" w:eastAsia="zh-CN"/>
        </w:rPr>
        <w:t>11</w:t>
      </w:r>
      <w:r>
        <w:rPr>
          <w:rFonts w:hint="eastAsia" w:ascii="宋体" w:hAnsi="宋体"/>
          <w:snapToGrid w:val="0"/>
          <w:color w:val="auto"/>
          <w:kern w:val="0"/>
          <w:sz w:val="24"/>
          <w:szCs w:val="24"/>
          <w:highlight w:val="none"/>
        </w:rPr>
        <w:t>、工程投资控制</w:t>
      </w:r>
      <w:bookmarkEnd w:id="21"/>
      <w:bookmarkEnd w:id="22"/>
      <w:bookmarkEnd w:id="24"/>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11</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为切实做好本合同</w:t>
      </w:r>
      <w:r>
        <w:rPr>
          <w:rFonts w:hint="eastAsia" w:ascii="宋体" w:hAnsi="宋体"/>
          <w:bCs/>
          <w:snapToGrid w:val="0"/>
          <w:color w:val="auto"/>
          <w:kern w:val="0"/>
          <w:sz w:val="24"/>
          <w:highlight w:val="none"/>
        </w:rPr>
        <w:t>工程的投资控制，甲乙双方应密切配合，加强管理，实现技术最优、造价最经济、使用成本最低的控制目标。</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1</w:t>
      </w:r>
      <w:r>
        <w:rPr>
          <w:rFonts w:hint="eastAsia" w:ascii="宋体" w:hAnsi="宋体"/>
          <w:b/>
          <w:bCs/>
          <w:snapToGrid w:val="0"/>
          <w:color w:val="auto"/>
          <w:kern w:val="0"/>
          <w:sz w:val="24"/>
          <w:highlight w:val="none"/>
        </w:rPr>
        <w:t>.2</w:t>
      </w:r>
      <w:r>
        <w:rPr>
          <w:rFonts w:hint="eastAsia" w:ascii="宋体" w:hAnsi="宋体"/>
          <w:bCs/>
          <w:snapToGrid w:val="0"/>
          <w:color w:val="auto"/>
          <w:kern w:val="0"/>
          <w:sz w:val="24"/>
          <w:highlight w:val="none"/>
        </w:rPr>
        <w:t>限额设计。</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乙方承诺在不降低甲方要求的主要设计指标的前提下，</w:t>
      </w:r>
      <w:r>
        <w:rPr>
          <w:rFonts w:hint="eastAsia" w:ascii="宋体" w:hAnsi="宋体"/>
          <w:color w:val="auto"/>
          <w:sz w:val="24"/>
          <w:highlight w:val="none"/>
        </w:rPr>
        <w:t>本工程项目投资必须按照甲方的投资额度和要求严格控制设计限额以双方确认的初步设计概算为准。乙方承诺工程投资为除征地、拆迁费用以外整个工程从筹建至竣工交付使用所需的工程直接费用，并承诺据此进行初步设计，实行限额设计。</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（1）乙方应遵循功能适用、标准合理、经济合理的原则开展设计，在投资限额目标的基础上结合项目设计内容进一步分解投资，明确投资控制主要指标，在编制设计概算时逐步细化落实。</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（2）乙方在限额设计范围内应充分运用性价比分析、多方案（不少于</w:t>
      </w:r>
      <w:r>
        <w:rPr>
          <w:rFonts w:ascii="宋体" w:hAnsi="宋体"/>
          <w:color w:val="auto"/>
          <w:sz w:val="24"/>
          <w:highlight w:val="none"/>
        </w:rPr>
        <w:t>2</w:t>
      </w:r>
      <w:r>
        <w:rPr>
          <w:rFonts w:hint="eastAsia" w:ascii="宋体" w:hAnsi="宋体"/>
          <w:color w:val="auto"/>
          <w:sz w:val="24"/>
          <w:highlight w:val="none"/>
        </w:rPr>
        <w:t>个方案）技术经济比较等技术手段对设计方案进行优化。在所有方案比较的过程中，必须进行相应深度的投资估算比较，确保方案的可比性并提供相应的工程数量表、主要材料表、主要设备清单等，在确保工程质量的前提下，降低工程投资。</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（3）乙方应承诺有关设计的任何修改、变动或由于修改设计所引起的工艺、技术、材料、设备的变更均须经过甲方的</w:t>
      </w:r>
      <w:r>
        <w:rPr>
          <w:rFonts w:hint="eastAsia" w:ascii="宋体" w:hAnsi="宋体"/>
          <w:color w:val="auto"/>
          <w:sz w:val="24"/>
          <w:highlight w:val="none"/>
          <w:lang w:eastAsia="zh-CN"/>
        </w:rPr>
        <w:t>书面</w:t>
      </w:r>
      <w:r>
        <w:rPr>
          <w:rFonts w:hint="eastAsia" w:ascii="宋体" w:hAnsi="宋体"/>
          <w:color w:val="auto"/>
          <w:sz w:val="24"/>
          <w:highlight w:val="none"/>
        </w:rPr>
        <w:t>同意。</w:t>
      </w:r>
    </w:p>
    <w:p>
      <w:pPr>
        <w:spacing w:line="360" w:lineRule="auto"/>
        <w:ind w:firstLine="422" w:firstLineChars="176"/>
        <w:rPr>
          <w:rFonts w:ascii="宋体" w:hAnsi="宋体"/>
          <w:color w:val="auto"/>
          <w:sz w:val="24"/>
          <w:highlight w:val="none"/>
        </w:rPr>
      </w:pPr>
      <w:r>
        <w:rPr>
          <w:rFonts w:hint="eastAsia" w:ascii="宋体" w:hAnsi="宋体"/>
          <w:color w:val="auto"/>
          <w:sz w:val="24"/>
          <w:highlight w:val="none"/>
        </w:rPr>
        <w:t>（4）乙方承诺在交付项目的部分或全部设计文件后</w:t>
      </w:r>
      <w:r>
        <w:rPr>
          <w:rFonts w:ascii="宋体" w:hAnsi="宋体"/>
          <w:color w:val="auto"/>
          <w:sz w:val="24"/>
          <w:highlight w:val="none"/>
        </w:rPr>
        <w:t>,如有更好的新工艺、新技术、新材料、新设备等适用于本项目，将及时向甲方推荐并提供科学的评估。</w:t>
      </w:r>
    </w:p>
    <w:p>
      <w:pPr>
        <w:spacing w:line="360" w:lineRule="auto"/>
        <w:ind w:firstLine="424" w:firstLineChars="17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1</w:t>
      </w:r>
      <w:r>
        <w:rPr>
          <w:rFonts w:hint="eastAsia" w:ascii="宋体" w:hAnsi="宋体"/>
          <w:b/>
          <w:bCs/>
          <w:snapToGrid w:val="0"/>
          <w:color w:val="auto"/>
          <w:kern w:val="0"/>
          <w:sz w:val="24"/>
          <w:highlight w:val="none"/>
        </w:rPr>
        <w:t>.3</w:t>
      </w:r>
      <w:r>
        <w:rPr>
          <w:rFonts w:hint="eastAsia" w:ascii="宋体" w:hAnsi="宋体"/>
          <w:bCs/>
          <w:snapToGrid w:val="0"/>
          <w:color w:val="auto"/>
          <w:kern w:val="0"/>
          <w:sz w:val="24"/>
          <w:highlight w:val="none"/>
        </w:rPr>
        <w:t>设计优化</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要在满足使用功能的基础上，在造价可控方面，选择适当的方案，结合成本控制的要求，对材料、设备选型、其他材料进行选择。</w:t>
      </w:r>
    </w:p>
    <w:p>
      <w:pPr>
        <w:spacing w:line="360" w:lineRule="auto"/>
        <w:ind w:firstLine="424" w:firstLineChars="176"/>
        <w:rPr>
          <w:rFonts w:hint="eastAsia" w:ascii="宋体" w:hAnsi="宋体"/>
          <w:b/>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1</w:t>
      </w:r>
      <w:r>
        <w:rPr>
          <w:rFonts w:hint="eastAsia" w:ascii="宋体" w:hAnsi="宋体"/>
          <w:b/>
          <w:bCs/>
          <w:snapToGrid w:val="0"/>
          <w:color w:val="auto"/>
          <w:kern w:val="0"/>
          <w:sz w:val="24"/>
          <w:highlight w:val="none"/>
        </w:rPr>
        <w:t>.4 概算编制工作要求</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（1）乙方至少应为本项目配备造价师专业人员2名。甲方可以视工作情况要求造价人员驻场服务。</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（2）概算必须与初步设计紧密结合，措施项目开项必须以施工措施方案为依据。</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（3）概算工作必须与设计工作的方案比选、设计优化相结合，乙方须在各设计阶段提供造价控制分析报告。</w:t>
      </w:r>
    </w:p>
    <w:p>
      <w:pPr>
        <w:spacing w:line="360" w:lineRule="auto"/>
        <w:ind w:firstLine="422" w:firstLineChars="176"/>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（4）概算编制技术要求以甲方工程管理制度及概预算管理办法为准。</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（5）乙方编制的概算质量差的，需按合同条款第2</w:t>
      </w:r>
      <w:r>
        <w:rPr>
          <w:rFonts w:hint="eastAsia" w:ascii="宋体" w:hAnsi="宋体"/>
          <w:bCs/>
          <w:snapToGrid w:val="0"/>
          <w:color w:val="auto"/>
          <w:kern w:val="0"/>
          <w:sz w:val="24"/>
          <w:highlight w:val="none"/>
          <w:lang w:val="en-US" w:eastAsia="zh-CN"/>
        </w:rPr>
        <w:t>6</w:t>
      </w:r>
      <w:r>
        <w:rPr>
          <w:rFonts w:hint="eastAsia" w:ascii="宋体" w:hAnsi="宋体"/>
          <w:bCs/>
          <w:snapToGrid w:val="0"/>
          <w:color w:val="auto"/>
          <w:kern w:val="0"/>
          <w:sz w:val="24"/>
          <w:highlight w:val="none"/>
        </w:rPr>
        <w:t>.7条承担违约责任。</w:t>
      </w:r>
    </w:p>
    <w:p>
      <w:pPr>
        <w:spacing w:line="360" w:lineRule="auto"/>
        <w:ind w:firstLine="422" w:firstLineChars="176"/>
        <w:rPr>
          <w:rFonts w:ascii="宋体" w:hAnsi="宋体"/>
          <w:bCs/>
          <w:snapToGrid w:val="0"/>
          <w:color w:val="auto"/>
          <w:kern w:val="0"/>
          <w:sz w:val="24"/>
          <w:highlight w:val="none"/>
          <w:u w:val="single"/>
        </w:rPr>
      </w:pPr>
    </w:p>
    <w:p>
      <w:pPr>
        <w:pStyle w:val="4"/>
        <w:jc w:val="center"/>
        <w:rPr>
          <w:rFonts w:hint="eastAsia"/>
          <w:color w:val="auto"/>
          <w:sz w:val="30"/>
          <w:szCs w:val="30"/>
          <w:highlight w:val="none"/>
        </w:rPr>
      </w:pPr>
      <w:bookmarkStart w:id="25" w:name="_Toc472802253"/>
      <w:r>
        <w:rPr>
          <w:rFonts w:hint="eastAsia"/>
          <w:color w:val="auto"/>
          <w:sz w:val="30"/>
          <w:szCs w:val="30"/>
          <w:highlight w:val="none"/>
        </w:rPr>
        <w:t>第</w:t>
      </w:r>
      <w:r>
        <w:rPr>
          <w:rFonts w:hint="eastAsia"/>
          <w:color w:val="auto"/>
          <w:sz w:val="30"/>
          <w:szCs w:val="30"/>
          <w:highlight w:val="none"/>
          <w:lang w:eastAsia="zh-CN"/>
        </w:rPr>
        <w:t>七</w:t>
      </w:r>
      <w:r>
        <w:rPr>
          <w:rFonts w:hint="eastAsia"/>
          <w:color w:val="auto"/>
          <w:sz w:val="30"/>
          <w:szCs w:val="30"/>
          <w:highlight w:val="none"/>
        </w:rPr>
        <w:t>章  设计</w:t>
      </w:r>
      <w:bookmarkEnd w:id="25"/>
      <w:r>
        <w:rPr>
          <w:rFonts w:hint="eastAsia"/>
          <w:color w:val="auto"/>
          <w:sz w:val="30"/>
          <w:szCs w:val="30"/>
          <w:highlight w:val="none"/>
        </w:rPr>
        <w:t>评审</w:t>
      </w:r>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26" w:name="_Toc472802254"/>
      <w:r>
        <w:rPr>
          <w:rFonts w:hint="eastAsia" w:ascii="宋体" w:hAnsi="宋体"/>
          <w:snapToGrid w:val="0"/>
          <w:color w:val="auto"/>
          <w:kern w:val="0"/>
          <w:sz w:val="24"/>
          <w:szCs w:val="24"/>
          <w:highlight w:val="none"/>
        </w:rPr>
        <w:t>1</w:t>
      </w:r>
      <w:r>
        <w:rPr>
          <w:rFonts w:hint="eastAsia" w:ascii="宋体" w:hAnsi="宋体"/>
          <w:snapToGrid w:val="0"/>
          <w:color w:val="auto"/>
          <w:kern w:val="0"/>
          <w:sz w:val="24"/>
          <w:szCs w:val="24"/>
          <w:highlight w:val="none"/>
          <w:lang w:val="en-US" w:eastAsia="zh-CN"/>
        </w:rPr>
        <w:t>2</w:t>
      </w:r>
      <w:r>
        <w:rPr>
          <w:rFonts w:hint="eastAsia" w:ascii="宋体" w:hAnsi="宋体"/>
          <w:snapToGrid w:val="0"/>
          <w:color w:val="auto"/>
          <w:kern w:val="0"/>
          <w:sz w:val="24"/>
          <w:szCs w:val="24"/>
          <w:highlight w:val="none"/>
        </w:rPr>
        <w:t>、设计评审</w:t>
      </w:r>
      <w:bookmarkEnd w:id="26"/>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2</w:t>
      </w:r>
      <w:r>
        <w:rPr>
          <w:rFonts w:hint="eastAsia" w:ascii="宋体" w:hAnsi="宋体"/>
          <w:b/>
          <w:bCs/>
          <w:snapToGrid w:val="0"/>
          <w:color w:val="auto"/>
          <w:kern w:val="0"/>
          <w:sz w:val="24"/>
          <w:highlight w:val="none"/>
        </w:rPr>
        <w:t>.1</w:t>
      </w:r>
      <w:r>
        <w:rPr>
          <w:rFonts w:hint="eastAsia" w:ascii="宋体" w:hAnsi="宋体"/>
          <w:bCs/>
          <w:snapToGrid w:val="0"/>
          <w:color w:val="auto"/>
          <w:kern w:val="0"/>
          <w:sz w:val="24"/>
          <w:highlight w:val="none"/>
        </w:rPr>
        <w:t>对乙方设计成果文件的设计评审包括相关行政主管部门及行业主管部门的审查、甲方或甲方组织的专家评审，该费用已包含在合同价中，由乙方负责支付，甲方不再另行支付。</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2</w:t>
      </w:r>
      <w:r>
        <w:rPr>
          <w:rFonts w:hint="eastAsia" w:ascii="宋体" w:hAnsi="宋体"/>
          <w:b/>
          <w:bCs/>
          <w:snapToGrid w:val="0"/>
          <w:color w:val="auto"/>
          <w:kern w:val="0"/>
          <w:sz w:val="24"/>
          <w:highlight w:val="none"/>
        </w:rPr>
        <w:t>.2</w:t>
      </w:r>
      <w:r>
        <w:rPr>
          <w:rFonts w:hint="eastAsia" w:ascii="宋体" w:hAnsi="宋体"/>
          <w:bCs/>
          <w:snapToGrid w:val="0"/>
          <w:color w:val="auto"/>
          <w:kern w:val="0"/>
          <w:sz w:val="24"/>
          <w:highlight w:val="none"/>
        </w:rPr>
        <w:t>设计评审的依据包括：</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（1）国家、省、市的初步设计审查的相关规定；</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lang w:val="en-US" w:eastAsia="zh-CN"/>
        </w:rPr>
        <w:t>2</w:t>
      </w:r>
      <w:r>
        <w:rPr>
          <w:rFonts w:hint="eastAsia" w:ascii="宋体" w:hAnsi="宋体"/>
          <w:bCs/>
          <w:snapToGrid w:val="0"/>
          <w:color w:val="auto"/>
          <w:kern w:val="0"/>
          <w:sz w:val="24"/>
          <w:highlight w:val="none"/>
        </w:rPr>
        <w:t>）本工程的相关政府批文（包括但不限于立项许可文件、用地规划文件等）；</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lang w:val="en-US" w:eastAsia="zh-CN"/>
        </w:rPr>
        <w:t>3</w:t>
      </w:r>
      <w:r>
        <w:rPr>
          <w:rFonts w:hint="eastAsia" w:ascii="宋体" w:hAnsi="宋体"/>
          <w:bCs/>
          <w:snapToGrid w:val="0"/>
          <w:color w:val="auto"/>
          <w:kern w:val="0"/>
          <w:sz w:val="24"/>
          <w:highlight w:val="none"/>
        </w:rPr>
        <w:t>）本合同中与设计工作的内容、范围、管理、服务相关的约定；</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lang w:val="en-US" w:eastAsia="zh-CN"/>
        </w:rPr>
        <w:t>4</w:t>
      </w:r>
      <w:r>
        <w:rPr>
          <w:rFonts w:hint="eastAsia" w:ascii="宋体" w:hAnsi="宋体"/>
          <w:bCs/>
          <w:snapToGrid w:val="0"/>
          <w:color w:val="auto"/>
          <w:kern w:val="0"/>
          <w:sz w:val="24"/>
          <w:highlight w:val="none"/>
        </w:rPr>
        <w:t>）甲方关于设计、图档、图文、工程等的相关管理办法及规定；</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lang w:val="en-US" w:eastAsia="zh-CN"/>
        </w:rPr>
        <w:t>5</w:t>
      </w:r>
      <w:r>
        <w:rPr>
          <w:rFonts w:hint="eastAsia" w:ascii="宋体" w:hAnsi="宋体"/>
          <w:bCs/>
          <w:snapToGrid w:val="0"/>
          <w:color w:val="auto"/>
          <w:kern w:val="0"/>
          <w:sz w:val="24"/>
          <w:highlight w:val="none"/>
        </w:rPr>
        <w:t>）政府相关行政主管部门、行业主管部门对乙方设计成果文件的审批意见；</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w:t>
      </w:r>
      <w:r>
        <w:rPr>
          <w:rFonts w:hint="eastAsia" w:ascii="宋体" w:hAnsi="宋体"/>
          <w:bCs/>
          <w:snapToGrid w:val="0"/>
          <w:color w:val="auto"/>
          <w:kern w:val="0"/>
          <w:sz w:val="24"/>
          <w:highlight w:val="none"/>
          <w:lang w:val="en-US" w:eastAsia="zh-CN"/>
        </w:rPr>
        <w:t>6</w:t>
      </w:r>
      <w:r>
        <w:rPr>
          <w:rFonts w:hint="eastAsia" w:ascii="宋体" w:hAnsi="宋体"/>
          <w:bCs/>
          <w:snapToGrid w:val="0"/>
          <w:color w:val="auto"/>
          <w:kern w:val="0"/>
          <w:sz w:val="24"/>
          <w:highlight w:val="none"/>
        </w:rPr>
        <w:t>）甲方在设计过程中提出的书面意见。</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2</w:t>
      </w:r>
      <w:r>
        <w:rPr>
          <w:rFonts w:hint="eastAsia" w:ascii="宋体" w:hAnsi="宋体"/>
          <w:b/>
          <w:bCs/>
          <w:snapToGrid w:val="0"/>
          <w:color w:val="auto"/>
          <w:kern w:val="0"/>
          <w:sz w:val="24"/>
          <w:highlight w:val="none"/>
        </w:rPr>
        <w:t>.3</w:t>
      </w:r>
      <w:r>
        <w:rPr>
          <w:rFonts w:hint="eastAsia" w:ascii="宋体" w:hAnsi="宋体"/>
          <w:bCs/>
          <w:snapToGrid w:val="0"/>
          <w:color w:val="auto"/>
          <w:kern w:val="0"/>
          <w:sz w:val="24"/>
          <w:highlight w:val="none"/>
        </w:rPr>
        <w:t>乙方应根据政府相关行政主管部门、行业主管部门的审批意见无条件地修改、完善各阶段的设计成果文件，确保其满足相关的审批要求；乙方应根据设计咨询单位的审查意见、甲方或甲方组织的专家评审的意见对设计成果文件进行修改、完善。所需修改、完善费用已包含在合同价中，不另行收取。</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2</w:t>
      </w:r>
      <w:r>
        <w:rPr>
          <w:rFonts w:hint="eastAsia" w:ascii="宋体" w:hAnsi="宋体"/>
          <w:b/>
          <w:bCs/>
          <w:snapToGrid w:val="0"/>
          <w:color w:val="auto"/>
          <w:kern w:val="0"/>
          <w:sz w:val="24"/>
          <w:highlight w:val="none"/>
        </w:rPr>
        <w:t>.4</w:t>
      </w:r>
      <w:r>
        <w:rPr>
          <w:rFonts w:hint="eastAsia" w:ascii="宋体" w:hAnsi="宋体"/>
          <w:bCs/>
          <w:snapToGrid w:val="0"/>
          <w:color w:val="auto"/>
          <w:kern w:val="0"/>
          <w:sz w:val="24"/>
          <w:highlight w:val="none"/>
        </w:rPr>
        <w:t>乙方对甲方组织的专家评审意见存在异议的，在不违反消防、节能、环保、抗震、卫生、人防等国家有关工程建设的强制性标准和规范的前提下，以甲方最终认定的意见为准。乙方应在设计评审的最终意见发出之后5天内完成其设计范围内设计成果文件的修改完善工作并提交甲方。</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2</w:t>
      </w:r>
      <w:r>
        <w:rPr>
          <w:rFonts w:hint="eastAsia" w:ascii="宋体" w:hAnsi="宋体"/>
          <w:b/>
          <w:bCs/>
          <w:snapToGrid w:val="0"/>
          <w:color w:val="auto"/>
          <w:kern w:val="0"/>
          <w:sz w:val="24"/>
          <w:highlight w:val="none"/>
        </w:rPr>
        <w:t>.5</w:t>
      </w:r>
      <w:r>
        <w:rPr>
          <w:rFonts w:hint="eastAsia" w:ascii="宋体" w:hAnsi="宋体"/>
          <w:bCs/>
          <w:snapToGrid w:val="0"/>
          <w:color w:val="auto"/>
          <w:kern w:val="0"/>
          <w:sz w:val="24"/>
          <w:highlight w:val="none"/>
        </w:rPr>
        <w:t>如乙方未能在设计评审的最终意见发出之日起3日内积极响应或逾期未能完成相关设计成果文件的修改完善工作，乙方应按合同条款第2</w:t>
      </w:r>
      <w:r>
        <w:rPr>
          <w:rFonts w:hint="eastAsia" w:ascii="宋体" w:hAnsi="宋体"/>
          <w:bCs/>
          <w:snapToGrid w:val="0"/>
          <w:color w:val="auto"/>
          <w:kern w:val="0"/>
          <w:sz w:val="24"/>
          <w:highlight w:val="none"/>
          <w:lang w:val="en-US" w:eastAsia="zh-CN"/>
        </w:rPr>
        <w:t>7</w:t>
      </w:r>
      <w:r>
        <w:rPr>
          <w:rFonts w:hint="eastAsia" w:ascii="宋体" w:hAnsi="宋体"/>
          <w:bCs/>
          <w:snapToGrid w:val="0"/>
          <w:color w:val="auto"/>
          <w:kern w:val="0"/>
          <w:sz w:val="24"/>
          <w:highlight w:val="none"/>
        </w:rPr>
        <w:t>条的相关约定承担违约责任。甲方有权直接按设计评审的最终评审意见实施（但不因此免除乙方的相关设计责任）或直接委托其他设计单位进行相关的设计修改和完善，另行委托设计的相关费用（按需要进行修改完善部分的建安工程费占审定概算建安工程费之和的比例乘以本合同相对应的设计费计取）从本合同设计收费中扣取。</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2</w:t>
      </w:r>
      <w:r>
        <w:rPr>
          <w:rFonts w:hint="eastAsia" w:ascii="宋体" w:hAnsi="宋体"/>
          <w:b/>
          <w:bCs/>
          <w:snapToGrid w:val="0"/>
          <w:color w:val="auto"/>
          <w:kern w:val="0"/>
          <w:sz w:val="24"/>
          <w:highlight w:val="none"/>
        </w:rPr>
        <w:t>.6</w:t>
      </w:r>
      <w:r>
        <w:rPr>
          <w:rFonts w:hint="eastAsia" w:ascii="宋体" w:hAnsi="宋体"/>
          <w:bCs/>
          <w:snapToGrid w:val="0"/>
          <w:color w:val="auto"/>
          <w:kern w:val="0"/>
          <w:sz w:val="24"/>
          <w:highlight w:val="none"/>
        </w:rPr>
        <w:t>甲方根据乙方提交的各阶段的设计成果文件的设计评审意见、乙方在履行合同各阶段提供的设计服务（包括报审报建服务、招标配合服务、施工阶段的现场服务、结算配合服务的评价、保修阶段的服务）的实际情况，依照合同条款第2</w:t>
      </w:r>
      <w:r>
        <w:rPr>
          <w:rFonts w:hint="eastAsia" w:ascii="宋体" w:hAnsi="宋体"/>
          <w:bCs/>
          <w:snapToGrid w:val="0"/>
          <w:color w:val="auto"/>
          <w:kern w:val="0"/>
          <w:sz w:val="24"/>
          <w:highlight w:val="none"/>
          <w:lang w:val="en-US" w:eastAsia="zh-CN"/>
        </w:rPr>
        <w:t>6</w:t>
      </w:r>
      <w:r>
        <w:rPr>
          <w:rFonts w:hint="eastAsia" w:ascii="宋体" w:hAnsi="宋体"/>
          <w:bCs/>
          <w:snapToGrid w:val="0"/>
          <w:color w:val="auto"/>
          <w:kern w:val="0"/>
          <w:sz w:val="24"/>
          <w:highlight w:val="none"/>
        </w:rPr>
        <w:t>条规定对乙方进行履约评价，如乙方有违约行为，须按合同约定承担违约责任。</w:t>
      </w:r>
    </w:p>
    <w:p>
      <w:pPr>
        <w:spacing w:line="360" w:lineRule="auto"/>
        <w:ind w:firstLine="424" w:firstLineChars="176"/>
        <w:rPr>
          <w:rFonts w:ascii="宋体" w:hAnsi="宋体"/>
          <w:b/>
          <w:snapToGrid w:val="0"/>
          <w:color w:val="auto"/>
          <w:kern w:val="0"/>
          <w:sz w:val="24"/>
          <w:highlight w:val="none"/>
        </w:rPr>
      </w:pPr>
    </w:p>
    <w:p>
      <w:pPr>
        <w:pStyle w:val="4"/>
        <w:jc w:val="center"/>
        <w:rPr>
          <w:rFonts w:hint="eastAsia"/>
          <w:color w:val="auto"/>
          <w:sz w:val="30"/>
          <w:szCs w:val="30"/>
          <w:highlight w:val="none"/>
        </w:rPr>
      </w:pPr>
      <w:bookmarkStart w:id="27" w:name="_Toc472802255"/>
      <w:r>
        <w:rPr>
          <w:rFonts w:hint="eastAsia"/>
          <w:color w:val="auto"/>
          <w:sz w:val="30"/>
          <w:szCs w:val="30"/>
          <w:highlight w:val="none"/>
        </w:rPr>
        <w:t>第</w:t>
      </w:r>
      <w:r>
        <w:rPr>
          <w:rFonts w:hint="eastAsia"/>
          <w:color w:val="auto"/>
          <w:sz w:val="30"/>
          <w:szCs w:val="30"/>
          <w:highlight w:val="none"/>
          <w:lang w:eastAsia="zh-CN"/>
        </w:rPr>
        <w:t>八</w:t>
      </w:r>
      <w:r>
        <w:rPr>
          <w:rFonts w:hint="eastAsia"/>
          <w:color w:val="auto"/>
          <w:sz w:val="30"/>
          <w:szCs w:val="30"/>
          <w:highlight w:val="none"/>
        </w:rPr>
        <w:t xml:space="preserve">章  </w:t>
      </w:r>
      <w:bookmarkEnd w:id="27"/>
      <w:r>
        <w:rPr>
          <w:rFonts w:hint="eastAsia"/>
          <w:color w:val="auto"/>
          <w:sz w:val="30"/>
          <w:szCs w:val="30"/>
          <w:highlight w:val="none"/>
        </w:rPr>
        <w:t>设计收费的计取及支付</w:t>
      </w:r>
    </w:p>
    <w:p>
      <w:pPr>
        <w:pStyle w:val="6"/>
        <w:spacing w:before="0" w:after="0" w:line="360" w:lineRule="auto"/>
        <w:ind w:firstLine="424" w:firstLineChars="176"/>
        <w:rPr>
          <w:rFonts w:hint="eastAsia" w:ascii="宋体" w:hAnsi="宋体"/>
          <w:snapToGrid w:val="0"/>
          <w:color w:val="auto"/>
          <w:kern w:val="0"/>
          <w:sz w:val="24"/>
          <w:szCs w:val="24"/>
          <w:highlight w:val="none"/>
        </w:rPr>
      </w:pPr>
      <w:bookmarkStart w:id="28" w:name="_Toc472802256"/>
      <w:r>
        <w:rPr>
          <w:rFonts w:hint="eastAsia" w:ascii="宋体" w:hAnsi="宋体"/>
          <w:snapToGrid w:val="0"/>
          <w:color w:val="auto"/>
          <w:kern w:val="0"/>
          <w:sz w:val="24"/>
          <w:szCs w:val="24"/>
          <w:highlight w:val="none"/>
        </w:rPr>
        <w:t>1</w:t>
      </w:r>
      <w:r>
        <w:rPr>
          <w:rFonts w:hint="eastAsia" w:ascii="宋体" w:hAnsi="宋体"/>
          <w:snapToGrid w:val="0"/>
          <w:color w:val="auto"/>
          <w:kern w:val="0"/>
          <w:sz w:val="24"/>
          <w:szCs w:val="24"/>
          <w:highlight w:val="none"/>
          <w:lang w:val="en-US" w:eastAsia="zh-CN"/>
        </w:rPr>
        <w:t>3</w:t>
      </w:r>
      <w:r>
        <w:rPr>
          <w:rFonts w:hint="eastAsia" w:ascii="宋体" w:hAnsi="宋体"/>
          <w:snapToGrid w:val="0"/>
          <w:color w:val="auto"/>
          <w:kern w:val="0"/>
          <w:sz w:val="24"/>
          <w:szCs w:val="24"/>
          <w:highlight w:val="none"/>
        </w:rPr>
        <w:t>、设计收费的计取</w:t>
      </w:r>
      <w:bookmarkEnd w:id="28"/>
    </w:p>
    <w:p>
      <w:pPr>
        <w:spacing w:line="560" w:lineRule="exact"/>
        <w:ind w:firstLine="424" w:firstLineChars="176"/>
        <w:rPr>
          <w:rFonts w:ascii="宋体" w:hAnsi="宋体"/>
          <w:bCs/>
          <w:snapToGrid w:val="0"/>
          <w:color w:val="auto"/>
          <w:kern w:val="0"/>
          <w:sz w:val="24"/>
          <w:highlight w:val="none"/>
        </w:rPr>
      </w:pPr>
      <w:r>
        <w:rPr>
          <w:rFonts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3</w:t>
      </w:r>
      <w:r>
        <w:rPr>
          <w:rFonts w:ascii="宋体" w:hAnsi="宋体"/>
          <w:b/>
          <w:bCs/>
          <w:snapToGrid w:val="0"/>
          <w:color w:val="auto"/>
          <w:kern w:val="0"/>
          <w:sz w:val="24"/>
          <w:highlight w:val="none"/>
        </w:rPr>
        <w:t xml:space="preserve">.1 </w:t>
      </w:r>
      <w:r>
        <w:rPr>
          <w:rFonts w:hint="eastAsia" w:ascii="宋体" w:hAnsi="宋体"/>
          <w:bCs/>
          <w:snapToGrid w:val="0"/>
          <w:color w:val="auto"/>
          <w:kern w:val="0"/>
          <w:sz w:val="24"/>
          <w:highlight w:val="none"/>
        </w:rPr>
        <w:t>设计收费的计取及结算方式按下列约定执行：</w:t>
      </w:r>
    </w:p>
    <w:p>
      <w:pPr>
        <w:adjustRightInd w:val="0"/>
        <w:spacing w:line="560" w:lineRule="exact"/>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设计费暂为¥</w:t>
      </w:r>
      <w:r>
        <w:rPr>
          <w:rFonts w:hint="eastAsia" w:ascii="宋体" w:hAnsi="宋体"/>
          <w:color w:val="auto"/>
          <w:sz w:val="24"/>
          <w:highlight w:val="none"/>
          <w:u w:val="single"/>
        </w:rPr>
        <w:t xml:space="preserve">     </w:t>
      </w:r>
      <w:r>
        <w:rPr>
          <w:rFonts w:hint="eastAsia" w:ascii="宋体" w:hAnsi="宋体"/>
          <w:color w:val="auto"/>
          <w:sz w:val="24"/>
          <w:highlight w:val="none"/>
        </w:rPr>
        <w:t>元（大写：人民币</w:t>
      </w:r>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hint="eastAsia" w:ascii="宋体" w:hAnsi="宋体"/>
          <w:bCs/>
          <w:snapToGrid w:val="0"/>
          <w:color w:val="auto"/>
          <w:kern w:val="0"/>
          <w:sz w:val="24"/>
          <w:highlight w:val="none"/>
        </w:rPr>
        <w:t>。</w:t>
      </w:r>
    </w:p>
    <w:p>
      <w:pPr>
        <w:spacing w:line="560" w:lineRule="exact"/>
        <w:ind w:firstLine="422" w:firstLineChars="176"/>
        <w:rPr>
          <w:rFonts w:hint="eastAsia" w:ascii="宋体" w:hAnsi="宋体"/>
          <w:bCs/>
          <w:snapToGrid w:val="0"/>
          <w:color w:val="auto"/>
          <w:kern w:val="0"/>
          <w:sz w:val="24"/>
          <w:highlight w:val="none"/>
        </w:rPr>
      </w:pPr>
      <w:r>
        <w:rPr>
          <w:rFonts w:hint="eastAsia" w:ascii="宋体" w:hAnsi="宋体"/>
          <w:color w:val="auto"/>
          <w:sz w:val="24"/>
          <w:highlight w:val="none"/>
        </w:rPr>
        <w:t>该暂定设计费仅作为计量支付的参考依据，</w:t>
      </w:r>
      <w:r>
        <w:rPr>
          <w:rFonts w:hint="eastAsia" w:ascii="宋体" w:hAnsi="宋体"/>
          <w:bCs/>
          <w:snapToGrid w:val="0"/>
          <w:color w:val="auto"/>
          <w:kern w:val="0"/>
          <w:sz w:val="24"/>
          <w:highlight w:val="none"/>
        </w:rPr>
        <w:t>结算时</w:t>
      </w:r>
      <w:r>
        <w:rPr>
          <w:rFonts w:hint="eastAsia" w:ascii="宋体" w:hAnsi="宋体"/>
          <w:bCs/>
          <w:snapToGrid w:val="0"/>
          <w:color w:val="auto"/>
          <w:kern w:val="0"/>
          <w:sz w:val="24"/>
          <w:highlight w:val="none"/>
          <w:lang w:eastAsia="zh-CN"/>
        </w:rPr>
        <w:t>参照</w:t>
      </w:r>
      <w:r>
        <w:rPr>
          <w:rFonts w:hint="eastAsia" w:ascii="宋体" w:hAnsi="宋体"/>
          <w:bCs/>
          <w:snapToGrid w:val="0"/>
          <w:color w:val="auto"/>
          <w:kern w:val="0"/>
          <w:sz w:val="24"/>
          <w:highlight w:val="none"/>
        </w:rPr>
        <w:t>国家发展计划委员会、建设部关于发布《工程勘察设计收费管理规定》的通知（计价格〔2002〕10号</w:t>
      </w:r>
      <w:r>
        <w:rPr>
          <w:rFonts w:ascii="宋体" w:hAnsi="宋体"/>
          <w:bCs/>
          <w:snapToGrid w:val="0"/>
          <w:color w:val="auto"/>
          <w:kern w:val="0"/>
          <w:sz w:val="24"/>
          <w:highlight w:val="none"/>
        </w:rPr>
        <w:t>）</w:t>
      </w:r>
      <w:r>
        <w:rPr>
          <w:rFonts w:hint="eastAsia" w:ascii="宋体" w:hAnsi="宋体"/>
          <w:color w:val="auto"/>
          <w:sz w:val="24"/>
          <w:highlight w:val="none"/>
        </w:rPr>
        <w:t>规定，以经评审审定概算</w:t>
      </w:r>
      <w:r>
        <w:rPr>
          <w:rFonts w:hint="eastAsia" w:ascii="宋体" w:hAnsi="宋体"/>
          <w:bCs/>
          <w:snapToGrid w:val="0"/>
          <w:color w:val="auto"/>
          <w:kern w:val="0"/>
          <w:sz w:val="24"/>
          <w:highlight w:val="none"/>
        </w:rPr>
        <w:t>中的建筑安装工程费之和</w:t>
      </w:r>
      <w:r>
        <w:rPr>
          <w:rFonts w:hint="eastAsia" w:ascii="宋体" w:hAnsi="宋体"/>
          <w:color w:val="auto"/>
          <w:sz w:val="24"/>
          <w:highlight w:val="none"/>
        </w:rPr>
        <w:t>为基础，</w:t>
      </w:r>
      <w:r>
        <w:rPr>
          <w:rFonts w:hint="eastAsia" w:ascii="宋体" w:hAnsi="宋体"/>
          <w:bCs/>
          <w:snapToGrid w:val="0"/>
          <w:color w:val="auto"/>
          <w:kern w:val="0"/>
          <w:sz w:val="24"/>
          <w:highlight w:val="none"/>
        </w:rPr>
        <w:t>采用直线内插法计取基准设计费后乘以设计阶段设计收费比例</w:t>
      </w:r>
      <w:r>
        <w:rPr>
          <w:rFonts w:hint="eastAsia" w:ascii="宋体" w:hAnsi="宋体"/>
          <w:bCs/>
          <w:snapToGrid w:val="0"/>
          <w:color w:val="auto"/>
          <w:kern w:val="0"/>
          <w:sz w:val="24"/>
          <w:highlight w:val="none"/>
          <w:u w:val="single"/>
        </w:rPr>
        <w:t xml:space="preserve"> </w:t>
      </w:r>
      <w:r>
        <w:rPr>
          <w:rFonts w:ascii="宋体" w:hAnsi="宋体"/>
          <w:bCs/>
          <w:snapToGrid w:val="0"/>
          <w:color w:val="auto"/>
          <w:kern w:val="0"/>
          <w:sz w:val="24"/>
          <w:highlight w:val="none"/>
          <w:u w:val="single"/>
        </w:rPr>
        <w:t>4</w:t>
      </w:r>
      <w:r>
        <w:rPr>
          <w:rFonts w:hint="eastAsia" w:ascii="宋体" w:hAnsi="宋体"/>
          <w:bCs/>
          <w:snapToGrid w:val="0"/>
          <w:color w:val="auto"/>
          <w:kern w:val="0"/>
          <w:sz w:val="24"/>
          <w:highlight w:val="none"/>
          <w:u w:val="single"/>
          <w:lang w:val="en-US" w:eastAsia="zh-CN"/>
        </w:rPr>
        <w:t>0</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%再乘以</w:t>
      </w:r>
      <w:r>
        <w:rPr>
          <w:rFonts w:hint="eastAsia" w:ascii="宋体" w:hAnsi="宋体"/>
          <w:bCs/>
          <w:snapToGrid w:val="0"/>
          <w:color w:val="auto"/>
          <w:kern w:val="0"/>
          <w:sz w:val="24"/>
          <w:highlight w:val="none"/>
          <w:lang w:eastAsia="zh-CN"/>
        </w:rPr>
        <w:t>下浮率</w:t>
      </w:r>
      <w:r>
        <w:rPr>
          <w:rFonts w:hint="eastAsia" w:ascii="宋体" w:hAnsi="宋体"/>
          <w:bCs/>
          <w:snapToGrid w:val="0"/>
          <w:color w:val="auto"/>
          <w:kern w:val="0"/>
          <w:sz w:val="24"/>
          <w:highlight w:val="none"/>
          <w:lang w:val="en-US" w:eastAsia="zh-CN"/>
        </w:rPr>
        <w:t>20%结合</w:t>
      </w:r>
      <w:r>
        <w:rPr>
          <w:rFonts w:hint="eastAsia" w:ascii="宋体" w:hAnsi="宋体"/>
          <w:bCs/>
          <w:snapToGrid w:val="0"/>
          <w:color w:val="auto"/>
          <w:kern w:val="0"/>
          <w:sz w:val="24"/>
          <w:highlight w:val="none"/>
        </w:rPr>
        <w:t>投标下浮率</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%结算，其中专业调整系数</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u w:val="single"/>
          <w:lang w:val="en-US" w:eastAsia="zh-CN"/>
        </w:rPr>
        <w:t>1.0</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、复杂程度系数</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u w:val="single"/>
          <w:lang w:val="en-US" w:eastAsia="zh-CN"/>
        </w:rPr>
        <w:t>0.85</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、附加调整系数</w:t>
      </w:r>
      <w:r>
        <w:rPr>
          <w:rFonts w:hint="eastAsia" w:ascii="宋体" w:hAnsi="宋体"/>
          <w:bCs/>
          <w:snapToGrid w:val="0"/>
          <w:color w:val="auto"/>
          <w:kern w:val="0"/>
          <w:sz w:val="24"/>
          <w:highlight w:val="none"/>
          <w:u w:val="single"/>
        </w:rPr>
        <w:t>以可研批复中明确的技术标准及财政投资评审审定为准，最终结算金额以财政投资评审审定为准</w:t>
      </w:r>
      <w:r>
        <w:rPr>
          <w:rFonts w:hint="eastAsia" w:ascii="宋体" w:hAnsi="宋体"/>
          <w:color w:val="auto"/>
          <w:sz w:val="24"/>
          <w:highlight w:val="none"/>
        </w:rPr>
        <w:t>。</w:t>
      </w:r>
    </w:p>
    <w:p>
      <w:pPr>
        <w:spacing w:line="560" w:lineRule="exact"/>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其他设计收费：</w:t>
      </w:r>
      <w:r>
        <w:rPr>
          <w:rFonts w:hint="eastAsia" w:ascii="MS Mincho" w:hAnsi="MS Mincho" w:eastAsia="宋体" w:cs="MS Mincho"/>
          <w:bCs/>
          <w:snapToGrid w:val="0"/>
          <w:color w:val="auto"/>
          <w:kern w:val="0"/>
          <w:sz w:val="24"/>
          <w:highlight w:val="none"/>
          <w:lang w:eastAsia="zh-CN"/>
        </w:rPr>
        <w:t>☑</w:t>
      </w:r>
      <w:r>
        <w:rPr>
          <w:rFonts w:hint="eastAsia" w:ascii="宋体" w:hAnsi="宋体"/>
          <w:bCs/>
          <w:snapToGrid w:val="0"/>
          <w:color w:val="auto"/>
          <w:kern w:val="0"/>
          <w:sz w:val="24"/>
          <w:highlight w:val="none"/>
        </w:rPr>
        <w:t>设计协调费</w:t>
      </w:r>
      <w:r>
        <w:rPr>
          <w:rFonts w:ascii="宋体" w:hAnsi="宋体"/>
          <w:bCs/>
          <w:snapToGrid w:val="0"/>
          <w:color w:val="auto"/>
          <w:kern w:val="0"/>
          <w:sz w:val="24"/>
          <w:highlight w:val="none"/>
          <w:u w:val="single"/>
        </w:rPr>
        <w:t>_（含在设计费报价中，</w:t>
      </w:r>
      <w:r>
        <w:rPr>
          <w:rFonts w:hint="eastAsia" w:ascii="宋体" w:hAnsi="宋体"/>
          <w:bCs/>
          <w:snapToGrid w:val="0"/>
          <w:color w:val="auto"/>
          <w:kern w:val="0"/>
          <w:sz w:val="24"/>
          <w:highlight w:val="none"/>
          <w:u w:val="single"/>
        </w:rPr>
        <w:t>不单独计取）</w:t>
      </w:r>
      <w:r>
        <w:rPr>
          <w:rFonts w:ascii="宋体" w:hAnsi="宋体"/>
          <w:bCs/>
          <w:snapToGrid w:val="0"/>
          <w:color w:val="auto"/>
          <w:kern w:val="0"/>
          <w:sz w:val="24"/>
          <w:highlight w:val="none"/>
          <w:u w:val="single"/>
        </w:rPr>
        <w:t>_</w:t>
      </w:r>
      <w:r>
        <w:rPr>
          <w:rFonts w:hint="eastAsia" w:ascii="宋体" w:hAnsi="宋体"/>
          <w:bCs/>
          <w:snapToGrid w:val="0"/>
          <w:color w:val="auto"/>
          <w:kern w:val="0"/>
          <w:sz w:val="24"/>
          <w:highlight w:val="none"/>
        </w:rPr>
        <w:t>万元；</w:t>
      </w:r>
      <w:r>
        <w:rPr>
          <w:rFonts w:hint="eastAsia" w:ascii="MS Mincho" w:hAnsi="MS Mincho" w:eastAsia="宋体" w:cs="MS Mincho"/>
          <w:bCs/>
          <w:snapToGrid w:val="0"/>
          <w:color w:val="auto"/>
          <w:kern w:val="0"/>
          <w:sz w:val="24"/>
          <w:highlight w:val="none"/>
          <w:lang w:eastAsia="zh-CN"/>
        </w:rPr>
        <w:t>☑</w:t>
      </w:r>
      <w:r>
        <w:rPr>
          <w:rFonts w:hint="eastAsia" w:ascii="宋体" w:hAnsi="宋体"/>
          <w:bCs/>
          <w:snapToGrid w:val="0"/>
          <w:color w:val="auto"/>
          <w:kern w:val="0"/>
          <w:sz w:val="24"/>
          <w:highlight w:val="none"/>
        </w:rPr>
        <w:t>驻场设计费</w:t>
      </w:r>
      <w:r>
        <w:rPr>
          <w:rFonts w:hint="eastAsia" w:ascii="宋体" w:hAnsi="宋体"/>
          <w:bCs/>
          <w:snapToGrid w:val="0"/>
          <w:color w:val="auto"/>
          <w:kern w:val="0"/>
          <w:sz w:val="24"/>
          <w:highlight w:val="none"/>
          <w:u w:val="single"/>
        </w:rPr>
        <w:t>（含在设计费报价中，不单独计取）</w:t>
      </w:r>
      <w:r>
        <w:rPr>
          <w:rFonts w:hint="eastAsia" w:ascii="宋体" w:hAnsi="宋体"/>
          <w:bCs/>
          <w:snapToGrid w:val="0"/>
          <w:color w:val="auto"/>
          <w:kern w:val="0"/>
          <w:sz w:val="24"/>
          <w:highlight w:val="none"/>
        </w:rPr>
        <w:t>万元；□施工图预算编制费万元；</w:t>
      </w:r>
      <w:r>
        <w:rPr>
          <w:rFonts w:hint="eastAsia" w:ascii="MS Mincho" w:hAnsi="MS Mincho" w:eastAsia="宋体" w:cs="MS Mincho"/>
          <w:bCs/>
          <w:snapToGrid w:val="0"/>
          <w:color w:val="auto"/>
          <w:kern w:val="0"/>
          <w:sz w:val="24"/>
          <w:highlight w:val="none"/>
          <w:lang w:eastAsia="zh-CN"/>
        </w:rPr>
        <w:t>☑</w:t>
      </w:r>
      <w:r>
        <w:rPr>
          <w:rFonts w:hint="eastAsia" w:ascii="宋体" w:hAnsi="宋体"/>
          <w:bCs/>
          <w:snapToGrid w:val="0"/>
          <w:color w:val="auto"/>
          <w:kern w:val="0"/>
          <w:sz w:val="24"/>
          <w:highlight w:val="none"/>
        </w:rPr>
        <w:t>其他费用</w:t>
      </w:r>
      <w:r>
        <w:rPr>
          <w:rFonts w:hint="eastAsia" w:ascii="宋体" w:hAnsi="宋体"/>
          <w:bCs/>
          <w:snapToGrid w:val="0"/>
          <w:color w:val="auto"/>
          <w:kern w:val="0"/>
          <w:sz w:val="24"/>
          <w:highlight w:val="none"/>
          <w:u w:val="single"/>
        </w:rPr>
        <w:t>（如概算编制费等含在设计费报价中，不单独计取）</w:t>
      </w:r>
      <w:r>
        <w:rPr>
          <w:rFonts w:hint="eastAsia" w:ascii="宋体" w:hAnsi="宋体"/>
          <w:bCs/>
          <w:snapToGrid w:val="0"/>
          <w:color w:val="auto"/>
          <w:kern w:val="0"/>
          <w:sz w:val="24"/>
          <w:highlight w:val="none"/>
        </w:rPr>
        <w:t>_万元。</w:t>
      </w:r>
    </w:p>
    <w:p>
      <w:pPr>
        <w:spacing w:line="560" w:lineRule="exact"/>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1</w:t>
      </w:r>
      <w:r>
        <w:rPr>
          <w:rFonts w:hint="eastAsia" w:ascii="宋体" w:hAnsi="宋体"/>
          <w:b/>
          <w:bCs/>
          <w:snapToGrid w:val="0"/>
          <w:color w:val="auto"/>
          <w:kern w:val="0"/>
          <w:sz w:val="24"/>
          <w:highlight w:val="none"/>
          <w:lang w:val="en-US" w:eastAsia="zh-CN"/>
        </w:rPr>
        <w:t>3</w:t>
      </w:r>
      <w:r>
        <w:rPr>
          <w:rFonts w:hint="eastAsia" w:ascii="宋体" w:hAnsi="宋体"/>
          <w:b/>
          <w:bCs/>
          <w:snapToGrid w:val="0"/>
          <w:color w:val="auto"/>
          <w:kern w:val="0"/>
          <w:sz w:val="24"/>
          <w:highlight w:val="none"/>
        </w:rPr>
        <w:t>.2</w:t>
      </w:r>
      <w:r>
        <w:rPr>
          <w:rFonts w:hint="eastAsia" w:ascii="宋体" w:hAnsi="宋体"/>
          <w:bCs/>
          <w:snapToGrid w:val="0"/>
          <w:color w:val="auto"/>
          <w:kern w:val="0"/>
          <w:sz w:val="24"/>
          <w:highlight w:val="none"/>
        </w:rPr>
        <w:t>除非双方另有约定，本合同设计收费计取时已综合考虑各种费率变化、物价变动。</w:t>
      </w:r>
    </w:p>
    <w:p>
      <w:pPr>
        <w:pStyle w:val="6"/>
        <w:spacing w:before="0" w:after="0" w:line="360" w:lineRule="auto"/>
        <w:ind w:firstLine="424" w:firstLineChars="176"/>
        <w:rPr>
          <w:rFonts w:hint="eastAsia" w:ascii="宋体" w:hAnsi="宋体"/>
          <w:snapToGrid w:val="0"/>
          <w:color w:val="auto"/>
          <w:kern w:val="0"/>
          <w:sz w:val="24"/>
          <w:szCs w:val="24"/>
          <w:highlight w:val="none"/>
        </w:rPr>
      </w:pPr>
      <w:bookmarkStart w:id="29" w:name="_Toc472802257"/>
      <w:r>
        <w:rPr>
          <w:rFonts w:hint="eastAsia" w:ascii="宋体" w:hAnsi="宋体"/>
          <w:snapToGrid w:val="0"/>
          <w:color w:val="auto"/>
          <w:kern w:val="0"/>
          <w:sz w:val="24"/>
          <w:szCs w:val="24"/>
          <w:highlight w:val="none"/>
        </w:rPr>
        <w:t>1</w:t>
      </w:r>
      <w:r>
        <w:rPr>
          <w:rFonts w:hint="eastAsia" w:ascii="宋体" w:hAnsi="宋体"/>
          <w:snapToGrid w:val="0"/>
          <w:color w:val="auto"/>
          <w:kern w:val="0"/>
          <w:sz w:val="24"/>
          <w:szCs w:val="24"/>
          <w:highlight w:val="none"/>
          <w:lang w:val="en-US" w:eastAsia="zh-CN"/>
        </w:rPr>
        <w:t>4</w:t>
      </w:r>
      <w:r>
        <w:rPr>
          <w:rFonts w:hint="eastAsia" w:ascii="宋体" w:hAnsi="宋体"/>
          <w:snapToGrid w:val="0"/>
          <w:color w:val="auto"/>
          <w:kern w:val="0"/>
          <w:sz w:val="24"/>
          <w:szCs w:val="24"/>
          <w:highlight w:val="none"/>
        </w:rPr>
        <w:t>、设计收费的支付</w:t>
      </w:r>
      <w:bookmarkEnd w:id="29"/>
    </w:p>
    <w:p>
      <w:pPr>
        <w:spacing w:line="560" w:lineRule="exact"/>
        <w:ind w:firstLine="424" w:firstLineChars="176"/>
        <w:rPr>
          <w:rFonts w:ascii="宋体" w:hAnsi="宋体"/>
          <w:b/>
          <w:snapToGrid w:val="0"/>
          <w:color w:val="auto"/>
          <w:kern w:val="0"/>
          <w:sz w:val="24"/>
          <w:highlight w:val="none"/>
        </w:rPr>
      </w:pPr>
      <w:r>
        <w:rPr>
          <w:rFonts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4</w:t>
      </w:r>
      <w:r>
        <w:rPr>
          <w:rFonts w:ascii="宋体" w:hAnsi="宋体"/>
          <w:b/>
          <w:snapToGrid w:val="0"/>
          <w:color w:val="auto"/>
          <w:kern w:val="0"/>
          <w:sz w:val="24"/>
          <w:highlight w:val="none"/>
        </w:rPr>
        <w:t>.1设计费支付进度（见下表）</w:t>
      </w:r>
    </w:p>
    <w:tbl>
      <w:tblPr>
        <w:tblStyle w:val="57"/>
        <w:tblW w:w="8529" w:type="dxa"/>
        <w:jc w:val="center"/>
        <w:tblLayout w:type="fixed"/>
        <w:tblCellMar>
          <w:top w:w="0" w:type="dxa"/>
          <w:left w:w="108" w:type="dxa"/>
          <w:bottom w:w="0" w:type="dxa"/>
          <w:right w:w="108" w:type="dxa"/>
        </w:tblCellMar>
      </w:tblPr>
      <w:tblGrid>
        <w:gridCol w:w="675"/>
        <w:gridCol w:w="1561"/>
        <w:gridCol w:w="1283"/>
        <w:gridCol w:w="1282"/>
        <w:gridCol w:w="2430"/>
        <w:gridCol w:w="1298"/>
      </w:tblGrid>
      <w:tr>
        <w:tblPrEx>
          <w:tblCellMar>
            <w:top w:w="0" w:type="dxa"/>
            <w:left w:w="108" w:type="dxa"/>
            <w:bottom w:w="0" w:type="dxa"/>
            <w:right w:w="108" w:type="dxa"/>
          </w:tblCellMar>
        </w:tblPrEx>
        <w:trPr>
          <w:trHeight w:val="42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561" w:type="dxa"/>
            <w:tcBorders>
              <w:top w:val="single" w:color="auto" w:sz="4" w:space="0"/>
              <w:left w:val="single" w:color="auto" w:sz="4" w:space="0"/>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r>
              <w:rPr>
                <w:rFonts w:hint="eastAsia" w:ascii="宋体" w:hAnsi="宋体" w:cs="宋体"/>
                <w:color w:val="auto"/>
                <w:kern w:val="0"/>
                <w:szCs w:val="21"/>
                <w:highlight w:val="none"/>
              </w:rPr>
              <w:t>付费次序</w:t>
            </w:r>
          </w:p>
        </w:tc>
        <w:tc>
          <w:tcPr>
            <w:tcW w:w="128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付款比例%</w:t>
            </w:r>
          </w:p>
        </w:tc>
        <w:tc>
          <w:tcPr>
            <w:tcW w:w="1282"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付费额</w:t>
            </w:r>
          </w:p>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（万元）</w:t>
            </w:r>
          </w:p>
        </w:tc>
        <w:tc>
          <w:tcPr>
            <w:tcW w:w="2430" w:type="dxa"/>
            <w:tcBorders>
              <w:top w:val="single" w:color="auto" w:sz="4" w:space="0"/>
              <w:left w:val="nil"/>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r>
              <w:rPr>
                <w:rFonts w:hint="eastAsia" w:ascii="宋体" w:hAnsi="宋体" w:cs="宋体"/>
                <w:color w:val="auto"/>
                <w:kern w:val="0"/>
                <w:szCs w:val="21"/>
                <w:highlight w:val="none"/>
              </w:rPr>
              <w:t>付费时间</w:t>
            </w: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CellMar>
            <w:top w:w="0" w:type="dxa"/>
            <w:left w:w="108" w:type="dxa"/>
            <w:bottom w:w="0" w:type="dxa"/>
            <w:right w:w="108" w:type="dxa"/>
          </w:tblCellMar>
        </w:tblPrEx>
        <w:trPr>
          <w:trHeight w:val="42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定金（第1次付费）</w:t>
            </w:r>
          </w:p>
        </w:tc>
        <w:tc>
          <w:tcPr>
            <w:tcW w:w="128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0%（设计费合同价）</w:t>
            </w:r>
          </w:p>
        </w:tc>
        <w:tc>
          <w:tcPr>
            <w:tcW w:w="1282" w:type="dxa"/>
            <w:tcBorders>
              <w:top w:val="single" w:color="auto" w:sz="4" w:space="0"/>
              <w:left w:val="nil"/>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p>
        </w:tc>
        <w:tc>
          <w:tcPr>
            <w:tcW w:w="2430" w:type="dxa"/>
            <w:tcBorders>
              <w:top w:val="single" w:color="auto" w:sz="4" w:space="0"/>
              <w:left w:val="nil"/>
              <w:bottom w:val="single" w:color="auto" w:sz="4" w:space="0"/>
              <w:right w:val="single" w:color="auto" w:sz="4" w:space="0"/>
            </w:tcBorders>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本合同</w:t>
            </w:r>
            <w:r>
              <w:rPr>
                <w:rFonts w:hint="eastAsia" w:ascii="宋体" w:hAnsi="宋体" w:cs="宋体"/>
                <w:color w:val="auto"/>
                <w:kern w:val="0"/>
                <w:szCs w:val="21"/>
                <w:highlight w:val="none"/>
                <w:lang w:eastAsia="zh-CN"/>
              </w:rPr>
              <w:t>生效</w:t>
            </w:r>
            <w:r>
              <w:rPr>
                <w:rFonts w:hint="eastAsia" w:ascii="宋体" w:hAnsi="宋体" w:cs="宋体"/>
                <w:color w:val="auto"/>
                <w:kern w:val="0"/>
                <w:szCs w:val="21"/>
                <w:highlight w:val="none"/>
              </w:rPr>
              <w:t>之日起三十日内。本合同开始履行后，定金抵作设计费并计入合同进度款。</w:t>
            </w:r>
          </w:p>
        </w:tc>
        <w:tc>
          <w:tcPr>
            <w:tcW w:w="1298" w:type="dxa"/>
            <w:tcBorders>
              <w:top w:val="single" w:color="auto" w:sz="4" w:space="0"/>
              <w:left w:val="nil"/>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2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第2次付费</w:t>
            </w:r>
          </w:p>
        </w:tc>
        <w:tc>
          <w:tcPr>
            <w:tcW w:w="128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7</w:t>
            </w:r>
            <w:r>
              <w:rPr>
                <w:rFonts w:ascii="宋体" w:hAnsi="宋体" w:cs="宋体"/>
                <w:color w:val="auto"/>
                <w:kern w:val="0"/>
                <w:szCs w:val="21"/>
                <w:highlight w:val="none"/>
              </w:rPr>
              <w:t>0</w:t>
            </w:r>
            <w:r>
              <w:rPr>
                <w:rFonts w:hint="eastAsia" w:ascii="宋体" w:hAnsi="宋体" w:cs="宋体"/>
                <w:color w:val="auto"/>
                <w:kern w:val="0"/>
                <w:szCs w:val="21"/>
                <w:highlight w:val="none"/>
              </w:rPr>
              <w:t>%（设计费合同价）</w:t>
            </w:r>
          </w:p>
        </w:tc>
        <w:tc>
          <w:tcPr>
            <w:tcW w:w="1282" w:type="dxa"/>
            <w:tcBorders>
              <w:top w:val="single" w:color="auto" w:sz="4" w:space="0"/>
              <w:left w:val="nil"/>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p>
        </w:tc>
        <w:tc>
          <w:tcPr>
            <w:tcW w:w="2430" w:type="dxa"/>
            <w:tcBorders>
              <w:top w:val="single" w:color="auto" w:sz="4" w:space="0"/>
              <w:left w:val="nil"/>
              <w:bottom w:val="single" w:color="auto" w:sz="4" w:space="0"/>
              <w:right w:val="single" w:color="auto" w:sz="4" w:space="0"/>
            </w:tcBorders>
            <w:vAlign w:val="center"/>
          </w:tcPr>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完成初步设计并经甲方确认，通过</w:t>
            </w:r>
            <w:r>
              <w:rPr>
                <w:rFonts w:ascii="宋体" w:hAnsi="宋体" w:cs="宋体"/>
                <w:color w:val="auto"/>
                <w:kern w:val="0"/>
                <w:szCs w:val="21"/>
                <w:highlight w:val="none"/>
              </w:rPr>
              <w:t>审查，完成</w:t>
            </w:r>
            <w:r>
              <w:rPr>
                <w:rFonts w:hint="eastAsia" w:ascii="宋体" w:hAnsi="宋体" w:cs="宋体"/>
                <w:color w:val="auto"/>
                <w:kern w:val="0"/>
                <w:szCs w:val="21"/>
                <w:highlight w:val="none"/>
              </w:rPr>
              <w:t>初步设计及概算批复</w:t>
            </w:r>
            <w:r>
              <w:rPr>
                <w:rFonts w:hint="eastAsia" w:ascii="宋体" w:hAnsi="宋体" w:cs="宋体"/>
                <w:color w:val="auto"/>
                <w:kern w:val="0"/>
                <w:szCs w:val="21"/>
                <w:highlight w:val="none"/>
                <w:lang w:eastAsia="zh-CN"/>
              </w:rPr>
              <w:t>后</w:t>
            </w:r>
            <w:r>
              <w:rPr>
                <w:rFonts w:hint="eastAsia" w:ascii="宋体" w:hAnsi="宋体" w:cs="宋体"/>
                <w:color w:val="auto"/>
                <w:kern w:val="0"/>
                <w:szCs w:val="21"/>
                <w:highlight w:val="none"/>
                <w:lang w:val="en-US" w:eastAsia="zh-CN"/>
              </w:rPr>
              <w:t>30日内。</w:t>
            </w:r>
          </w:p>
        </w:tc>
        <w:tc>
          <w:tcPr>
            <w:tcW w:w="129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42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ascii="宋体" w:hAnsi="宋体" w:cs="宋体"/>
                <w:color w:val="auto"/>
                <w:kern w:val="0"/>
                <w:szCs w:val="21"/>
                <w:highlight w:val="none"/>
              </w:rPr>
              <w:t>3</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第</w:t>
            </w:r>
            <w:r>
              <w:rPr>
                <w:rFonts w:ascii="宋体" w:hAnsi="宋体" w:cs="宋体"/>
                <w:color w:val="auto"/>
                <w:kern w:val="0"/>
                <w:szCs w:val="21"/>
                <w:highlight w:val="none"/>
              </w:rPr>
              <w:t>3</w:t>
            </w:r>
            <w:r>
              <w:rPr>
                <w:rFonts w:hint="eastAsia" w:ascii="宋体" w:hAnsi="宋体" w:cs="宋体"/>
                <w:color w:val="auto"/>
                <w:kern w:val="0"/>
                <w:szCs w:val="21"/>
                <w:highlight w:val="none"/>
              </w:rPr>
              <w:t>次付费</w:t>
            </w:r>
          </w:p>
        </w:tc>
        <w:tc>
          <w:tcPr>
            <w:tcW w:w="128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支付至设计费结算价100%</w:t>
            </w:r>
            <w:r>
              <w:rPr>
                <w:rFonts w:hint="eastAsia" w:ascii="宋体" w:hAnsi="宋体" w:cs="宋体"/>
                <w:color w:val="auto"/>
                <w:kern w:val="0"/>
                <w:szCs w:val="21"/>
                <w:highlight w:val="none"/>
              </w:rPr>
              <w:t>（以财政投资评审审定概算建安费为基数按合同约定计算方法计算的设计费）</w:t>
            </w:r>
          </w:p>
        </w:tc>
        <w:tc>
          <w:tcPr>
            <w:tcW w:w="1282" w:type="dxa"/>
            <w:tcBorders>
              <w:top w:val="single" w:color="auto" w:sz="4" w:space="0"/>
              <w:left w:val="nil"/>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p>
        </w:tc>
        <w:tc>
          <w:tcPr>
            <w:tcW w:w="2430" w:type="dxa"/>
            <w:tcBorders>
              <w:top w:val="single" w:color="auto" w:sz="4" w:space="0"/>
              <w:left w:val="nil"/>
              <w:bottom w:val="single" w:color="auto" w:sz="4" w:space="0"/>
              <w:right w:val="single" w:color="auto" w:sz="4" w:space="0"/>
            </w:tcBorders>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完成招标及施工图阶段的设计配合，并经甲方确认</w:t>
            </w:r>
            <w:r>
              <w:rPr>
                <w:rFonts w:hint="eastAsia" w:ascii="宋体" w:hAnsi="宋体" w:cs="宋体"/>
                <w:color w:val="auto"/>
                <w:kern w:val="0"/>
                <w:szCs w:val="21"/>
                <w:highlight w:val="none"/>
                <w:lang w:val="en-US" w:eastAsia="zh-CN"/>
              </w:rPr>
              <w:t>30日内。</w:t>
            </w:r>
          </w:p>
        </w:tc>
        <w:tc>
          <w:tcPr>
            <w:tcW w:w="1298" w:type="dxa"/>
            <w:tcBorders>
              <w:top w:val="single" w:color="auto" w:sz="4" w:space="0"/>
              <w:left w:val="nil"/>
              <w:bottom w:val="single" w:color="auto" w:sz="4" w:space="0"/>
              <w:right w:val="single" w:color="auto" w:sz="4" w:space="0"/>
            </w:tcBorders>
            <w:vAlign w:val="center"/>
          </w:tcPr>
          <w:p>
            <w:pPr>
              <w:ind w:firstLine="369" w:firstLineChars="176"/>
              <w:jc w:val="center"/>
              <w:rPr>
                <w:rFonts w:ascii="宋体" w:hAnsi="宋体" w:cs="宋体"/>
                <w:color w:val="auto"/>
                <w:kern w:val="0"/>
                <w:szCs w:val="21"/>
                <w:highlight w:val="none"/>
              </w:rPr>
            </w:pPr>
          </w:p>
        </w:tc>
      </w:tr>
    </w:tbl>
    <w:p>
      <w:pPr>
        <w:spacing w:line="360" w:lineRule="auto"/>
        <w:ind w:firstLine="422" w:firstLineChars="176"/>
        <w:rPr>
          <w:rFonts w:hint="eastAsia" w:ascii="宋体" w:hAnsi="宋体"/>
          <w:color w:val="auto"/>
          <w:sz w:val="24"/>
          <w:highlight w:val="none"/>
        </w:rPr>
      </w:pPr>
      <w:r>
        <w:rPr>
          <w:rFonts w:hint="eastAsia" w:ascii="宋体" w:hAnsi="宋体"/>
          <w:color w:val="auto"/>
          <w:sz w:val="24"/>
          <w:highlight w:val="none"/>
        </w:rPr>
        <w:t>注：1.乙方完成了所承担设计的建设项目工作范围内的内容后，经财政评审后按合同条款规定的计费标准结清完成上述工作的对应项目的设计费,不留尾款。</w:t>
      </w:r>
    </w:p>
    <w:p>
      <w:pPr>
        <w:spacing w:line="360" w:lineRule="auto"/>
        <w:ind w:firstLine="424" w:firstLineChars="176"/>
        <w:rPr>
          <w:rFonts w:ascii="宋体" w:hAnsi="宋体"/>
          <w:b/>
          <w:bCs/>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4</w:t>
      </w:r>
      <w:r>
        <w:rPr>
          <w:rFonts w:hint="eastAsia" w:ascii="宋体" w:hAnsi="宋体"/>
          <w:b/>
          <w:snapToGrid w:val="0"/>
          <w:color w:val="auto"/>
          <w:kern w:val="0"/>
          <w:sz w:val="24"/>
          <w:highlight w:val="none"/>
        </w:rPr>
        <w:t>.2</w:t>
      </w:r>
      <w:r>
        <w:rPr>
          <w:rFonts w:hint="eastAsia" w:ascii="宋体" w:hAnsi="宋体"/>
          <w:bCs/>
          <w:snapToGrid w:val="0"/>
          <w:color w:val="auto"/>
          <w:kern w:val="0"/>
          <w:sz w:val="24"/>
          <w:highlight w:val="none"/>
        </w:rPr>
        <w:t>如乙方为联合体单位，在本合同签订之日起十五天内，应向甲方提交联合体各方的收款约定，明确每次设计费支付时的各方收款比例。</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4</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设计费在甲</w:t>
      </w:r>
      <w:r>
        <w:rPr>
          <w:rFonts w:ascii="宋体" w:hAnsi="宋体"/>
          <w:snapToGrid w:val="0"/>
          <w:color w:val="auto"/>
          <w:kern w:val="0"/>
          <w:sz w:val="24"/>
          <w:highlight w:val="none"/>
        </w:rPr>
        <w:t>方</w:t>
      </w:r>
      <w:r>
        <w:rPr>
          <w:rFonts w:hint="eastAsia" w:ascii="宋体" w:hAnsi="宋体"/>
          <w:snapToGrid w:val="0"/>
          <w:color w:val="auto"/>
          <w:kern w:val="0"/>
          <w:sz w:val="24"/>
          <w:highlight w:val="none"/>
        </w:rPr>
        <w:t>支付每笔费用【</w:t>
      </w:r>
      <w:r>
        <w:rPr>
          <w:rFonts w:hint="eastAsia" w:ascii="宋体" w:hAnsi="宋体"/>
          <w:snapToGrid w:val="0"/>
          <w:color w:val="auto"/>
          <w:kern w:val="0"/>
          <w:sz w:val="24"/>
          <w:highlight w:val="none"/>
          <w:u w:val="single"/>
        </w:rPr>
        <w:t>3</w:t>
      </w:r>
      <w:r>
        <w:rPr>
          <w:rFonts w:hint="eastAsia" w:ascii="宋体" w:hAnsi="宋体"/>
          <w:snapToGrid w:val="0"/>
          <w:color w:val="auto"/>
          <w:kern w:val="0"/>
          <w:sz w:val="24"/>
          <w:highlight w:val="none"/>
        </w:rPr>
        <w:t>】天前乙方应向</w:t>
      </w:r>
      <w:r>
        <w:rPr>
          <w:rFonts w:ascii="宋体" w:hAnsi="宋体"/>
          <w:snapToGrid w:val="0"/>
          <w:color w:val="auto"/>
          <w:kern w:val="0"/>
          <w:sz w:val="24"/>
          <w:highlight w:val="none"/>
        </w:rPr>
        <w:t>甲方提供</w:t>
      </w:r>
      <w:r>
        <w:rPr>
          <w:rFonts w:hint="eastAsia" w:ascii="宋体" w:hAnsi="宋体"/>
          <w:snapToGrid w:val="0"/>
          <w:color w:val="auto"/>
          <w:kern w:val="0"/>
          <w:sz w:val="24"/>
          <w:highlight w:val="none"/>
        </w:rPr>
        <w:t>正式等额增</w:t>
      </w:r>
      <w:r>
        <w:rPr>
          <w:rFonts w:ascii="宋体" w:hAnsi="宋体"/>
          <w:snapToGrid w:val="0"/>
          <w:color w:val="auto"/>
          <w:kern w:val="0"/>
          <w:sz w:val="24"/>
          <w:highlight w:val="none"/>
        </w:rPr>
        <w:t>值</w:t>
      </w:r>
      <w:r>
        <w:rPr>
          <w:rFonts w:hint="eastAsia" w:ascii="宋体" w:hAnsi="宋体"/>
          <w:snapToGrid w:val="0"/>
          <w:color w:val="auto"/>
          <w:kern w:val="0"/>
          <w:sz w:val="24"/>
          <w:highlight w:val="none"/>
        </w:rPr>
        <w:t>税</w:t>
      </w:r>
      <w:r>
        <w:rPr>
          <w:rFonts w:ascii="宋体" w:hAnsi="宋体"/>
          <w:snapToGrid w:val="0"/>
          <w:color w:val="auto"/>
          <w:kern w:val="0"/>
          <w:sz w:val="24"/>
          <w:highlight w:val="none"/>
        </w:rPr>
        <w:t>专用</w:t>
      </w:r>
      <w:r>
        <w:rPr>
          <w:rFonts w:hint="eastAsia" w:ascii="宋体" w:hAnsi="宋体"/>
          <w:snapToGrid w:val="0"/>
          <w:color w:val="auto"/>
          <w:kern w:val="0"/>
          <w:sz w:val="24"/>
          <w:highlight w:val="none"/>
        </w:rPr>
        <w:t>发票，但甲方收到发票不作为认定乙方收到发票等额设计费的依据，乙方实际收到设计费的时间以甲方交付的款项正式在乙方入帐之日为准。乙方未能提供上述发票的，甲方有权顺延付款。</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4</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修改设计、补充设计、在原定设计范围内的必要设计，均由乙方负责。在乙方执行设计任务期间，甲方如有较小修改设计，乙方将不另行收费。</w:t>
      </w:r>
    </w:p>
    <w:p>
      <w:pPr>
        <w:spacing w:line="360" w:lineRule="auto"/>
        <w:ind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30" w:name="_Toc472802259"/>
      <w:r>
        <w:rPr>
          <w:rFonts w:hint="eastAsia"/>
          <w:color w:val="auto"/>
          <w:sz w:val="30"/>
          <w:szCs w:val="30"/>
          <w:highlight w:val="none"/>
        </w:rPr>
        <w:t>第</w:t>
      </w:r>
      <w:r>
        <w:rPr>
          <w:rFonts w:hint="eastAsia"/>
          <w:color w:val="auto"/>
          <w:sz w:val="30"/>
          <w:szCs w:val="30"/>
          <w:highlight w:val="none"/>
          <w:lang w:eastAsia="zh-CN"/>
        </w:rPr>
        <w:t>九</w:t>
      </w:r>
      <w:r>
        <w:rPr>
          <w:rFonts w:hint="eastAsia"/>
          <w:color w:val="auto"/>
          <w:sz w:val="30"/>
          <w:szCs w:val="30"/>
          <w:highlight w:val="none"/>
        </w:rPr>
        <w:t>章  勘  察</w:t>
      </w:r>
    </w:p>
    <w:p>
      <w:pPr>
        <w:pStyle w:val="6"/>
        <w:spacing w:before="0" w:after="0" w:line="360" w:lineRule="auto"/>
        <w:ind w:firstLine="424" w:firstLineChars="176"/>
        <w:rPr>
          <w:rFonts w:ascii="宋体" w:hAnsi="宋体"/>
          <w:snapToGrid w:val="0"/>
          <w:color w:val="auto"/>
          <w:kern w:val="0"/>
          <w:sz w:val="24"/>
          <w:szCs w:val="24"/>
          <w:highlight w:val="none"/>
        </w:rPr>
      </w:pPr>
      <w:r>
        <w:rPr>
          <w:rFonts w:hint="eastAsia" w:ascii="宋体" w:hAnsi="宋体"/>
          <w:snapToGrid w:val="0"/>
          <w:color w:val="auto"/>
          <w:kern w:val="0"/>
          <w:sz w:val="24"/>
          <w:szCs w:val="24"/>
          <w:highlight w:val="none"/>
        </w:rPr>
        <w:t>1</w:t>
      </w:r>
      <w:r>
        <w:rPr>
          <w:rFonts w:hint="eastAsia" w:ascii="宋体" w:hAnsi="宋体"/>
          <w:snapToGrid w:val="0"/>
          <w:color w:val="auto"/>
          <w:kern w:val="0"/>
          <w:sz w:val="24"/>
          <w:szCs w:val="24"/>
          <w:highlight w:val="none"/>
          <w:lang w:val="en-US" w:eastAsia="zh-CN"/>
        </w:rPr>
        <w:t>5</w:t>
      </w:r>
      <w:r>
        <w:rPr>
          <w:rFonts w:hint="eastAsia" w:ascii="宋体" w:hAnsi="宋体"/>
          <w:snapToGrid w:val="0"/>
          <w:color w:val="auto"/>
          <w:kern w:val="0"/>
          <w:sz w:val="24"/>
          <w:szCs w:val="24"/>
          <w:highlight w:val="none"/>
        </w:rPr>
        <w:t>、勘察范围</w:t>
      </w:r>
      <w:bookmarkEnd w:id="30"/>
    </w:p>
    <w:p>
      <w:pPr>
        <w:spacing w:line="360" w:lineRule="auto"/>
        <w:ind w:firstLine="424" w:firstLineChars="176"/>
        <w:rPr>
          <w:rFonts w:ascii="宋体" w:hAnsi="宋体"/>
          <w:snapToGrid w:val="0"/>
          <w:color w:val="auto"/>
          <w:sz w:val="24"/>
          <w:highlight w:val="none"/>
        </w:rPr>
      </w:pPr>
      <w:r>
        <w:rPr>
          <w:rFonts w:hint="eastAsia" w:ascii="宋体" w:hAnsi="宋体"/>
          <w:b/>
          <w:snapToGrid w:val="0"/>
          <w:color w:val="auto"/>
          <w:sz w:val="24"/>
          <w:highlight w:val="none"/>
        </w:rPr>
        <w:t>1</w:t>
      </w:r>
      <w:r>
        <w:rPr>
          <w:rFonts w:hint="eastAsia" w:ascii="宋体" w:hAnsi="宋体"/>
          <w:b/>
          <w:snapToGrid w:val="0"/>
          <w:color w:val="auto"/>
          <w:sz w:val="24"/>
          <w:highlight w:val="none"/>
          <w:lang w:val="en-US" w:eastAsia="zh-CN"/>
        </w:rPr>
        <w:t>5</w:t>
      </w:r>
      <w:r>
        <w:rPr>
          <w:rFonts w:hint="eastAsia" w:ascii="宋体" w:hAnsi="宋体"/>
          <w:b/>
          <w:snapToGrid w:val="0"/>
          <w:color w:val="auto"/>
          <w:sz w:val="24"/>
          <w:highlight w:val="none"/>
        </w:rPr>
        <w:t>.1</w:t>
      </w:r>
      <w:r>
        <w:rPr>
          <w:rFonts w:hint="eastAsia" w:ascii="宋体" w:hAnsi="宋体"/>
          <w:snapToGrid w:val="0"/>
          <w:color w:val="auto"/>
          <w:sz w:val="24"/>
          <w:highlight w:val="none"/>
        </w:rPr>
        <w:t>勘察依据</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（1</w:t>
      </w:r>
      <w:r>
        <w:rPr>
          <w:rFonts w:ascii="宋体" w:hAnsi="宋体"/>
          <w:snapToGrid w:val="0"/>
          <w:color w:val="auto"/>
          <w:sz w:val="24"/>
          <w:highlight w:val="none"/>
        </w:rPr>
        <w:t>）</w:t>
      </w:r>
      <w:r>
        <w:rPr>
          <w:rFonts w:hint="eastAsia" w:ascii="宋体" w:hAnsi="宋体"/>
          <w:snapToGrid w:val="0"/>
          <w:color w:val="auto"/>
          <w:sz w:val="24"/>
          <w:highlight w:val="none"/>
        </w:rPr>
        <w:t>中华人民共和国现行有关的法律、行政法规、司法解释、部门规章、相关的工程勘察技术规范、规定及标准，以及广东省、广州市现行有关的地方性法规、</w:t>
      </w:r>
      <w:r>
        <w:rPr>
          <w:rFonts w:hint="eastAsia" w:ascii="宋体" w:hAnsi="宋体"/>
          <w:snapToGrid w:val="0"/>
          <w:color w:val="auto"/>
          <w:sz w:val="24"/>
          <w:highlight w:val="none"/>
          <w:lang w:eastAsia="zh-CN"/>
        </w:rPr>
        <w:t>规章、</w:t>
      </w:r>
      <w:r>
        <w:rPr>
          <w:rFonts w:hint="eastAsia" w:ascii="宋体" w:hAnsi="宋体"/>
          <w:snapToGrid w:val="0"/>
          <w:color w:val="auto"/>
          <w:sz w:val="24"/>
          <w:highlight w:val="none"/>
        </w:rPr>
        <w:t>相关的工程勘察技术规范、规定及标准；</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（2）甲方提供的</w:t>
      </w:r>
      <w:r>
        <w:rPr>
          <w:rFonts w:ascii="宋体" w:hAnsi="宋体"/>
          <w:snapToGrid w:val="0"/>
          <w:color w:val="auto"/>
          <w:sz w:val="24"/>
          <w:highlight w:val="none"/>
        </w:rPr>
        <w:t>勘察</w:t>
      </w:r>
      <w:r>
        <w:rPr>
          <w:rFonts w:hint="eastAsia" w:ascii="宋体" w:hAnsi="宋体"/>
          <w:snapToGrid w:val="0"/>
          <w:color w:val="auto"/>
          <w:sz w:val="24"/>
          <w:highlight w:val="none"/>
        </w:rPr>
        <w:t>任务书；</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（3）</w:t>
      </w:r>
      <w:r>
        <w:rPr>
          <w:rFonts w:ascii="宋体" w:hAnsi="宋体"/>
          <w:snapToGrid w:val="0"/>
          <w:color w:val="auto"/>
          <w:sz w:val="24"/>
          <w:highlight w:val="none"/>
        </w:rPr>
        <w:t>本工程勘察许可等批</w:t>
      </w:r>
      <w:r>
        <w:rPr>
          <w:rFonts w:hint="eastAsia" w:ascii="宋体" w:hAnsi="宋体"/>
          <w:snapToGrid w:val="0"/>
          <w:color w:val="auto"/>
          <w:sz w:val="24"/>
          <w:highlight w:val="none"/>
        </w:rPr>
        <w:t>文</w:t>
      </w:r>
      <w:r>
        <w:rPr>
          <w:rFonts w:ascii="宋体" w:hAnsi="宋体"/>
          <w:snapToGrid w:val="0"/>
          <w:color w:val="auto"/>
          <w:sz w:val="24"/>
          <w:highlight w:val="none"/>
        </w:rPr>
        <w:t>（复印件）</w:t>
      </w:r>
      <w:r>
        <w:rPr>
          <w:rFonts w:hint="eastAsia" w:ascii="宋体" w:hAnsi="宋体"/>
          <w:snapToGrid w:val="0"/>
          <w:color w:val="auto"/>
          <w:sz w:val="24"/>
          <w:highlight w:val="none"/>
        </w:rPr>
        <w:t>；</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（4）甲方提供由规划部门认可的用地红线和地形图；</w:t>
      </w:r>
    </w:p>
    <w:p>
      <w:pPr>
        <w:spacing w:line="360" w:lineRule="auto"/>
        <w:ind w:firstLine="422" w:firstLineChars="176"/>
        <w:rPr>
          <w:rFonts w:hint="eastAsia" w:ascii="宋体" w:hAnsi="宋体" w:eastAsia="宋体"/>
          <w:snapToGrid w:val="0"/>
          <w:color w:val="auto"/>
          <w:sz w:val="24"/>
          <w:highlight w:val="none"/>
          <w:lang w:eastAsia="zh-CN"/>
        </w:rPr>
      </w:pPr>
      <w:r>
        <w:rPr>
          <w:rFonts w:hint="eastAsia" w:ascii="宋体" w:hAnsi="宋体"/>
          <w:snapToGrid w:val="0"/>
          <w:color w:val="auto"/>
          <w:sz w:val="24"/>
          <w:highlight w:val="none"/>
        </w:rPr>
        <w:t>（5）本工程的基础资料，包括用地红线坐标（表）</w:t>
      </w:r>
      <w:r>
        <w:rPr>
          <w:rFonts w:hint="eastAsia" w:ascii="宋体" w:hAnsi="宋体"/>
          <w:snapToGrid w:val="0"/>
          <w:color w:val="auto"/>
          <w:sz w:val="24"/>
          <w:highlight w:val="none"/>
          <w:lang w:eastAsia="zh-CN"/>
        </w:rPr>
        <w:t>；</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（6）勘察</w:t>
      </w:r>
      <w:r>
        <w:rPr>
          <w:rFonts w:ascii="宋体" w:hAnsi="宋体"/>
          <w:snapToGrid w:val="0"/>
          <w:color w:val="auto"/>
          <w:sz w:val="24"/>
          <w:highlight w:val="none"/>
        </w:rPr>
        <w:t>范围的总平面图</w:t>
      </w:r>
      <w:r>
        <w:rPr>
          <w:rFonts w:hint="eastAsia" w:ascii="宋体" w:hAnsi="宋体"/>
          <w:snapToGrid w:val="0"/>
          <w:color w:val="auto"/>
          <w:sz w:val="24"/>
          <w:highlight w:val="none"/>
        </w:rPr>
        <w:t>、勘察</w:t>
      </w:r>
      <w:r>
        <w:rPr>
          <w:rFonts w:ascii="宋体" w:hAnsi="宋体"/>
          <w:snapToGrid w:val="0"/>
          <w:color w:val="auto"/>
          <w:sz w:val="24"/>
          <w:highlight w:val="none"/>
        </w:rPr>
        <w:t>技术要求</w:t>
      </w:r>
      <w:r>
        <w:rPr>
          <w:rFonts w:hint="eastAsia" w:ascii="宋体" w:hAnsi="宋体"/>
          <w:snapToGrid w:val="0"/>
          <w:color w:val="auto"/>
          <w:sz w:val="24"/>
          <w:highlight w:val="none"/>
        </w:rPr>
        <w:t>；</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（7）甲方关于设计、图档、图文、工程等相关管理办法；</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（8）甲乙双方签署的合同及其附件和补充文件；</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（9）设计和建设过程中的政府审批意见，政府或甲方委托或组织的评审机构（会议）提出的或甲方发出的阶段性书面意见，双方来往的各类书面文件、会议纪要等；</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（10）中标通知书或甲方的</w:t>
      </w:r>
      <w:r>
        <w:rPr>
          <w:rFonts w:ascii="宋体" w:hAnsi="宋体"/>
          <w:snapToGrid w:val="0"/>
          <w:color w:val="auto"/>
          <w:sz w:val="24"/>
          <w:highlight w:val="none"/>
        </w:rPr>
        <w:t>勘察任务委托书</w:t>
      </w:r>
      <w:r>
        <w:rPr>
          <w:rFonts w:hint="eastAsia" w:ascii="宋体" w:hAnsi="宋体"/>
          <w:snapToGrid w:val="0"/>
          <w:color w:val="auto"/>
          <w:sz w:val="24"/>
          <w:highlight w:val="none"/>
        </w:rPr>
        <w:t>。</w:t>
      </w:r>
    </w:p>
    <w:p>
      <w:pPr>
        <w:spacing w:line="360" w:lineRule="auto"/>
        <w:ind w:firstLine="424" w:firstLineChars="176"/>
        <w:rPr>
          <w:rFonts w:ascii="宋体" w:hAnsi="宋体"/>
          <w:snapToGrid w:val="0"/>
          <w:color w:val="auto"/>
          <w:sz w:val="24"/>
          <w:highlight w:val="none"/>
        </w:rPr>
      </w:pPr>
      <w:r>
        <w:rPr>
          <w:rFonts w:hint="eastAsia" w:ascii="宋体" w:hAnsi="宋体"/>
          <w:b/>
          <w:snapToGrid w:val="0"/>
          <w:color w:val="auto"/>
          <w:sz w:val="24"/>
          <w:highlight w:val="none"/>
        </w:rPr>
        <w:t>1</w:t>
      </w:r>
      <w:r>
        <w:rPr>
          <w:rFonts w:hint="eastAsia" w:ascii="宋体" w:hAnsi="宋体"/>
          <w:b/>
          <w:snapToGrid w:val="0"/>
          <w:color w:val="auto"/>
          <w:sz w:val="24"/>
          <w:highlight w:val="none"/>
          <w:lang w:val="en-US" w:eastAsia="zh-CN"/>
        </w:rPr>
        <w:t>5</w:t>
      </w:r>
      <w:r>
        <w:rPr>
          <w:rFonts w:hint="eastAsia" w:ascii="宋体" w:hAnsi="宋体"/>
          <w:b/>
          <w:snapToGrid w:val="0"/>
          <w:color w:val="auto"/>
          <w:sz w:val="24"/>
          <w:highlight w:val="none"/>
        </w:rPr>
        <w:t>.2</w:t>
      </w:r>
      <w:bookmarkStart w:id="31" w:name="_Toc363571572"/>
      <w:bookmarkStart w:id="32" w:name="_Toc6156"/>
      <w:r>
        <w:rPr>
          <w:rFonts w:hint="eastAsia" w:ascii="宋体" w:hAnsi="宋体"/>
          <w:snapToGrid w:val="0"/>
          <w:color w:val="auto"/>
          <w:sz w:val="24"/>
          <w:highlight w:val="none"/>
        </w:rPr>
        <w:t>工程勘察和测量要求</w:t>
      </w:r>
      <w:bookmarkEnd w:id="31"/>
      <w:bookmarkEnd w:id="32"/>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1）本项目工程勘察含初勘和详勘。要求通过现场勘探、原位测试和室内岩土试验等手段，查明场区岩土层的分布结构及物理力学性质、地下水的埋藏条件、不良地质现象的类型及发育分布状况，据此分析判断场地的稳定性及影响因素，提供详细、准确的岩土工程设计参数，提出不良地质现象的防治方案，提供基础设计方案与基坑支护方案建议，指出基础施工注意事项。结合项目地块多溶洞的情况，严格按照工程设计要求及勘察规范、现行广州市相关管理要求开展作业与成果整理等相关技术工作。</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2）本项目设计工作含测量放线等工作，测量工作需要求相关资质的测量单位，并按《城市测量规范》、《广州市数字地图测量技术规程》、《GZCORS-RTK城市测量技术规程》、《广州市城市规划管理技术标准与准则——建管篇》、</w:t>
      </w:r>
      <w:r>
        <w:rPr>
          <w:rFonts w:ascii="宋体" w:hAnsi="宋体"/>
          <w:snapToGrid w:val="0"/>
          <w:color w:val="auto"/>
          <w:sz w:val="24"/>
          <w:highlight w:val="none"/>
        </w:rPr>
        <w:t>《广州市</w:t>
      </w:r>
      <w:r>
        <w:rPr>
          <w:rFonts w:hint="eastAsia" w:ascii="宋体" w:hAnsi="宋体"/>
          <w:snapToGrid w:val="0"/>
          <w:color w:val="auto"/>
          <w:sz w:val="24"/>
          <w:highlight w:val="none"/>
        </w:rPr>
        <w:t>城市道路、河涌等建设工程放线、规划验收测量实施细则</w:t>
      </w:r>
      <w:r>
        <w:rPr>
          <w:rFonts w:ascii="宋体" w:hAnsi="宋体"/>
          <w:snapToGrid w:val="0"/>
          <w:color w:val="auto"/>
          <w:sz w:val="24"/>
          <w:highlight w:val="none"/>
        </w:rPr>
        <w:t>》</w:t>
      </w:r>
      <w:r>
        <w:rPr>
          <w:rFonts w:hint="eastAsia" w:ascii="宋体" w:hAnsi="宋体"/>
          <w:snapToGrid w:val="0"/>
          <w:color w:val="auto"/>
          <w:sz w:val="24"/>
          <w:highlight w:val="none"/>
        </w:rPr>
        <w:t>等规范规程的相关要求进行测量放线工作。空间参考系采用广州市平面坐标系统与广州市高程系统。</w:t>
      </w:r>
    </w:p>
    <w:p>
      <w:pPr>
        <w:pStyle w:val="6"/>
        <w:spacing w:before="0" w:after="0" w:line="360" w:lineRule="auto"/>
        <w:ind w:firstLine="424" w:firstLineChars="176"/>
        <w:rPr>
          <w:rFonts w:ascii="宋体" w:hAnsi="宋体"/>
          <w:snapToGrid w:val="0"/>
          <w:color w:val="auto"/>
          <w:sz w:val="24"/>
          <w:szCs w:val="24"/>
          <w:highlight w:val="none"/>
        </w:rPr>
      </w:pPr>
      <w:bookmarkStart w:id="33" w:name="_Toc472802260"/>
      <w:r>
        <w:rPr>
          <w:rFonts w:hint="eastAsia" w:ascii="宋体" w:hAnsi="宋体"/>
          <w:snapToGrid w:val="0"/>
          <w:color w:val="auto"/>
          <w:sz w:val="24"/>
          <w:szCs w:val="24"/>
          <w:highlight w:val="none"/>
        </w:rPr>
        <w:t>1</w:t>
      </w:r>
      <w:r>
        <w:rPr>
          <w:rFonts w:hint="eastAsia" w:ascii="宋体" w:hAnsi="宋体"/>
          <w:snapToGrid w:val="0"/>
          <w:color w:val="auto"/>
          <w:sz w:val="24"/>
          <w:szCs w:val="24"/>
          <w:highlight w:val="none"/>
          <w:lang w:val="en-US" w:eastAsia="zh-CN"/>
        </w:rPr>
        <w:t>6</w:t>
      </w:r>
      <w:r>
        <w:rPr>
          <w:rFonts w:hint="eastAsia" w:ascii="宋体" w:hAnsi="宋体"/>
          <w:snapToGrid w:val="0"/>
          <w:color w:val="auto"/>
          <w:sz w:val="24"/>
          <w:szCs w:val="24"/>
          <w:highlight w:val="none"/>
        </w:rPr>
        <w:t>、勘察服务</w:t>
      </w:r>
      <w:bookmarkEnd w:id="33"/>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乙方应参加有关基础选型、施工方案等各种技术协调会并提供相关的技术支持配合，对地基基础方案做出论证及分析；天然地基方案应明确给出持力层和基础埋深的建议，并进行承载力、沉降分析和演算；桩基础方案应提出桩型、桩端持力层、桩端土承力和桩周摩阻力、入岩桩的桩端岩石饱和单轴抗压强度标准值，并对单桩承载力及沉桩可能性进行分析和提出建议。相关方案、分析及建议应符合《岩土工程勘察规范》（</w:t>
      </w:r>
      <w:r>
        <w:rPr>
          <w:rFonts w:hint="eastAsia"/>
          <w:color w:val="auto"/>
          <w:highlight w:val="none"/>
        </w:rPr>
        <w:t>GB50021－2001</w:t>
      </w:r>
      <w:r>
        <w:rPr>
          <w:rFonts w:hint="eastAsia" w:ascii="宋体" w:hAnsi="宋体"/>
          <w:snapToGrid w:val="0"/>
          <w:color w:val="auto"/>
          <w:kern w:val="0"/>
          <w:sz w:val="24"/>
          <w:highlight w:val="none"/>
        </w:rPr>
        <w:t>）的相关规定。当遇到软弱下卧层等不良地质条件时应相应增加钻孔数量。</w:t>
      </w:r>
    </w:p>
    <w:p>
      <w:pPr>
        <w:spacing w:line="360" w:lineRule="auto"/>
        <w:ind w:firstLine="424" w:firstLineChars="176"/>
        <w:rPr>
          <w:rFonts w:ascii="宋体" w:hAnsi="宋体"/>
          <w:snapToGrid w:val="0"/>
          <w:color w:val="auto"/>
          <w:sz w:val="24"/>
          <w:highlight w:val="none"/>
        </w:rPr>
      </w:pPr>
      <w:r>
        <w:rPr>
          <w:rFonts w:hint="eastAsia" w:ascii="宋体" w:hAnsi="宋体"/>
          <w:b/>
          <w:snapToGrid w:val="0"/>
          <w:color w:val="auto"/>
          <w:sz w:val="24"/>
          <w:highlight w:val="none"/>
        </w:rPr>
        <w:t>1</w:t>
      </w:r>
      <w:r>
        <w:rPr>
          <w:rFonts w:hint="eastAsia" w:ascii="宋体" w:hAnsi="宋体"/>
          <w:b/>
          <w:snapToGrid w:val="0"/>
          <w:color w:val="auto"/>
          <w:sz w:val="24"/>
          <w:highlight w:val="none"/>
          <w:lang w:val="en-US" w:eastAsia="zh-CN"/>
        </w:rPr>
        <w:t>6</w:t>
      </w:r>
      <w:r>
        <w:rPr>
          <w:rFonts w:hint="eastAsia" w:ascii="宋体" w:hAnsi="宋体"/>
          <w:b/>
          <w:snapToGrid w:val="0"/>
          <w:color w:val="auto"/>
          <w:sz w:val="24"/>
          <w:highlight w:val="none"/>
        </w:rPr>
        <w:t>.2</w:t>
      </w:r>
      <w:r>
        <w:rPr>
          <w:rFonts w:hint="eastAsia" w:ascii="宋体" w:hAnsi="宋体"/>
          <w:snapToGrid w:val="0"/>
          <w:color w:val="auto"/>
          <w:sz w:val="24"/>
          <w:highlight w:val="none"/>
        </w:rPr>
        <w:t>乙方应到基础验槽、桩基础持力层岩性鉴定等施工现场进行配合服务。</w:t>
      </w:r>
    </w:p>
    <w:p>
      <w:pPr>
        <w:spacing w:line="360" w:lineRule="auto"/>
        <w:ind w:firstLine="424" w:firstLineChars="176"/>
        <w:rPr>
          <w:rFonts w:ascii="宋体" w:hAnsi="宋体"/>
          <w:b/>
          <w:snapToGrid w:val="0"/>
          <w:color w:val="auto"/>
          <w:sz w:val="24"/>
          <w:highlight w:val="none"/>
        </w:rPr>
      </w:pPr>
      <w:r>
        <w:rPr>
          <w:rFonts w:hint="eastAsia" w:ascii="宋体" w:hAnsi="宋体"/>
          <w:b/>
          <w:snapToGrid w:val="0"/>
          <w:color w:val="auto"/>
          <w:sz w:val="24"/>
          <w:highlight w:val="none"/>
        </w:rPr>
        <w:t>1</w:t>
      </w:r>
      <w:r>
        <w:rPr>
          <w:rFonts w:hint="eastAsia" w:ascii="宋体" w:hAnsi="宋体"/>
          <w:b/>
          <w:snapToGrid w:val="0"/>
          <w:color w:val="auto"/>
          <w:sz w:val="24"/>
          <w:highlight w:val="none"/>
          <w:lang w:val="en-US" w:eastAsia="zh-CN"/>
        </w:rPr>
        <w:t>6</w:t>
      </w:r>
      <w:r>
        <w:rPr>
          <w:rFonts w:hint="eastAsia" w:ascii="宋体" w:hAnsi="宋体"/>
          <w:b/>
          <w:snapToGrid w:val="0"/>
          <w:color w:val="auto"/>
          <w:sz w:val="24"/>
          <w:highlight w:val="none"/>
        </w:rPr>
        <w:t>.3</w:t>
      </w:r>
      <w:r>
        <w:rPr>
          <w:rFonts w:hint="eastAsia" w:ascii="宋体" w:hAnsi="宋体"/>
          <w:snapToGrid w:val="0"/>
          <w:color w:val="auto"/>
          <w:sz w:val="24"/>
          <w:highlight w:val="none"/>
        </w:rPr>
        <w:t>乙方应参加施工图图纸会审、技术问题汇总与回复、各种技术协调会。</w:t>
      </w:r>
    </w:p>
    <w:p>
      <w:pPr>
        <w:pStyle w:val="6"/>
        <w:spacing w:before="0" w:after="0" w:line="360" w:lineRule="auto"/>
        <w:ind w:firstLine="424" w:firstLineChars="176"/>
        <w:rPr>
          <w:rFonts w:ascii="宋体" w:hAnsi="宋体"/>
          <w:snapToGrid w:val="0"/>
          <w:color w:val="auto"/>
          <w:sz w:val="24"/>
          <w:szCs w:val="24"/>
          <w:highlight w:val="none"/>
        </w:rPr>
      </w:pPr>
      <w:bookmarkStart w:id="34" w:name="_Toc472802261"/>
      <w:r>
        <w:rPr>
          <w:rFonts w:hint="eastAsia" w:ascii="宋体" w:hAnsi="宋体"/>
          <w:snapToGrid w:val="0"/>
          <w:color w:val="auto"/>
          <w:sz w:val="24"/>
          <w:szCs w:val="24"/>
          <w:highlight w:val="none"/>
        </w:rPr>
        <w:t>1</w:t>
      </w:r>
      <w:r>
        <w:rPr>
          <w:rFonts w:hint="eastAsia" w:ascii="宋体" w:hAnsi="宋体"/>
          <w:snapToGrid w:val="0"/>
          <w:color w:val="auto"/>
          <w:sz w:val="24"/>
          <w:szCs w:val="24"/>
          <w:highlight w:val="none"/>
          <w:lang w:val="en-US" w:eastAsia="zh-CN"/>
        </w:rPr>
        <w:t>7</w:t>
      </w:r>
      <w:r>
        <w:rPr>
          <w:rFonts w:hint="eastAsia" w:ascii="宋体" w:hAnsi="宋体"/>
          <w:snapToGrid w:val="0"/>
          <w:color w:val="auto"/>
          <w:sz w:val="24"/>
          <w:szCs w:val="24"/>
          <w:highlight w:val="none"/>
        </w:rPr>
        <w:t>、勘察人员</w:t>
      </w:r>
      <w:bookmarkEnd w:id="34"/>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为确保本工程的勘察设计质量，在本合同履行期内，在明确分工各负其责的基础上，乙方为本工程派出的勘察专业负责人、勘察驻场服务人员的职务、资历、资格须满足招标文件及本合同约定。</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勘察单位应根据勘察任务建立项目组，从组织上保证投入的人力、物力能满足勘察开展的需要，保证不同勘察时段勘察工作的连续性和外部条件接口衔接的连贯性。</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乙方如为境外机构，应自行配备专业翻译一名。</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乙方承诺投入负责具体勘察工作的人员，在履行本合同期间，非经过甲方</w:t>
      </w:r>
      <w:r>
        <w:rPr>
          <w:rFonts w:hint="eastAsia" w:ascii="宋体" w:hAnsi="宋体"/>
          <w:snapToGrid w:val="0"/>
          <w:color w:val="auto"/>
          <w:kern w:val="0"/>
          <w:sz w:val="24"/>
          <w:highlight w:val="none"/>
          <w:lang w:eastAsia="zh-CN"/>
        </w:rPr>
        <w:t>书面</w:t>
      </w:r>
      <w:r>
        <w:rPr>
          <w:rFonts w:hint="eastAsia" w:ascii="宋体" w:hAnsi="宋体"/>
          <w:snapToGrid w:val="0"/>
          <w:color w:val="auto"/>
          <w:kern w:val="0"/>
          <w:sz w:val="24"/>
          <w:highlight w:val="none"/>
        </w:rPr>
        <w:t>同意，不得更换或再参与本合同项目以外的其他工作。</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甲方认为乙方派出的勘察专业负责人、驻场勘察代表不称职时，有权向乙方发出书面更换人员通知，乙方应当在收到甲方的书面通知后5天内更换，更换人员的职务、资历、资格不得低于本合同相应条款的要求，且更换人员须先经过甲方</w:t>
      </w:r>
      <w:r>
        <w:rPr>
          <w:rFonts w:hint="eastAsia" w:ascii="宋体" w:hAnsi="宋体"/>
          <w:snapToGrid w:val="0"/>
          <w:color w:val="auto"/>
          <w:kern w:val="0"/>
          <w:sz w:val="24"/>
          <w:highlight w:val="none"/>
          <w:lang w:eastAsia="zh-CN"/>
        </w:rPr>
        <w:t>书面</w:t>
      </w:r>
      <w:r>
        <w:rPr>
          <w:rFonts w:hint="eastAsia" w:ascii="宋体" w:hAnsi="宋体"/>
          <w:snapToGrid w:val="0"/>
          <w:color w:val="auto"/>
          <w:kern w:val="0"/>
          <w:sz w:val="24"/>
          <w:highlight w:val="none"/>
        </w:rPr>
        <w:t>确认。若乙方对甲方要求更换人员有异议时，可申请复议一次，若经复议后甲方仍然要求更换，则乙方应无条件进行更换，否则视乙方该人员从甲方发出更换通知之日起擅自离岗。</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1</w:t>
      </w:r>
      <w:r>
        <w:rPr>
          <w:rFonts w:hint="eastAsia" w:ascii="宋体" w:hAnsi="宋体"/>
          <w:b/>
          <w:snapToGrid w:val="0"/>
          <w:color w:val="auto"/>
          <w:kern w:val="0"/>
          <w:sz w:val="24"/>
          <w:highlight w:val="none"/>
          <w:lang w:val="en-US" w:eastAsia="zh-CN"/>
        </w:rPr>
        <w:t>7</w:t>
      </w:r>
      <w:r>
        <w:rPr>
          <w:rFonts w:hint="eastAsia" w:ascii="宋体" w:hAnsi="宋体"/>
          <w:b/>
          <w:snapToGrid w:val="0"/>
          <w:color w:val="auto"/>
          <w:kern w:val="0"/>
          <w:sz w:val="24"/>
          <w:highlight w:val="none"/>
        </w:rPr>
        <w:t>.6</w:t>
      </w:r>
      <w:r>
        <w:rPr>
          <w:rFonts w:hint="eastAsia" w:ascii="宋体" w:hAnsi="宋体"/>
          <w:snapToGrid w:val="0"/>
          <w:color w:val="auto"/>
          <w:kern w:val="0"/>
          <w:sz w:val="24"/>
          <w:highlight w:val="none"/>
        </w:rPr>
        <w:t>当甲方认为乙方及其分包单位的勘察人员数量、专业水平、专业配套等达不到勘察及勘察服务所需时，甲方有权要求乙方更换及补充勘察人员，直至满足勘察及勘察服务工作要求为止；否则，甲方有权扣减勘察费直至解除合同等。</w:t>
      </w:r>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35" w:name="_Toc472802262"/>
      <w:r>
        <w:rPr>
          <w:rFonts w:hint="eastAsia" w:ascii="宋体" w:hAnsi="宋体"/>
          <w:snapToGrid w:val="0"/>
          <w:color w:val="auto"/>
          <w:kern w:val="0"/>
          <w:sz w:val="24"/>
          <w:szCs w:val="24"/>
          <w:highlight w:val="none"/>
          <w:lang w:val="en-US" w:eastAsia="zh-CN"/>
        </w:rPr>
        <w:t>18</w:t>
      </w:r>
      <w:r>
        <w:rPr>
          <w:rFonts w:hint="eastAsia" w:ascii="宋体" w:hAnsi="宋体"/>
          <w:snapToGrid w:val="0"/>
          <w:color w:val="auto"/>
          <w:kern w:val="0"/>
          <w:sz w:val="24"/>
          <w:szCs w:val="24"/>
          <w:highlight w:val="none"/>
        </w:rPr>
        <w:t>、勘察成果文件的提交</w:t>
      </w:r>
      <w:bookmarkEnd w:id="35"/>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18</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乙方负责向甲方提交勘察成果资料（含地质钻探、测量、管线物探）</w:t>
      </w:r>
      <w:r>
        <w:rPr>
          <w:rFonts w:ascii="宋体" w:hAnsi="宋体"/>
          <w:snapToGrid w:val="0"/>
          <w:color w:val="auto"/>
          <w:kern w:val="0"/>
          <w:sz w:val="24"/>
          <w:highlight w:val="none"/>
        </w:rPr>
        <w:t>20套</w:t>
      </w:r>
      <w:r>
        <w:rPr>
          <w:rFonts w:hint="eastAsia" w:ascii="宋体" w:hAnsi="宋体"/>
          <w:snapToGrid w:val="0"/>
          <w:color w:val="auto"/>
          <w:kern w:val="0"/>
          <w:sz w:val="24"/>
          <w:highlight w:val="none"/>
        </w:rPr>
        <w:t>，光盘电子文件1</w:t>
      </w:r>
      <w:r>
        <w:rPr>
          <w:rFonts w:ascii="宋体" w:hAnsi="宋体"/>
          <w:snapToGrid w:val="0"/>
          <w:color w:val="auto"/>
          <w:kern w:val="0"/>
          <w:sz w:val="24"/>
          <w:highlight w:val="none"/>
        </w:rPr>
        <w:t>套；</w:t>
      </w:r>
      <w:r>
        <w:rPr>
          <w:rFonts w:hint="eastAsia" w:ascii="宋体" w:hAnsi="宋体"/>
          <w:snapToGrid w:val="0"/>
          <w:color w:val="auto"/>
          <w:kern w:val="0"/>
          <w:sz w:val="24"/>
          <w:highlight w:val="none"/>
        </w:rPr>
        <w:t>如甲方要求乙方提供的勘察成果文件超过合同约定套数的，乙方可按每套300元的标准另行收取工本费。</w:t>
      </w:r>
    </w:p>
    <w:p>
      <w:pPr>
        <w:spacing w:line="360" w:lineRule="auto"/>
        <w:ind w:firstLine="424" w:firstLineChars="176"/>
        <w:rPr>
          <w:rFonts w:ascii="宋体" w:hAnsi="宋体"/>
          <w:snapToGrid w:val="0"/>
          <w:color w:val="auto"/>
          <w:sz w:val="24"/>
          <w:highlight w:val="none"/>
        </w:rPr>
      </w:pPr>
      <w:r>
        <w:rPr>
          <w:rFonts w:hint="eastAsia" w:ascii="宋体" w:hAnsi="宋体"/>
          <w:b/>
          <w:snapToGrid w:val="0"/>
          <w:color w:val="auto"/>
          <w:sz w:val="24"/>
          <w:highlight w:val="none"/>
          <w:lang w:val="en-US" w:eastAsia="zh-CN"/>
        </w:rPr>
        <w:t>18</w:t>
      </w:r>
      <w:r>
        <w:rPr>
          <w:rFonts w:hint="eastAsia" w:ascii="宋体" w:hAnsi="宋体"/>
          <w:b/>
          <w:snapToGrid w:val="0"/>
          <w:color w:val="auto"/>
          <w:sz w:val="24"/>
          <w:highlight w:val="none"/>
        </w:rPr>
        <w:t>.2</w:t>
      </w:r>
      <w:r>
        <w:rPr>
          <w:rFonts w:hint="eastAsia" w:ascii="宋体" w:hAnsi="宋体"/>
          <w:snapToGrid w:val="0"/>
          <w:color w:val="auto"/>
          <w:sz w:val="24"/>
          <w:highlight w:val="none"/>
        </w:rPr>
        <w:t>乙方提交勘察成果文件的时间</w:t>
      </w:r>
      <w:r>
        <w:rPr>
          <w:rFonts w:hint="eastAsia" w:ascii="宋体" w:hAnsi="宋体" w:cs="宋体"/>
          <w:color w:val="auto"/>
          <w:sz w:val="24"/>
          <w:highlight w:val="none"/>
        </w:rPr>
        <w:t>由甲方依据合同协议书第3.2款的约定确定</w:t>
      </w:r>
      <w:r>
        <w:rPr>
          <w:rFonts w:hint="eastAsia" w:ascii="宋体" w:hAnsi="宋体"/>
          <w:snapToGrid w:val="0"/>
          <w:color w:val="auto"/>
          <w:sz w:val="24"/>
          <w:highlight w:val="none"/>
        </w:rPr>
        <w:t>；相关勘察成果文件的质量须一次性通过甲方或甲方委托的第三方根据合同约定标准进行的审核。</w:t>
      </w:r>
    </w:p>
    <w:p>
      <w:pPr>
        <w:spacing w:line="360" w:lineRule="auto"/>
        <w:ind w:firstLine="424" w:firstLineChars="176"/>
        <w:rPr>
          <w:rFonts w:ascii="宋体" w:hAnsi="宋体"/>
          <w:bCs/>
          <w:snapToGrid w:val="0"/>
          <w:color w:val="auto"/>
          <w:sz w:val="24"/>
          <w:highlight w:val="none"/>
        </w:rPr>
      </w:pPr>
      <w:r>
        <w:rPr>
          <w:rFonts w:hint="eastAsia" w:ascii="宋体" w:hAnsi="宋体"/>
          <w:b/>
          <w:snapToGrid w:val="0"/>
          <w:color w:val="auto"/>
          <w:sz w:val="24"/>
          <w:highlight w:val="none"/>
          <w:lang w:val="en-US" w:eastAsia="zh-CN"/>
        </w:rPr>
        <w:t>18</w:t>
      </w:r>
      <w:r>
        <w:rPr>
          <w:rFonts w:hint="eastAsia" w:ascii="宋体" w:hAnsi="宋体"/>
          <w:b/>
          <w:snapToGrid w:val="0"/>
          <w:color w:val="auto"/>
          <w:sz w:val="24"/>
          <w:highlight w:val="none"/>
        </w:rPr>
        <w:t>.3</w:t>
      </w:r>
      <w:r>
        <w:rPr>
          <w:rFonts w:hint="eastAsia" w:ascii="宋体" w:hAnsi="宋体"/>
          <w:snapToGrid w:val="0"/>
          <w:color w:val="auto"/>
          <w:sz w:val="24"/>
          <w:highlight w:val="none"/>
        </w:rPr>
        <w:t>乙方必须按照甲方的要求及时提交</w:t>
      </w:r>
      <w:r>
        <w:rPr>
          <w:rFonts w:hint="eastAsia" w:ascii="宋体" w:hAnsi="宋体"/>
          <w:bCs/>
          <w:snapToGrid w:val="0"/>
          <w:color w:val="auto"/>
          <w:sz w:val="24"/>
          <w:highlight w:val="none"/>
        </w:rPr>
        <w:t>勘察中间资料，以满足甲方开展有关工作的需要，相关费用已包含在本合同约定的勘察费中。</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18</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乙方勘察成果文件的提交时间以符合合同约定质量的勘察成果文件的提交时间为准。</w:t>
      </w:r>
    </w:p>
    <w:p>
      <w:pPr>
        <w:pStyle w:val="6"/>
        <w:spacing w:before="0" w:after="0" w:line="360" w:lineRule="auto"/>
        <w:ind w:firstLine="424" w:firstLineChars="176"/>
        <w:rPr>
          <w:rFonts w:ascii="宋体" w:hAnsi="宋体"/>
          <w:b w:val="0"/>
          <w:snapToGrid w:val="0"/>
          <w:color w:val="auto"/>
          <w:kern w:val="0"/>
          <w:sz w:val="24"/>
          <w:szCs w:val="24"/>
          <w:highlight w:val="none"/>
        </w:rPr>
      </w:pPr>
      <w:bookmarkStart w:id="36" w:name="_Toc472802263"/>
      <w:r>
        <w:rPr>
          <w:rFonts w:hint="eastAsia" w:ascii="宋体" w:hAnsi="宋体"/>
          <w:snapToGrid w:val="0"/>
          <w:color w:val="auto"/>
          <w:kern w:val="0"/>
          <w:sz w:val="24"/>
          <w:szCs w:val="24"/>
          <w:highlight w:val="none"/>
          <w:lang w:val="en-US" w:eastAsia="zh-CN"/>
        </w:rPr>
        <w:t>19</w:t>
      </w:r>
      <w:r>
        <w:rPr>
          <w:rFonts w:hint="eastAsia" w:ascii="宋体" w:hAnsi="宋体"/>
          <w:snapToGrid w:val="0"/>
          <w:color w:val="auto"/>
          <w:kern w:val="0"/>
          <w:sz w:val="24"/>
          <w:szCs w:val="24"/>
          <w:highlight w:val="none"/>
        </w:rPr>
        <w:t>、勘察的质量要求</w:t>
      </w:r>
      <w:bookmarkEnd w:id="36"/>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19</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乙方在开展勘察工作前，应向甲方提交勘察工作纲要，并按经过甲方审核批准的工作纲要开展勘察工作。勘察过程中，根据工程的岩土工程条件（或工作现场地形地貌、地质和水文地质条件）及技术规范要求，向甲方提出增减工作量或修改勘察工作的意见，并办理正式变更手续。</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lang w:val="en-US" w:eastAsia="zh-CN"/>
        </w:rPr>
        <w:t>19</w:t>
      </w:r>
      <w:r>
        <w:rPr>
          <w:rFonts w:hint="eastAsia" w:ascii="宋体" w:hAnsi="宋体"/>
          <w:b/>
          <w:bCs/>
          <w:snapToGrid w:val="0"/>
          <w:color w:val="auto"/>
          <w:kern w:val="0"/>
          <w:sz w:val="24"/>
          <w:highlight w:val="none"/>
        </w:rPr>
        <w:t>.2</w:t>
      </w:r>
      <w:r>
        <w:rPr>
          <w:rFonts w:hint="eastAsia" w:ascii="宋体" w:hAnsi="宋体"/>
          <w:bCs/>
          <w:snapToGrid w:val="0"/>
          <w:color w:val="auto"/>
          <w:kern w:val="0"/>
          <w:sz w:val="24"/>
          <w:highlight w:val="none"/>
        </w:rPr>
        <w:t>乙方应按国家技术规范、标准、规程和本合同约定的勘察范围及技术要求实施勘察工作，按本合同约定的时间提交质量合格的勘察成果文件并对其负责。</w:t>
      </w:r>
    </w:p>
    <w:p>
      <w:pPr>
        <w:spacing w:line="360" w:lineRule="auto"/>
        <w:ind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19</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乙方应在勘察成果文件中明确列出本工程勘察涉及到的详细的勘察规范、规定及标准（名称、编号与版本）。</w:t>
      </w:r>
    </w:p>
    <w:p>
      <w:pPr>
        <w:spacing w:line="360" w:lineRule="auto"/>
        <w:ind w:firstLine="424" w:firstLineChars="176"/>
        <w:rPr>
          <w:rFonts w:ascii="宋体" w:hAnsi="宋体"/>
          <w:bCs/>
          <w:snapToGrid w:val="0"/>
          <w:color w:val="auto"/>
          <w:kern w:val="0"/>
          <w:sz w:val="24"/>
          <w:highlight w:val="none"/>
        </w:rPr>
      </w:pPr>
      <w:r>
        <w:rPr>
          <w:rFonts w:hint="eastAsia" w:ascii="宋体" w:hAnsi="宋体"/>
          <w:b/>
          <w:snapToGrid w:val="0"/>
          <w:color w:val="auto"/>
          <w:kern w:val="0"/>
          <w:sz w:val="24"/>
          <w:highlight w:val="none"/>
          <w:lang w:val="en-US" w:eastAsia="zh-CN"/>
        </w:rPr>
        <w:t>19</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乙方实际完成的勘察工作量及勘察成果文件</w:t>
      </w:r>
      <w:r>
        <w:rPr>
          <w:rFonts w:hint="eastAsia" w:ascii="宋体" w:hAnsi="宋体"/>
          <w:snapToGrid w:val="0"/>
          <w:color w:val="auto"/>
          <w:kern w:val="0"/>
          <w:sz w:val="24"/>
          <w:highlight w:val="none"/>
          <w:lang w:val="en-US" w:eastAsia="zh-CN"/>
        </w:rPr>
        <w:t>须</w:t>
      </w:r>
      <w:r>
        <w:rPr>
          <w:rFonts w:hint="eastAsia" w:ascii="宋体" w:hAnsi="宋体"/>
          <w:snapToGrid w:val="0"/>
          <w:color w:val="auto"/>
          <w:kern w:val="0"/>
          <w:sz w:val="24"/>
          <w:highlight w:val="none"/>
        </w:rPr>
        <w:t>经甲方或甲方委托的第三方确认后才能作为结算依据，对于超过设计要求的勘察深度的工作量不计算；</w:t>
      </w:r>
      <w:r>
        <w:rPr>
          <w:rFonts w:hint="eastAsia" w:ascii="宋体" w:hAnsi="宋体"/>
          <w:bCs/>
          <w:snapToGrid w:val="0"/>
          <w:color w:val="auto"/>
          <w:kern w:val="0"/>
          <w:sz w:val="24"/>
          <w:highlight w:val="none"/>
        </w:rPr>
        <w:t>乙方应确保其提交的勘察成果文件是完整、准确及有效的，且能通过施工图审查单位（或设计咨询单位）根据相关规范、规定进行的审核。</w:t>
      </w:r>
    </w:p>
    <w:p>
      <w:pPr>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lang w:val="en-US" w:eastAsia="zh-CN"/>
        </w:rPr>
        <w:t>19</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乙方提交的勘察成果必须经过实地勘察获得，不得采用推断或借鉴，禁止虚假；</w:t>
      </w:r>
      <w:r>
        <w:rPr>
          <w:rFonts w:hint="eastAsia" w:ascii="宋体" w:hAnsi="宋体"/>
          <w:bCs/>
          <w:snapToGrid w:val="0"/>
          <w:color w:val="auto"/>
          <w:kern w:val="0"/>
          <w:sz w:val="24"/>
          <w:highlight w:val="none"/>
        </w:rPr>
        <w:t>乙方提交的勘察成果经甲方或甲方委托的第三方确认未达到本合同约定的质量要求时，乙方应负责无偿给予补充完善使其达到合同要求；若乙方无力补充完善，需另委托其他单位时，乙方应承担由此产生的全部费用（含勘察费用）。</w:t>
      </w:r>
    </w:p>
    <w:p>
      <w:pPr>
        <w:spacing w:line="360" w:lineRule="auto"/>
        <w:ind w:firstLine="424" w:firstLineChars="176"/>
        <w:rPr>
          <w:rFonts w:hint="eastAsia" w:ascii="宋体" w:hAnsi="宋体"/>
          <w:bCs/>
          <w:snapToGrid w:val="0"/>
          <w:color w:val="auto"/>
          <w:kern w:val="0"/>
          <w:sz w:val="24"/>
          <w:highlight w:val="none"/>
        </w:rPr>
      </w:pPr>
      <w:r>
        <w:rPr>
          <w:rFonts w:hint="eastAsia" w:ascii="宋体" w:hAnsi="宋体"/>
          <w:b/>
          <w:snapToGrid w:val="0"/>
          <w:color w:val="auto"/>
          <w:kern w:val="0"/>
          <w:sz w:val="24"/>
          <w:highlight w:val="none"/>
          <w:lang w:val="en-US" w:eastAsia="zh-CN"/>
        </w:rPr>
        <w:t>19</w:t>
      </w:r>
      <w:r>
        <w:rPr>
          <w:rFonts w:hint="eastAsia" w:ascii="宋体" w:hAnsi="宋体"/>
          <w:b/>
          <w:snapToGrid w:val="0"/>
          <w:color w:val="auto"/>
          <w:kern w:val="0"/>
          <w:sz w:val="24"/>
          <w:highlight w:val="none"/>
        </w:rPr>
        <w:t>.6</w:t>
      </w:r>
      <w:r>
        <w:rPr>
          <w:rFonts w:hint="eastAsia" w:ascii="宋体" w:hAnsi="宋体"/>
          <w:bCs/>
          <w:snapToGrid w:val="0"/>
          <w:color w:val="auto"/>
          <w:kern w:val="0"/>
          <w:sz w:val="24"/>
          <w:highlight w:val="none"/>
        </w:rPr>
        <w:t>乙方必须遵行甲方的相关勘察设计、图文、图档工程的管理办法和规定。乙方自行承担运输、邮寄或电传勘察文件资料（包括中间成果资料）的费用，提交资料、文件等应交至甲方日常办公所在地或甲方临时指定的地点。勘察文件的收发、传送管理按甲方有关规定办理。</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lang w:val="en-US" w:eastAsia="zh-CN"/>
        </w:rPr>
        <w:t>19</w:t>
      </w:r>
      <w:r>
        <w:rPr>
          <w:rFonts w:hint="eastAsia" w:ascii="宋体" w:hAnsi="宋体"/>
          <w:b/>
          <w:bCs/>
          <w:snapToGrid w:val="0"/>
          <w:color w:val="auto"/>
          <w:kern w:val="0"/>
          <w:sz w:val="24"/>
          <w:highlight w:val="none"/>
        </w:rPr>
        <w:t>.7</w:t>
      </w:r>
      <w:r>
        <w:rPr>
          <w:rFonts w:hint="eastAsia" w:ascii="宋体" w:hAnsi="宋体"/>
          <w:b/>
          <w:snapToGrid w:val="0"/>
          <w:color w:val="auto"/>
          <w:kern w:val="0"/>
          <w:sz w:val="24"/>
          <w:highlight w:val="none"/>
        </w:rPr>
        <w:t xml:space="preserve"> </w:t>
      </w:r>
      <w:r>
        <w:rPr>
          <w:rFonts w:hint="eastAsia" w:ascii="宋体" w:hAnsi="宋体"/>
          <w:snapToGrid w:val="0"/>
          <w:color w:val="auto"/>
          <w:kern w:val="0"/>
          <w:sz w:val="24"/>
          <w:highlight w:val="none"/>
        </w:rPr>
        <w:t>乙方应接受甲方委托的监理单位对本项目实施的勘察监理工作。</w:t>
      </w:r>
    </w:p>
    <w:p>
      <w:pPr>
        <w:pStyle w:val="6"/>
        <w:spacing w:before="0" w:after="0" w:line="360" w:lineRule="auto"/>
        <w:ind w:firstLine="424" w:firstLineChars="176"/>
        <w:rPr>
          <w:rFonts w:ascii="宋体" w:hAnsi="宋体"/>
          <w:bCs w:val="0"/>
          <w:snapToGrid w:val="0"/>
          <w:color w:val="auto"/>
          <w:kern w:val="0"/>
          <w:sz w:val="24"/>
          <w:szCs w:val="24"/>
          <w:highlight w:val="none"/>
        </w:rPr>
      </w:pPr>
      <w:bookmarkStart w:id="37" w:name="_Toc472802264"/>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0</w:t>
      </w:r>
      <w:r>
        <w:rPr>
          <w:rFonts w:ascii="宋体" w:hAnsi="宋体"/>
          <w:snapToGrid w:val="0"/>
          <w:color w:val="auto"/>
          <w:kern w:val="0"/>
          <w:sz w:val="24"/>
          <w:szCs w:val="24"/>
          <w:highlight w:val="none"/>
        </w:rPr>
        <w:t>、</w:t>
      </w:r>
      <w:r>
        <w:rPr>
          <w:rFonts w:hint="eastAsia" w:ascii="宋体" w:hAnsi="宋体"/>
          <w:snapToGrid w:val="0"/>
          <w:color w:val="auto"/>
          <w:kern w:val="0"/>
          <w:sz w:val="24"/>
          <w:szCs w:val="24"/>
          <w:highlight w:val="none"/>
        </w:rPr>
        <w:t>勘察费</w:t>
      </w:r>
      <w:r>
        <w:rPr>
          <w:rFonts w:ascii="宋体" w:hAnsi="宋体"/>
          <w:snapToGrid w:val="0"/>
          <w:color w:val="auto"/>
          <w:kern w:val="0"/>
          <w:sz w:val="24"/>
          <w:szCs w:val="24"/>
          <w:highlight w:val="none"/>
        </w:rPr>
        <w:t>的计取</w:t>
      </w:r>
      <w:r>
        <w:rPr>
          <w:rFonts w:hint="eastAsia" w:ascii="宋体" w:hAnsi="宋体"/>
          <w:snapToGrid w:val="0"/>
          <w:color w:val="auto"/>
          <w:kern w:val="0"/>
          <w:sz w:val="24"/>
          <w:szCs w:val="24"/>
          <w:highlight w:val="none"/>
        </w:rPr>
        <w:t>及支付</w:t>
      </w:r>
      <w:bookmarkEnd w:id="37"/>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2</w:t>
      </w:r>
      <w:r>
        <w:rPr>
          <w:rFonts w:hint="eastAsia" w:ascii="宋体" w:hAnsi="宋体"/>
          <w:b/>
          <w:bCs/>
          <w:snapToGrid w:val="0"/>
          <w:color w:val="auto"/>
          <w:kern w:val="0"/>
          <w:sz w:val="24"/>
          <w:highlight w:val="none"/>
          <w:lang w:val="en-US" w:eastAsia="zh-CN"/>
        </w:rPr>
        <w:t>0</w:t>
      </w:r>
      <w:r>
        <w:rPr>
          <w:rFonts w:hint="eastAsia" w:ascii="宋体" w:hAnsi="宋体"/>
          <w:b/>
          <w:bCs/>
          <w:snapToGrid w:val="0"/>
          <w:color w:val="auto"/>
          <w:kern w:val="0"/>
          <w:sz w:val="24"/>
          <w:highlight w:val="none"/>
        </w:rPr>
        <w:t>.1</w:t>
      </w:r>
      <w:r>
        <w:rPr>
          <w:rFonts w:ascii="宋体" w:hAnsi="宋体"/>
          <w:bCs/>
          <w:snapToGrid w:val="0"/>
          <w:color w:val="auto"/>
          <w:kern w:val="0"/>
          <w:sz w:val="24"/>
          <w:highlight w:val="none"/>
        </w:rPr>
        <w:t>基本原则</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2</w:t>
      </w:r>
      <w:r>
        <w:rPr>
          <w:rFonts w:hint="eastAsia" w:ascii="宋体" w:hAnsi="宋体"/>
          <w:b/>
          <w:bCs/>
          <w:snapToGrid w:val="0"/>
          <w:color w:val="auto"/>
          <w:kern w:val="0"/>
          <w:sz w:val="24"/>
          <w:highlight w:val="none"/>
          <w:lang w:val="en-US" w:eastAsia="zh-CN"/>
        </w:rPr>
        <w:t>0</w:t>
      </w:r>
      <w:r>
        <w:rPr>
          <w:rFonts w:hint="eastAsia" w:ascii="宋体" w:hAnsi="宋体"/>
          <w:b/>
          <w:bCs/>
          <w:snapToGrid w:val="0"/>
          <w:color w:val="auto"/>
          <w:kern w:val="0"/>
          <w:sz w:val="24"/>
          <w:highlight w:val="none"/>
        </w:rPr>
        <w:t>.1.1</w:t>
      </w:r>
      <w:r>
        <w:rPr>
          <w:rFonts w:hint="eastAsia" w:ascii="宋体" w:hAnsi="宋体"/>
          <w:bCs/>
          <w:snapToGrid w:val="0"/>
          <w:color w:val="auto"/>
          <w:kern w:val="0"/>
          <w:sz w:val="24"/>
          <w:highlight w:val="none"/>
        </w:rPr>
        <w:t>除非双方另有约定，本合同勘察费计取时已综合考虑各种费率变化、物价变动以及国家发改委、建设部《关于发布&lt;工程勘察设计收费管理规定&gt;的通知》（计价格〔2002〕10号</w:t>
      </w:r>
      <w:r>
        <w:rPr>
          <w:rFonts w:ascii="宋体" w:hAnsi="宋体"/>
          <w:bCs/>
          <w:snapToGrid w:val="0"/>
          <w:color w:val="auto"/>
          <w:kern w:val="0"/>
          <w:sz w:val="24"/>
          <w:highlight w:val="none"/>
        </w:rPr>
        <w:t>）</w:t>
      </w:r>
      <w:r>
        <w:rPr>
          <w:rFonts w:hint="eastAsia" w:ascii="宋体" w:hAnsi="宋体"/>
          <w:bCs/>
          <w:snapToGrid w:val="0"/>
          <w:color w:val="auto"/>
          <w:kern w:val="0"/>
          <w:sz w:val="24"/>
          <w:highlight w:val="none"/>
        </w:rPr>
        <w:t>文中规定的费用。</w:t>
      </w:r>
    </w:p>
    <w:p>
      <w:pPr>
        <w:spacing w:line="360" w:lineRule="auto"/>
        <w:ind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rPr>
        <w:t>2</w:t>
      </w:r>
      <w:r>
        <w:rPr>
          <w:rFonts w:hint="eastAsia" w:ascii="宋体" w:hAnsi="宋体"/>
          <w:b/>
          <w:bCs/>
          <w:snapToGrid w:val="0"/>
          <w:color w:val="auto"/>
          <w:kern w:val="0"/>
          <w:sz w:val="24"/>
          <w:highlight w:val="none"/>
          <w:lang w:val="en-US" w:eastAsia="zh-CN"/>
        </w:rPr>
        <w:t>0</w:t>
      </w:r>
      <w:r>
        <w:rPr>
          <w:rFonts w:hint="eastAsia" w:ascii="宋体" w:hAnsi="宋体"/>
          <w:b/>
          <w:bCs/>
          <w:snapToGrid w:val="0"/>
          <w:color w:val="auto"/>
          <w:kern w:val="0"/>
          <w:sz w:val="24"/>
          <w:highlight w:val="none"/>
        </w:rPr>
        <w:t>.1.2</w:t>
      </w:r>
      <w:r>
        <w:rPr>
          <w:rFonts w:ascii="宋体" w:hAnsi="宋体"/>
          <w:bCs/>
          <w:snapToGrid w:val="0"/>
          <w:color w:val="auto"/>
          <w:kern w:val="0"/>
          <w:sz w:val="24"/>
          <w:highlight w:val="none"/>
        </w:rPr>
        <w:t>本</w:t>
      </w:r>
      <w:r>
        <w:rPr>
          <w:rFonts w:hint="eastAsia" w:ascii="宋体" w:hAnsi="宋体"/>
          <w:bCs/>
          <w:snapToGrid w:val="0"/>
          <w:color w:val="auto"/>
          <w:kern w:val="0"/>
          <w:sz w:val="24"/>
          <w:highlight w:val="none"/>
        </w:rPr>
        <w:t>合同勘察</w:t>
      </w:r>
      <w:r>
        <w:rPr>
          <w:rFonts w:ascii="宋体" w:hAnsi="宋体"/>
          <w:bCs/>
          <w:snapToGrid w:val="0"/>
          <w:color w:val="auto"/>
          <w:kern w:val="0"/>
          <w:sz w:val="24"/>
          <w:highlight w:val="none"/>
        </w:rPr>
        <w:t>费</w:t>
      </w:r>
      <w:r>
        <w:rPr>
          <w:rFonts w:hint="eastAsia" w:ascii="宋体" w:hAnsi="宋体"/>
          <w:bCs/>
          <w:snapToGrid w:val="0"/>
          <w:color w:val="auto"/>
          <w:kern w:val="0"/>
          <w:sz w:val="24"/>
          <w:highlight w:val="none"/>
        </w:rPr>
        <w:t>为完成本合同约定的所有勘察工作内容及要求的全部费用，包括收集已有资料、现场踏勘、制定勘察纲要，进行测绘、勘探、取样、试验、测试、检测、监测等勘察作业，编制工程勘察文件和岩土工程设计文件、就岩土工程向施工单位作出技术说明、解决设计或施工中的工程勘察技术问题，参加工程测量交桩、水文地质交底、岩土工程验槽、购买有关资料、勘察文件的修改、实施勘察过程中发生的相关工作（包括障碍物拆除、开挖、地下管线的修复等）、勘察过程中发生的用材以及加工、勘察作业机具的进退场及现场搬运等服务，以及综合考虑不同自然条件下、不同作业内容、不同复杂程度及高温勘察等一切因素下的勘探作业的费用。本合同条款第2</w:t>
      </w:r>
      <w:r>
        <w:rPr>
          <w:rFonts w:hint="eastAsia" w:ascii="宋体" w:hAnsi="宋体"/>
          <w:bCs/>
          <w:snapToGrid w:val="0"/>
          <w:color w:val="auto"/>
          <w:kern w:val="0"/>
          <w:sz w:val="24"/>
          <w:highlight w:val="none"/>
          <w:lang w:val="en-US" w:eastAsia="zh-CN"/>
        </w:rPr>
        <w:t>0</w:t>
      </w:r>
      <w:r>
        <w:rPr>
          <w:rFonts w:hint="eastAsia" w:ascii="宋体" w:hAnsi="宋体"/>
          <w:bCs/>
          <w:snapToGrid w:val="0"/>
          <w:color w:val="auto"/>
          <w:kern w:val="0"/>
          <w:sz w:val="24"/>
          <w:highlight w:val="none"/>
        </w:rPr>
        <w:t>.2款约定综合单价也已包含实施上述所有勘察工作内容的费用。</w:t>
      </w:r>
    </w:p>
    <w:p>
      <w:pPr>
        <w:spacing w:line="360" w:lineRule="auto"/>
        <w:ind w:firstLine="424" w:firstLineChars="176"/>
        <w:rPr>
          <w:rFonts w:ascii="宋体" w:hAnsi="宋体"/>
          <w:bCs/>
          <w:snapToGrid w:val="0"/>
          <w:color w:val="auto"/>
          <w:kern w:val="0"/>
          <w:sz w:val="24"/>
          <w:highlight w:val="none"/>
        </w:rPr>
      </w:pPr>
      <w:r>
        <w:rPr>
          <w:rFonts w:ascii="宋体" w:hAnsi="宋体"/>
          <w:b/>
          <w:bCs/>
          <w:snapToGrid w:val="0"/>
          <w:color w:val="auto"/>
          <w:kern w:val="0"/>
          <w:sz w:val="24"/>
          <w:highlight w:val="none"/>
        </w:rPr>
        <w:t>2</w:t>
      </w:r>
      <w:r>
        <w:rPr>
          <w:rFonts w:hint="eastAsia" w:ascii="宋体" w:hAnsi="宋体"/>
          <w:b/>
          <w:bCs/>
          <w:snapToGrid w:val="0"/>
          <w:color w:val="auto"/>
          <w:kern w:val="0"/>
          <w:sz w:val="24"/>
          <w:highlight w:val="none"/>
          <w:lang w:val="en-US" w:eastAsia="zh-CN"/>
        </w:rPr>
        <w:t>0</w:t>
      </w:r>
      <w:r>
        <w:rPr>
          <w:rFonts w:ascii="宋体" w:hAnsi="宋体"/>
          <w:b/>
          <w:bCs/>
          <w:snapToGrid w:val="0"/>
          <w:color w:val="auto"/>
          <w:kern w:val="0"/>
          <w:sz w:val="24"/>
          <w:highlight w:val="none"/>
        </w:rPr>
        <w:t xml:space="preserve">.2 </w:t>
      </w:r>
      <w:r>
        <w:rPr>
          <w:rFonts w:hint="eastAsia" w:ascii="宋体" w:hAnsi="宋体"/>
          <w:bCs/>
          <w:snapToGrid w:val="0"/>
          <w:color w:val="auto"/>
          <w:kern w:val="0"/>
          <w:sz w:val="24"/>
          <w:highlight w:val="none"/>
        </w:rPr>
        <w:t>勘察费的计取及结算方式按下列约定执行：</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□（1）由乙方按中标价或双方议定的价格实行勘察费总价包干，不论任何情况的变化均不调整。</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□（2）工程勘察费按如下方法计取：</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    a、工程勘察费按实物工作量乘以合同约定的综合单价计算。实物工作量指按照工程勘察规范、规程、合同的规定及勘察作业实际情况完成且经甲方及甲方委托的第三方共同确认的工作量，合同综合单价为全费用综合单价。</w:t>
      </w:r>
    </w:p>
    <w:p>
      <w:pPr>
        <w:spacing w:line="360" w:lineRule="auto"/>
        <w:ind w:firstLine="422" w:firstLineChars="176"/>
        <w:rPr>
          <w:rFonts w:ascii="宋体" w:hAnsi="宋体"/>
          <w:bCs/>
          <w:snapToGrid w:val="0"/>
          <w:color w:val="auto"/>
          <w:kern w:val="0"/>
          <w:sz w:val="24"/>
          <w:highlight w:val="none"/>
        </w:rPr>
      </w:pPr>
      <w:bookmarkStart w:id="38" w:name="OLE_LINK2"/>
      <w:r>
        <w:rPr>
          <w:rFonts w:hint="eastAsia" w:ascii="宋体" w:hAnsi="宋体"/>
          <w:bCs/>
          <w:snapToGrid w:val="0"/>
          <w:color w:val="auto"/>
          <w:kern w:val="0"/>
          <w:sz w:val="24"/>
          <w:highlight w:val="none"/>
        </w:rPr>
        <w:t>□</w:t>
      </w:r>
      <w:bookmarkEnd w:id="38"/>
      <w:r>
        <w:rPr>
          <w:rFonts w:hint="eastAsia" w:ascii="宋体" w:hAnsi="宋体"/>
          <w:bCs/>
          <w:snapToGrid w:val="0"/>
          <w:color w:val="auto"/>
          <w:kern w:val="0"/>
          <w:sz w:val="24"/>
          <w:highlight w:val="none"/>
        </w:rPr>
        <w:t xml:space="preserve">    b、工程勘察费参照国家发展改革委、建设部“关于发布《工程勘察设计收费管理规定》的通知”（计价格〔2002〕10号</w:t>
      </w:r>
      <w:r>
        <w:rPr>
          <w:rFonts w:ascii="宋体" w:hAnsi="宋体"/>
          <w:bCs/>
          <w:snapToGrid w:val="0"/>
          <w:color w:val="auto"/>
          <w:kern w:val="0"/>
          <w:sz w:val="24"/>
          <w:highlight w:val="none"/>
        </w:rPr>
        <w:t>）</w:t>
      </w:r>
      <w:r>
        <w:rPr>
          <w:rFonts w:hint="eastAsia" w:ascii="宋体" w:hAnsi="宋体"/>
          <w:bCs/>
          <w:snapToGrid w:val="0"/>
          <w:color w:val="auto"/>
          <w:kern w:val="0"/>
          <w:sz w:val="24"/>
          <w:highlight w:val="none"/>
        </w:rPr>
        <w:t xml:space="preserve">的有关规定计算，具体按以下约定： </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①工程勘察费</w:t>
      </w:r>
      <w:bookmarkStart w:id="39" w:name="OLE_LINK1"/>
      <w:r>
        <w:rPr>
          <w:rFonts w:hint="eastAsia" w:ascii="宋体" w:hAnsi="宋体"/>
          <w:bCs/>
          <w:snapToGrid w:val="0"/>
          <w:color w:val="auto"/>
          <w:kern w:val="0"/>
          <w:sz w:val="24"/>
          <w:highlight w:val="none"/>
        </w:rPr>
        <w:t>=工程勘察收费基准价×（1+浮动幅度值）；</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②工程勘察收费基准价=工程勘察实物工作收费+工程勘察技术工作收费；</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③工程勘察实物工作收费=工程勘察实物工作收费基价×实物工作量×附加调整系数；</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④工程勘察技术工作收费=工程勘察实物工作收费×技术工作收费比例。</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其中：</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工程勘察实物工作收费基价为：</w:t>
      </w:r>
      <w:r>
        <w:rPr>
          <w:rFonts w:hint="eastAsia" w:ascii="宋体" w:hAnsi="宋体"/>
          <w:bCs/>
          <w:snapToGrid w:val="0"/>
          <w:color w:val="auto"/>
          <w:kern w:val="0"/>
          <w:sz w:val="24"/>
          <w:highlight w:val="none"/>
          <w:u w:val="single"/>
        </w:rPr>
        <w:t xml:space="preserve">        （单位：         </w:t>
      </w:r>
      <w:r>
        <w:rPr>
          <w:rFonts w:hint="eastAsia" w:ascii="宋体" w:hAnsi="宋体"/>
          <w:bCs/>
          <w:snapToGrid w:val="0"/>
          <w:color w:val="auto"/>
          <w:kern w:val="0"/>
          <w:sz w:val="24"/>
          <w:highlight w:val="none"/>
        </w:rPr>
        <w:t>元）；</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实物工作量</w:t>
      </w:r>
      <w:r>
        <w:rPr>
          <w:rFonts w:hint="eastAsia" w:ascii="宋体" w:hAnsi="宋体"/>
          <w:snapToGrid w:val="0"/>
          <w:color w:val="auto"/>
          <w:sz w:val="24"/>
          <w:highlight w:val="none"/>
        </w:rPr>
        <w:t>是指</w:t>
      </w:r>
      <w:r>
        <w:rPr>
          <w:rFonts w:hint="eastAsia" w:ascii="宋体" w:hAnsi="宋体"/>
          <w:bCs/>
          <w:snapToGrid w:val="0"/>
          <w:color w:val="auto"/>
          <w:kern w:val="0"/>
          <w:sz w:val="24"/>
          <w:highlight w:val="none"/>
        </w:rPr>
        <w:t>按照工程勘察规范、规程、合同的规定及勘察作业实</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际情况完成且经甲方及甲方委托的第三方共同确认的工作量；</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附加调整系数综合考虑取定为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技术工作收费比例综合考虑取定为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 xml:space="preserve"> %；</w:t>
      </w:r>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浮动幅度值为</w:t>
      </w:r>
      <w:r>
        <w:rPr>
          <w:rFonts w:hint="eastAsia" w:ascii="宋体" w:hAnsi="宋体"/>
          <w:bCs/>
          <w:snapToGrid w:val="0"/>
          <w:color w:val="auto"/>
          <w:kern w:val="0"/>
          <w:sz w:val="24"/>
          <w:highlight w:val="none"/>
          <w:u w:val="single"/>
        </w:rPr>
        <w:t xml:space="preserve">     </w:t>
      </w:r>
      <w:r>
        <w:rPr>
          <w:rFonts w:hint="eastAsia" w:ascii="宋体" w:hAnsi="宋体"/>
          <w:bCs/>
          <w:snapToGrid w:val="0"/>
          <w:color w:val="auto"/>
          <w:kern w:val="0"/>
          <w:sz w:val="24"/>
          <w:highlight w:val="none"/>
        </w:rPr>
        <w:t>。</w:t>
      </w:r>
    </w:p>
    <w:p>
      <w:pPr>
        <w:spacing w:line="360" w:lineRule="auto"/>
        <w:ind w:firstLine="422" w:firstLineChars="176"/>
        <w:rPr>
          <w:rFonts w:ascii="宋体" w:hAnsi="宋体"/>
          <w:color w:val="auto"/>
          <w:sz w:val="24"/>
          <w:highlight w:val="none"/>
        </w:rPr>
      </w:pPr>
      <w:r>
        <w:rPr>
          <w:rFonts w:hint="eastAsia" w:ascii="MS Mincho" w:hAnsi="MS Mincho" w:eastAsia="MS Mincho" w:cs="MS Mincho"/>
          <w:bCs/>
          <w:snapToGrid w:val="0"/>
          <w:color w:val="auto"/>
          <w:kern w:val="0"/>
          <w:sz w:val="24"/>
          <w:highlight w:val="none"/>
        </w:rPr>
        <w:t>☑</w:t>
      </w:r>
      <w:r>
        <w:rPr>
          <w:rFonts w:ascii="宋体" w:hAnsi="宋体" w:cs="Wingdings 2"/>
          <w:bCs/>
          <w:snapToGrid w:val="0"/>
          <w:color w:val="auto"/>
          <w:kern w:val="0"/>
          <w:sz w:val="24"/>
          <w:highlight w:val="none"/>
        </w:rPr>
        <w:t></w:t>
      </w:r>
      <w:r>
        <w:rPr>
          <w:rFonts w:hint="eastAsia" w:ascii="宋体" w:hAnsi="宋体" w:cs="宋体"/>
          <w:bCs/>
          <w:snapToGrid w:val="0"/>
          <w:color w:val="auto"/>
          <w:kern w:val="0"/>
          <w:sz w:val="24"/>
          <w:highlight w:val="none"/>
          <w:lang w:val="en-US" w:eastAsia="zh-CN"/>
        </w:rPr>
        <w:t>c</w:t>
      </w:r>
      <w:r>
        <w:rPr>
          <w:rFonts w:hint="eastAsia" w:ascii="宋体" w:hAnsi="宋体" w:cs="宋体"/>
          <w:bCs/>
          <w:snapToGrid w:val="0"/>
          <w:color w:val="auto"/>
          <w:kern w:val="0"/>
          <w:sz w:val="24"/>
          <w:highlight w:val="none"/>
        </w:rPr>
        <w:t>.①</w:t>
      </w:r>
      <w:r>
        <w:rPr>
          <w:rFonts w:hint="eastAsia" w:ascii="宋体" w:hAnsi="宋体"/>
          <w:color w:val="auto"/>
          <w:sz w:val="24"/>
          <w:highlight w:val="none"/>
        </w:rPr>
        <w:t>岩土工程勘察费用，参照国家发展计划委员会、建设部</w:t>
      </w:r>
      <w:r>
        <w:rPr>
          <w:rFonts w:ascii="宋体" w:hAnsi="宋体"/>
          <w:color w:val="auto"/>
          <w:sz w:val="24"/>
          <w:highlight w:val="none"/>
        </w:rPr>
        <w:t>2002年颁布的《工程勘察设计收费标准》</w:t>
      </w:r>
      <w:r>
        <w:rPr>
          <w:rFonts w:hint="eastAsia" w:ascii="宋体" w:hAnsi="宋体"/>
          <w:color w:val="auto"/>
          <w:sz w:val="24"/>
          <w:highlight w:val="none"/>
        </w:rPr>
        <w:t>计算，勘察费浮动幅度为</w:t>
      </w:r>
      <w:r>
        <w:rPr>
          <w:rFonts w:hint="eastAsia" w:ascii="宋体" w:hAnsi="宋体" w:cs="宋体"/>
          <w:color w:val="auto"/>
          <w:kern w:val="0"/>
          <w:sz w:val="24"/>
          <w:highlight w:val="none"/>
          <w:lang w:eastAsia="zh-CN"/>
        </w:rPr>
        <w:t>下浮</w:t>
      </w:r>
      <w:r>
        <w:rPr>
          <w:rFonts w:hint="eastAsia" w:ascii="宋体" w:hAnsi="宋体" w:cs="宋体"/>
          <w:color w:val="auto"/>
          <w:kern w:val="0"/>
          <w:sz w:val="24"/>
          <w:highlight w:val="none"/>
          <w:lang w:val="en-US" w:eastAsia="zh-CN"/>
        </w:rPr>
        <w:t>20%再结合</w:t>
      </w:r>
      <w:r>
        <w:rPr>
          <w:rFonts w:hint="eastAsia" w:ascii="宋体" w:hAnsi="宋体"/>
          <w:color w:val="auto"/>
          <w:sz w:val="24"/>
          <w:highlight w:val="none"/>
          <w:u w:val="single"/>
          <w:lang w:val="en-US" w:eastAsia="zh-CN"/>
        </w:rPr>
        <w:t>投标</w:t>
      </w:r>
      <w:r>
        <w:rPr>
          <w:rFonts w:hint="eastAsia" w:ascii="宋体" w:hAnsi="宋体"/>
          <w:color w:val="auto"/>
          <w:sz w:val="24"/>
          <w:highlight w:val="none"/>
          <w:u w:val="single"/>
        </w:rPr>
        <w:t xml:space="preserve">下浮  </w:t>
      </w:r>
      <w:r>
        <w:rPr>
          <w:rFonts w:ascii="宋体" w:hAnsi="宋体"/>
          <w:color w:val="auto"/>
          <w:sz w:val="24"/>
          <w:highlight w:val="none"/>
          <w:u w:val="single"/>
        </w:rPr>
        <w:t>%</w:t>
      </w:r>
      <w:r>
        <w:rPr>
          <w:rFonts w:hint="eastAsia" w:ascii="宋体" w:hAnsi="宋体"/>
          <w:color w:val="auto"/>
          <w:sz w:val="24"/>
          <w:highlight w:val="none"/>
        </w:rPr>
        <w:t>。在合同实施期间岩土工程勘察费按实际完成工作量调整，但费率浮动幅度不变。</w:t>
      </w:r>
    </w:p>
    <w:p>
      <w:pPr>
        <w:spacing w:line="360" w:lineRule="auto"/>
        <w:ind w:firstLine="422" w:firstLineChars="176"/>
        <w:rPr>
          <w:rFonts w:ascii="宋体" w:hAnsi="宋体"/>
          <w:color w:val="auto"/>
          <w:sz w:val="24"/>
          <w:highlight w:val="none"/>
        </w:rPr>
      </w:pPr>
      <w:r>
        <w:rPr>
          <w:rFonts w:ascii="宋体" w:hAnsi="宋体" w:cs="Wingdings 2"/>
          <w:bCs/>
          <w:snapToGrid w:val="0"/>
          <w:color w:val="auto"/>
          <w:kern w:val="0"/>
          <w:sz w:val="24"/>
          <w:highlight w:val="none"/>
        </w:rPr>
        <w:t>②</w:t>
      </w:r>
      <w:r>
        <w:rPr>
          <w:rFonts w:hint="eastAsia" w:ascii="宋体" w:hAnsi="宋体"/>
          <w:color w:val="auto"/>
          <w:sz w:val="24"/>
          <w:highlight w:val="none"/>
        </w:rPr>
        <w:t>工程测量参照国家发展计划委员会、建设部</w:t>
      </w:r>
      <w:r>
        <w:rPr>
          <w:rFonts w:ascii="宋体" w:hAnsi="宋体"/>
          <w:color w:val="auto"/>
          <w:sz w:val="24"/>
          <w:highlight w:val="none"/>
        </w:rPr>
        <w:t>2002年颁布的《工程勘察设计收费标准》计算，测量费浮动幅度为</w:t>
      </w:r>
      <w:r>
        <w:rPr>
          <w:rFonts w:hint="eastAsia" w:ascii="宋体" w:hAnsi="宋体" w:cs="宋体"/>
          <w:color w:val="auto"/>
          <w:kern w:val="0"/>
          <w:sz w:val="24"/>
          <w:highlight w:val="none"/>
          <w:lang w:eastAsia="zh-CN"/>
        </w:rPr>
        <w:t>下浮</w:t>
      </w:r>
      <w:r>
        <w:rPr>
          <w:rFonts w:hint="eastAsia" w:ascii="宋体" w:hAnsi="宋体" w:cs="宋体"/>
          <w:color w:val="auto"/>
          <w:kern w:val="0"/>
          <w:sz w:val="24"/>
          <w:highlight w:val="none"/>
          <w:lang w:val="en-US" w:eastAsia="zh-CN"/>
        </w:rPr>
        <w:t>20%再结合</w:t>
      </w:r>
      <w:r>
        <w:rPr>
          <w:rFonts w:hint="eastAsia" w:ascii="宋体" w:hAnsi="宋体"/>
          <w:color w:val="auto"/>
          <w:sz w:val="24"/>
          <w:highlight w:val="none"/>
          <w:u w:val="single"/>
          <w:lang w:val="en-US" w:eastAsia="zh-CN"/>
        </w:rPr>
        <w:t>投标</w:t>
      </w:r>
      <w:r>
        <w:rPr>
          <w:rFonts w:ascii="宋体" w:hAnsi="宋体"/>
          <w:color w:val="auto"/>
          <w:sz w:val="24"/>
          <w:highlight w:val="none"/>
          <w:u w:val="single"/>
        </w:rPr>
        <w:t>下浮</w:t>
      </w:r>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ascii="宋体" w:hAnsi="宋体"/>
          <w:color w:val="auto"/>
          <w:sz w:val="24"/>
          <w:highlight w:val="none"/>
        </w:rPr>
        <w:t>。在合同实施期间工程测量费按实际完成工作量调整，但费率浮动幅度不变。</w:t>
      </w:r>
    </w:p>
    <w:p>
      <w:pPr>
        <w:spacing w:line="360" w:lineRule="auto"/>
        <w:ind w:firstLine="422" w:firstLineChars="176"/>
        <w:rPr>
          <w:rFonts w:hint="eastAsia" w:ascii="宋体" w:hAnsi="宋体"/>
          <w:color w:val="auto"/>
          <w:sz w:val="24"/>
          <w:highlight w:val="none"/>
        </w:rPr>
      </w:pPr>
      <w:r>
        <w:rPr>
          <w:rFonts w:ascii="宋体" w:hAnsi="宋体" w:cs="Wingdings 2"/>
          <w:bCs/>
          <w:snapToGrid w:val="0"/>
          <w:color w:val="auto"/>
          <w:kern w:val="0"/>
          <w:sz w:val="24"/>
          <w:highlight w:val="none"/>
        </w:rPr>
        <w:t>③</w:t>
      </w:r>
      <w:r>
        <w:rPr>
          <w:rFonts w:hint="eastAsia" w:ascii="宋体" w:hAnsi="宋体"/>
          <w:bCs/>
          <w:snapToGrid w:val="0"/>
          <w:color w:val="auto"/>
          <w:kern w:val="0"/>
          <w:sz w:val="24"/>
          <w:highlight w:val="none"/>
        </w:rPr>
        <w:t>工</w:t>
      </w:r>
      <w:r>
        <w:rPr>
          <w:rFonts w:hint="eastAsia" w:ascii="宋体" w:hAnsi="宋体"/>
          <w:color w:val="auto"/>
          <w:sz w:val="24"/>
          <w:highlight w:val="none"/>
        </w:rPr>
        <w:t>程物探（含管线探测）费参照国家发展计划委员会、建设部</w:t>
      </w:r>
      <w:r>
        <w:rPr>
          <w:rFonts w:ascii="宋体" w:hAnsi="宋体"/>
          <w:color w:val="auto"/>
          <w:sz w:val="24"/>
          <w:highlight w:val="none"/>
        </w:rPr>
        <w:t>2002年颁布的《工程勘察设计收费标准》计算，物探费浮动幅度为</w:t>
      </w:r>
      <w:r>
        <w:rPr>
          <w:rFonts w:hint="eastAsia" w:ascii="宋体" w:hAnsi="宋体" w:cs="宋体"/>
          <w:color w:val="auto"/>
          <w:kern w:val="0"/>
          <w:sz w:val="24"/>
          <w:highlight w:val="none"/>
          <w:lang w:eastAsia="zh-CN"/>
        </w:rPr>
        <w:t>下浮</w:t>
      </w:r>
      <w:r>
        <w:rPr>
          <w:rFonts w:hint="eastAsia" w:ascii="宋体" w:hAnsi="宋体" w:cs="宋体"/>
          <w:color w:val="auto"/>
          <w:kern w:val="0"/>
          <w:sz w:val="24"/>
          <w:highlight w:val="none"/>
          <w:lang w:val="en-US" w:eastAsia="zh-CN"/>
        </w:rPr>
        <w:t>20%再结合</w:t>
      </w:r>
      <w:r>
        <w:rPr>
          <w:rFonts w:hint="eastAsia" w:ascii="宋体" w:hAnsi="宋体"/>
          <w:color w:val="auto"/>
          <w:sz w:val="24"/>
          <w:highlight w:val="none"/>
          <w:u w:val="single"/>
          <w:lang w:val="en-US" w:eastAsia="zh-CN"/>
        </w:rPr>
        <w:t>投标</w:t>
      </w:r>
      <w:r>
        <w:rPr>
          <w:rFonts w:ascii="宋体" w:hAnsi="宋体"/>
          <w:color w:val="auto"/>
          <w:sz w:val="24"/>
          <w:highlight w:val="none"/>
          <w:u w:val="single"/>
        </w:rPr>
        <w:t>下浮</w:t>
      </w:r>
      <w:bookmarkEnd w:id="39"/>
      <w:r>
        <w:rPr>
          <w:rFonts w:hint="eastAsia" w:ascii="宋体" w:hAnsi="宋体"/>
          <w:color w:val="auto"/>
          <w:sz w:val="24"/>
          <w:highlight w:val="none"/>
          <w:u w:val="single"/>
        </w:rPr>
        <w:t xml:space="preserve">  </w:t>
      </w:r>
      <w:r>
        <w:rPr>
          <w:rFonts w:ascii="宋体" w:hAnsi="宋体"/>
          <w:color w:val="auto"/>
          <w:sz w:val="24"/>
          <w:highlight w:val="none"/>
          <w:u w:val="single"/>
        </w:rPr>
        <w:t>%</w:t>
      </w:r>
      <w:r>
        <w:rPr>
          <w:rFonts w:ascii="宋体" w:hAnsi="宋体"/>
          <w:color w:val="auto"/>
          <w:sz w:val="24"/>
          <w:highlight w:val="none"/>
        </w:rPr>
        <w:t>。在合同实施期间工程物探</w:t>
      </w:r>
      <w:r>
        <w:rPr>
          <w:rFonts w:hint="eastAsia" w:ascii="宋体" w:hAnsi="宋体"/>
          <w:color w:val="auto"/>
          <w:sz w:val="24"/>
          <w:highlight w:val="none"/>
        </w:rPr>
        <w:t>（含管线探测）</w:t>
      </w:r>
      <w:r>
        <w:rPr>
          <w:rFonts w:ascii="宋体" w:hAnsi="宋体"/>
          <w:color w:val="auto"/>
          <w:sz w:val="24"/>
          <w:highlight w:val="none"/>
        </w:rPr>
        <w:t>费按实际完成工作量调整，但费率浮动幅度不变</w:t>
      </w:r>
      <w:r>
        <w:rPr>
          <w:rFonts w:hint="eastAsia" w:ascii="宋体" w:hAnsi="宋体"/>
          <w:color w:val="auto"/>
          <w:sz w:val="24"/>
          <w:highlight w:val="none"/>
        </w:rPr>
        <w:t>。</w:t>
      </w:r>
    </w:p>
    <w:p>
      <w:pPr>
        <w:spacing w:line="360" w:lineRule="auto"/>
        <w:ind w:firstLine="422" w:firstLineChars="176"/>
        <w:rPr>
          <w:rFonts w:ascii="宋体" w:hAnsi="宋体"/>
          <w:bCs/>
          <w:snapToGrid w:val="0"/>
          <w:color w:val="auto"/>
          <w:kern w:val="0"/>
          <w:sz w:val="24"/>
          <w:highlight w:val="none"/>
        </w:rPr>
      </w:pPr>
      <w:r>
        <w:rPr>
          <w:rFonts w:hint="eastAsia" w:ascii="宋体" w:hAnsi="宋体" w:cs="宋体"/>
          <w:color w:val="auto"/>
          <w:kern w:val="0"/>
          <w:sz w:val="24"/>
          <w:highlight w:val="none"/>
        </w:rPr>
        <w:t>本工程中标勘察费仅作为签约合同价及最高限价。勘察费结算价</w:t>
      </w:r>
      <w:r>
        <w:rPr>
          <w:rFonts w:hint="eastAsia" w:ascii="宋体" w:hAnsi="宋体"/>
          <w:color w:val="auto"/>
          <w:sz w:val="24"/>
          <w:highlight w:val="none"/>
        </w:rPr>
        <w:t>以经发包人核定的工程勘察工作方案和实物工作量为基础，参照国家发展计划</w:t>
      </w:r>
      <w:r>
        <w:rPr>
          <w:rFonts w:hint="eastAsia" w:ascii="宋体" w:hAnsi="宋体" w:cs="宋体"/>
          <w:color w:val="auto"/>
          <w:kern w:val="0"/>
          <w:sz w:val="24"/>
          <w:highlight w:val="none"/>
        </w:rPr>
        <w:t>委员会、建设部2002年颁布的《工程勘察设计收费标准》</w:t>
      </w:r>
      <w:r>
        <w:rPr>
          <w:rFonts w:hint="eastAsia" w:ascii="宋体" w:hAnsi="宋体" w:cs="宋体"/>
          <w:color w:val="auto"/>
          <w:kern w:val="0"/>
          <w:sz w:val="24"/>
          <w:highlight w:val="none"/>
          <w:lang w:eastAsia="zh-CN"/>
        </w:rPr>
        <w:t>下浮</w:t>
      </w:r>
      <w:r>
        <w:rPr>
          <w:rFonts w:hint="eastAsia" w:ascii="宋体" w:hAnsi="宋体" w:cs="宋体"/>
          <w:color w:val="auto"/>
          <w:kern w:val="0"/>
          <w:sz w:val="24"/>
          <w:highlight w:val="none"/>
          <w:lang w:val="en-US" w:eastAsia="zh-CN"/>
        </w:rPr>
        <w:t>20%再结合</w:t>
      </w:r>
      <w:r>
        <w:rPr>
          <w:rFonts w:hint="eastAsia" w:ascii="宋体" w:hAnsi="宋体" w:cs="宋体"/>
          <w:color w:val="auto"/>
          <w:kern w:val="0"/>
          <w:sz w:val="24"/>
          <w:highlight w:val="none"/>
        </w:rPr>
        <w:t>投标下浮</w:t>
      </w:r>
      <w:r>
        <w:rPr>
          <w:rFonts w:hint="eastAsia" w:ascii="宋体" w:hAnsi="宋体" w:cs="宋体"/>
          <w:color w:val="auto"/>
          <w:kern w:val="0"/>
          <w:sz w:val="24"/>
          <w:highlight w:val="none"/>
          <w:lang w:val="en-US" w:eastAsia="zh-CN"/>
        </w:rPr>
        <w:t>__%</w:t>
      </w:r>
      <w:r>
        <w:rPr>
          <w:rFonts w:hint="eastAsia" w:ascii="宋体" w:hAnsi="宋体" w:cs="宋体"/>
          <w:color w:val="auto"/>
          <w:kern w:val="0"/>
          <w:sz w:val="24"/>
          <w:highlight w:val="none"/>
        </w:rPr>
        <w:t>率结算。工程勘察费为完成工程勘察工作所需的全部实物工作收费、技术工作收费、辅助工作收费（包括但不限于办理相关许可、收集资料、拆除障碍物、修通现场作业道路及接通水源和电源、平整场地、勘察材料、加工、涉海事、航道相关费用（包括但不限于通航标志、通航维护、海事维护警戒等）等，均不另行收费）等全部费用，发包人不另行补偿其他费用，</w:t>
      </w:r>
      <w:r>
        <w:rPr>
          <w:rFonts w:hint="eastAsia" w:ascii="宋体" w:hAnsi="宋体" w:cs="宋体"/>
          <w:b/>
          <w:color w:val="auto"/>
          <w:kern w:val="0"/>
          <w:sz w:val="24"/>
          <w:highlight w:val="none"/>
        </w:rPr>
        <w:t>如结算勘察费超过中标价格，按中标价格结算。</w:t>
      </w:r>
    </w:p>
    <w:p>
      <w:pPr>
        <w:spacing w:line="360" w:lineRule="auto"/>
        <w:ind w:firstLine="424" w:firstLineChars="176"/>
        <w:rPr>
          <w:rFonts w:ascii="宋体" w:hAnsi="宋体"/>
          <w:b/>
          <w:bCs/>
          <w:snapToGrid w:val="0"/>
          <w:color w:val="auto"/>
          <w:kern w:val="0"/>
          <w:sz w:val="24"/>
          <w:highlight w:val="none"/>
        </w:rPr>
      </w:pPr>
      <w:r>
        <w:rPr>
          <w:rFonts w:hint="eastAsia" w:ascii="宋体" w:hAnsi="宋体"/>
          <w:b/>
          <w:bCs/>
          <w:snapToGrid w:val="0"/>
          <w:color w:val="auto"/>
          <w:kern w:val="0"/>
          <w:sz w:val="24"/>
          <w:highlight w:val="none"/>
        </w:rPr>
        <w:t>2</w:t>
      </w:r>
      <w:r>
        <w:rPr>
          <w:rFonts w:hint="eastAsia" w:ascii="宋体" w:hAnsi="宋体"/>
          <w:b/>
          <w:bCs/>
          <w:snapToGrid w:val="0"/>
          <w:color w:val="auto"/>
          <w:kern w:val="0"/>
          <w:sz w:val="24"/>
          <w:highlight w:val="none"/>
          <w:lang w:val="en-US" w:eastAsia="zh-CN"/>
        </w:rPr>
        <w:t>0</w:t>
      </w:r>
      <w:r>
        <w:rPr>
          <w:rFonts w:hint="eastAsia" w:ascii="宋体" w:hAnsi="宋体"/>
          <w:b/>
          <w:bCs/>
          <w:snapToGrid w:val="0"/>
          <w:color w:val="auto"/>
          <w:kern w:val="0"/>
          <w:sz w:val="24"/>
          <w:highlight w:val="none"/>
        </w:rPr>
        <w:t>.3勘察费的支付</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乙方提交勘察大纲报告经发包人确认后，支付勘察费合同暂定金额的20%；乙方提交勘察详勘成果报告经发包人确认后，支付至勘察费合同暂定金额的50%；乙方提交勘察最终成果报告经发包人确认后，累计支付至按实际完成工作量计算勘察费的80％；本合同结算办理完毕，且经甲方或相关部门审核确认后，甲方向乙方支付至勘察费审定结算价款的100%。</w:t>
      </w:r>
    </w:p>
    <w:p>
      <w:pPr>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w:t>
      </w:r>
      <w:r>
        <w:rPr>
          <w:rFonts w:ascii="宋体" w:hAnsi="宋体"/>
          <w:snapToGrid w:val="0"/>
          <w:color w:val="auto"/>
          <w:kern w:val="0"/>
          <w:sz w:val="24"/>
          <w:highlight w:val="none"/>
        </w:rPr>
        <w:t>分包项目的</w:t>
      </w:r>
      <w:r>
        <w:rPr>
          <w:rFonts w:hint="eastAsia" w:ascii="宋体" w:hAnsi="宋体"/>
          <w:snapToGrid w:val="0"/>
          <w:color w:val="auto"/>
          <w:kern w:val="0"/>
          <w:sz w:val="24"/>
          <w:highlight w:val="none"/>
        </w:rPr>
        <w:t>勘察</w:t>
      </w:r>
      <w:r>
        <w:rPr>
          <w:rFonts w:ascii="宋体" w:hAnsi="宋体"/>
          <w:snapToGrid w:val="0"/>
          <w:color w:val="auto"/>
          <w:kern w:val="0"/>
          <w:sz w:val="24"/>
          <w:highlight w:val="none"/>
        </w:rPr>
        <w:t>费已全部包含在</w:t>
      </w:r>
      <w:r>
        <w:rPr>
          <w:rFonts w:hint="eastAsia" w:ascii="宋体" w:hAnsi="宋体"/>
          <w:snapToGrid w:val="0"/>
          <w:color w:val="auto"/>
          <w:kern w:val="0"/>
          <w:sz w:val="24"/>
          <w:highlight w:val="none"/>
        </w:rPr>
        <w:t>本</w:t>
      </w:r>
      <w:r>
        <w:rPr>
          <w:rFonts w:ascii="宋体" w:hAnsi="宋体"/>
          <w:snapToGrid w:val="0"/>
          <w:color w:val="auto"/>
          <w:kern w:val="0"/>
          <w:sz w:val="24"/>
          <w:highlight w:val="none"/>
        </w:rPr>
        <w:t>合同</w:t>
      </w:r>
      <w:r>
        <w:rPr>
          <w:rFonts w:hint="eastAsia" w:ascii="宋体" w:hAnsi="宋体"/>
          <w:snapToGrid w:val="0"/>
          <w:color w:val="auto"/>
          <w:kern w:val="0"/>
          <w:sz w:val="24"/>
          <w:highlight w:val="none"/>
        </w:rPr>
        <w:t>勘察</w:t>
      </w:r>
      <w:r>
        <w:rPr>
          <w:rFonts w:ascii="宋体" w:hAnsi="宋体"/>
          <w:snapToGrid w:val="0"/>
          <w:color w:val="auto"/>
          <w:kern w:val="0"/>
          <w:sz w:val="24"/>
          <w:highlight w:val="none"/>
        </w:rPr>
        <w:t>费之内，</w:t>
      </w:r>
      <w:r>
        <w:rPr>
          <w:rFonts w:hint="eastAsia" w:ascii="宋体" w:hAnsi="宋体"/>
          <w:snapToGrid w:val="0"/>
          <w:color w:val="auto"/>
          <w:kern w:val="0"/>
          <w:sz w:val="24"/>
          <w:highlight w:val="none"/>
        </w:rPr>
        <w:t>并纳入本</w:t>
      </w:r>
      <w:r>
        <w:rPr>
          <w:rFonts w:ascii="宋体" w:hAnsi="宋体"/>
          <w:snapToGrid w:val="0"/>
          <w:color w:val="auto"/>
          <w:kern w:val="0"/>
          <w:sz w:val="24"/>
          <w:highlight w:val="none"/>
        </w:rPr>
        <w:t>合同</w:t>
      </w:r>
      <w:r>
        <w:rPr>
          <w:rFonts w:hint="eastAsia" w:ascii="宋体" w:hAnsi="宋体"/>
          <w:snapToGrid w:val="0"/>
          <w:color w:val="auto"/>
          <w:kern w:val="0"/>
          <w:sz w:val="24"/>
          <w:highlight w:val="none"/>
        </w:rPr>
        <w:t>一并结算。乙方在申请支付</w:t>
      </w:r>
      <w:r>
        <w:rPr>
          <w:rFonts w:hint="eastAsia" w:ascii="宋体" w:hAnsi="宋体"/>
          <w:iCs/>
          <w:snapToGrid w:val="0"/>
          <w:color w:val="auto"/>
          <w:kern w:val="0"/>
          <w:sz w:val="24"/>
          <w:highlight w:val="none"/>
        </w:rPr>
        <w:t>各次</w:t>
      </w:r>
      <w:r>
        <w:rPr>
          <w:rFonts w:hint="eastAsia" w:ascii="宋体" w:hAnsi="宋体"/>
          <w:snapToGrid w:val="0"/>
          <w:color w:val="auto"/>
          <w:kern w:val="0"/>
          <w:sz w:val="24"/>
          <w:highlight w:val="none"/>
        </w:rPr>
        <w:t>勘察</w:t>
      </w:r>
      <w:r>
        <w:rPr>
          <w:rFonts w:ascii="宋体" w:hAnsi="宋体"/>
          <w:snapToGrid w:val="0"/>
          <w:color w:val="auto"/>
          <w:kern w:val="0"/>
          <w:sz w:val="24"/>
          <w:highlight w:val="none"/>
        </w:rPr>
        <w:t>费</w:t>
      </w:r>
      <w:r>
        <w:rPr>
          <w:rFonts w:hint="eastAsia" w:ascii="宋体" w:hAnsi="宋体"/>
          <w:iCs/>
          <w:snapToGrid w:val="0"/>
          <w:color w:val="auto"/>
          <w:kern w:val="0"/>
          <w:sz w:val="24"/>
          <w:highlight w:val="none"/>
        </w:rPr>
        <w:t>时应连同其分包单位的</w:t>
      </w:r>
      <w:r>
        <w:rPr>
          <w:rFonts w:hint="eastAsia" w:ascii="宋体" w:hAnsi="宋体"/>
          <w:snapToGrid w:val="0"/>
          <w:color w:val="auto"/>
          <w:kern w:val="0"/>
          <w:sz w:val="24"/>
          <w:highlight w:val="none"/>
        </w:rPr>
        <w:t>勘察</w:t>
      </w:r>
      <w:r>
        <w:rPr>
          <w:rFonts w:ascii="宋体" w:hAnsi="宋体"/>
          <w:snapToGrid w:val="0"/>
          <w:color w:val="auto"/>
          <w:kern w:val="0"/>
          <w:sz w:val="24"/>
          <w:highlight w:val="none"/>
        </w:rPr>
        <w:t>费</w:t>
      </w:r>
      <w:r>
        <w:rPr>
          <w:rFonts w:hint="eastAsia" w:ascii="宋体" w:hAnsi="宋体"/>
          <w:iCs/>
          <w:snapToGrid w:val="0"/>
          <w:color w:val="auto"/>
          <w:kern w:val="0"/>
          <w:sz w:val="24"/>
          <w:highlight w:val="none"/>
        </w:rPr>
        <w:t>一并申报。</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乙</w:t>
      </w:r>
      <w:r>
        <w:rPr>
          <w:rFonts w:ascii="宋体" w:hAnsi="宋体"/>
          <w:snapToGrid w:val="0"/>
          <w:color w:val="auto"/>
          <w:sz w:val="24"/>
          <w:highlight w:val="none"/>
        </w:rPr>
        <w:t>方承诺：保证</w:t>
      </w:r>
      <w:r>
        <w:rPr>
          <w:rFonts w:ascii="宋体" w:hAnsi="宋体"/>
          <w:bCs/>
          <w:snapToGrid w:val="0"/>
          <w:color w:val="auto"/>
          <w:sz w:val="24"/>
          <w:highlight w:val="none"/>
        </w:rPr>
        <w:t>按照</w:t>
      </w:r>
      <w:r>
        <w:rPr>
          <w:rFonts w:hint="eastAsia" w:ascii="宋体" w:hAnsi="宋体"/>
          <w:bCs/>
          <w:snapToGrid w:val="0"/>
          <w:color w:val="auto"/>
          <w:sz w:val="24"/>
          <w:highlight w:val="none"/>
        </w:rPr>
        <w:t>本</w:t>
      </w:r>
      <w:r>
        <w:rPr>
          <w:rFonts w:ascii="宋体" w:hAnsi="宋体"/>
          <w:bCs/>
          <w:snapToGrid w:val="0"/>
          <w:color w:val="auto"/>
          <w:sz w:val="24"/>
          <w:highlight w:val="none"/>
        </w:rPr>
        <w:t>合同及分包合同的约定及时向</w:t>
      </w:r>
      <w:r>
        <w:rPr>
          <w:rFonts w:hint="eastAsia" w:ascii="宋体" w:hAnsi="宋体"/>
          <w:snapToGrid w:val="0"/>
          <w:color w:val="auto"/>
          <w:sz w:val="24"/>
          <w:highlight w:val="none"/>
        </w:rPr>
        <w:t>乙方</w:t>
      </w:r>
      <w:r>
        <w:rPr>
          <w:rFonts w:hint="eastAsia" w:ascii="宋体" w:hAnsi="宋体"/>
          <w:bCs/>
          <w:snapToGrid w:val="0"/>
          <w:color w:val="auto"/>
          <w:sz w:val="24"/>
          <w:highlight w:val="none"/>
        </w:rPr>
        <w:t>分包单位</w:t>
      </w:r>
      <w:r>
        <w:rPr>
          <w:rFonts w:ascii="宋体" w:hAnsi="宋体"/>
          <w:bCs/>
          <w:snapToGrid w:val="0"/>
          <w:color w:val="auto"/>
          <w:sz w:val="24"/>
          <w:highlight w:val="none"/>
        </w:rPr>
        <w:t>支付</w:t>
      </w:r>
      <w:r>
        <w:rPr>
          <w:rFonts w:hint="eastAsia" w:ascii="宋体" w:hAnsi="宋体"/>
          <w:bCs/>
          <w:snapToGrid w:val="0"/>
          <w:color w:val="auto"/>
          <w:sz w:val="24"/>
          <w:highlight w:val="none"/>
        </w:rPr>
        <w:t>勘察</w:t>
      </w:r>
      <w:r>
        <w:rPr>
          <w:rFonts w:ascii="宋体" w:hAnsi="宋体"/>
          <w:bCs/>
          <w:snapToGrid w:val="0"/>
          <w:color w:val="auto"/>
          <w:sz w:val="24"/>
          <w:highlight w:val="none"/>
        </w:rPr>
        <w:t>费，</w:t>
      </w:r>
      <w:r>
        <w:rPr>
          <w:rFonts w:hint="eastAsia" w:ascii="宋体" w:hAnsi="宋体"/>
          <w:bCs/>
          <w:snapToGrid w:val="0"/>
          <w:color w:val="auto"/>
          <w:sz w:val="24"/>
          <w:highlight w:val="none"/>
        </w:rPr>
        <w:t>甲方</w:t>
      </w:r>
      <w:r>
        <w:rPr>
          <w:rFonts w:ascii="宋体" w:hAnsi="宋体"/>
          <w:bCs/>
          <w:snapToGrid w:val="0"/>
          <w:color w:val="auto"/>
          <w:sz w:val="24"/>
          <w:highlight w:val="none"/>
        </w:rPr>
        <w:t>有权对</w:t>
      </w:r>
      <w:r>
        <w:rPr>
          <w:rFonts w:hint="eastAsia" w:ascii="宋体" w:hAnsi="宋体"/>
          <w:bCs/>
          <w:snapToGrid w:val="0"/>
          <w:color w:val="auto"/>
          <w:sz w:val="24"/>
          <w:highlight w:val="none"/>
        </w:rPr>
        <w:t>乙</w:t>
      </w:r>
      <w:r>
        <w:rPr>
          <w:rFonts w:ascii="宋体" w:hAnsi="宋体"/>
          <w:bCs/>
          <w:snapToGrid w:val="0"/>
          <w:color w:val="auto"/>
          <w:sz w:val="24"/>
          <w:highlight w:val="none"/>
        </w:rPr>
        <w:t>方的付款情况予以监督。</w:t>
      </w:r>
      <w:r>
        <w:rPr>
          <w:rFonts w:hint="eastAsia" w:ascii="宋体" w:hAnsi="宋体"/>
          <w:bCs/>
          <w:snapToGrid w:val="0"/>
          <w:color w:val="auto"/>
          <w:sz w:val="24"/>
          <w:highlight w:val="none"/>
        </w:rPr>
        <w:t>乙</w:t>
      </w:r>
      <w:r>
        <w:rPr>
          <w:rFonts w:ascii="宋体" w:hAnsi="宋体"/>
          <w:bCs/>
          <w:snapToGrid w:val="0"/>
          <w:color w:val="auto"/>
          <w:sz w:val="24"/>
          <w:highlight w:val="none"/>
        </w:rPr>
        <w:t>方未按时按量付款的，</w:t>
      </w:r>
      <w:r>
        <w:rPr>
          <w:rFonts w:hint="eastAsia" w:ascii="宋体" w:hAnsi="宋体"/>
          <w:bCs/>
          <w:snapToGrid w:val="0"/>
          <w:color w:val="auto"/>
          <w:sz w:val="24"/>
          <w:highlight w:val="none"/>
        </w:rPr>
        <w:t>应</w:t>
      </w:r>
      <w:r>
        <w:rPr>
          <w:rFonts w:ascii="宋体" w:hAnsi="宋体"/>
          <w:bCs/>
          <w:snapToGrid w:val="0"/>
          <w:color w:val="auto"/>
          <w:sz w:val="24"/>
          <w:highlight w:val="none"/>
        </w:rPr>
        <w:t>依据</w:t>
      </w:r>
      <w:r>
        <w:rPr>
          <w:rFonts w:hint="eastAsia" w:ascii="宋体" w:hAnsi="宋体"/>
          <w:bCs/>
          <w:snapToGrid w:val="0"/>
          <w:color w:val="auto"/>
          <w:sz w:val="24"/>
          <w:highlight w:val="none"/>
        </w:rPr>
        <w:t>合同条款</w:t>
      </w:r>
      <w:r>
        <w:rPr>
          <w:rFonts w:hint="eastAsia" w:ascii="宋体" w:hAnsi="宋体"/>
          <w:snapToGrid w:val="0"/>
          <w:color w:val="auto"/>
          <w:sz w:val="24"/>
          <w:highlight w:val="none"/>
        </w:rPr>
        <w:t>第2</w:t>
      </w:r>
      <w:r>
        <w:rPr>
          <w:rFonts w:hint="eastAsia" w:ascii="宋体" w:hAnsi="宋体"/>
          <w:snapToGrid w:val="0"/>
          <w:color w:val="auto"/>
          <w:sz w:val="24"/>
          <w:highlight w:val="none"/>
          <w:lang w:val="en-US" w:eastAsia="zh-CN"/>
        </w:rPr>
        <w:t>6</w:t>
      </w:r>
      <w:r>
        <w:rPr>
          <w:rFonts w:hint="eastAsia" w:ascii="宋体" w:hAnsi="宋体"/>
          <w:snapToGrid w:val="0"/>
          <w:color w:val="auto"/>
          <w:sz w:val="24"/>
          <w:highlight w:val="none"/>
        </w:rPr>
        <w:t>.9款</w:t>
      </w:r>
      <w:r>
        <w:rPr>
          <w:rFonts w:ascii="宋体" w:hAnsi="宋体"/>
          <w:bCs/>
          <w:snapToGrid w:val="0"/>
          <w:color w:val="auto"/>
          <w:sz w:val="24"/>
          <w:highlight w:val="none"/>
        </w:rPr>
        <w:t>的约定</w:t>
      </w:r>
      <w:r>
        <w:rPr>
          <w:rFonts w:hint="eastAsia" w:ascii="宋体" w:hAnsi="宋体"/>
          <w:bCs/>
          <w:snapToGrid w:val="0"/>
          <w:color w:val="auto"/>
          <w:sz w:val="24"/>
          <w:highlight w:val="none"/>
        </w:rPr>
        <w:t>承担违约责任</w:t>
      </w:r>
      <w:r>
        <w:rPr>
          <w:rFonts w:ascii="宋体" w:hAnsi="宋体"/>
          <w:bCs/>
          <w:snapToGrid w:val="0"/>
          <w:color w:val="auto"/>
          <w:sz w:val="24"/>
          <w:highlight w:val="none"/>
        </w:rPr>
        <w:t>。</w:t>
      </w:r>
      <w:r>
        <w:rPr>
          <w:rFonts w:hint="eastAsia" w:ascii="宋体" w:hAnsi="宋体"/>
          <w:bCs/>
          <w:snapToGrid w:val="0"/>
          <w:color w:val="auto"/>
          <w:sz w:val="24"/>
          <w:highlight w:val="none"/>
        </w:rPr>
        <w:t>且</w:t>
      </w:r>
      <w:r>
        <w:rPr>
          <w:rFonts w:hint="eastAsia" w:ascii="宋体" w:hAnsi="宋体"/>
          <w:snapToGrid w:val="0"/>
          <w:color w:val="auto"/>
          <w:sz w:val="24"/>
          <w:highlight w:val="none"/>
        </w:rPr>
        <w:t>甲方有权在应付乙方工程款中扣除乙方应付未付勘察分包费。</w:t>
      </w:r>
    </w:p>
    <w:p>
      <w:pPr>
        <w:spacing w:line="360" w:lineRule="auto"/>
        <w:ind w:firstLine="422" w:firstLineChars="176"/>
        <w:rPr>
          <w:rFonts w:ascii="宋体" w:hAnsi="宋体"/>
          <w:snapToGrid w:val="0"/>
          <w:color w:val="auto"/>
          <w:sz w:val="24"/>
          <w:highlight w:val="none"/>
        </w:rPr>
      </w:pPr>
      <w:r>
        <w:rPr>
          <w:rFonts w:hint="eastAsia" w:ascii="宋体" w:hAnsi="宋体"/>
          <w:snapToGrid w:val="0"/>
          <w:color w:val="auto"/>
          <w:sz w:val="24"/>
          <w:highlight w:val="none"/>
        </w:rPr>
        <w:t>（3）勘察费在甲方支付每笔费用【3】天前乙方应向甲方提供正式等额增值税专用发票，但甲方收到发票不作为认定乙方收到发票等额设计费的依据，乙方实际收到勘察费的时间以甲方交付的款项正式在乙方入帐之日为准。乙方未能提供上述发票的，甲方有权顺延付款。</w:t>
      </w:r>
    </w:p>
    <w:p>
      <w:pPr>
        <w:spacing w:line="360" w:lineRule="auto"/>
        <w:ind w:firstLine="424" w:firstLineChars="176"/>
        <w:rPr>
          <w:rFonts w:ascii="宋体" w:hAnsi="宋体"/>
          <w:b/>
          <w:snapToGrid w:val="0"/>
          <w:color w:val="auto"/>
          <w:kern w:val="0"/>
          <w:sz w:val="24"/>
          <w:highlight w:val="none"/>
        </w:rPr>
      </w:pPr>
    </w:p>
    <w:p>
      <w:pPr>
        <w:pStyle w:val="4"/>
        <w:jc w:val="center"/>
        <w:rPr>
          <w:rFonts w:hint="eastAsia"/>
          <w:color w:val="auto"/>
          <w:sz w:val="30"/>
          <w:szCs w:val="30"/>
          <w:highlight w:val="none"/>
        </w:rPr>
      </w:pPr>
      <w:bookmarkStart w:id="40" w:name="_Toc472802265"/>
      <w:bookmarkStart w:id="41" w:name="_Toc472802266"/>
      <w:r>
        <w:rPr>
          <w:rFonts w:hint="eastAsia"/>
          <w:color w:val="auto"/>
          <w:sz w:val="30"/>
          <w:szCs w:val="30"/>
          <w:highlight w:val="none"/>
        </w:rPr>
        <w:t xml:space="preserve">第十章 </w:t>
      </w:r>
      <w:r>
        <w:rPr>
          <w:rFonts w:hint="eastAsia"/>
          <w:color w:val="auto"/>
          <w:sz w:val="30"/>
          <w:szCs w:val="30"/>
          <w:highlight w:val="none"/>
          <w:lang w:val="en-US" w:eastAsia="zh-CN"/>
        </w:rPr>
        <w:t xml:space="preserve"> </w:t>
      </w:r>
      <w:r>
        <w:rPr>
          <w:rFonts w:hint="eastAsia"/>
          <w:color w:val="auto"/>
          <w:sz w:val="30"/>
          <w:szCs w:val="30"/>
          <w:highlight w:val="none"/>
        </w:rPr>
        <w:t>综合考评</w:t>
      </w:r>
      <w:bookmarkEnd w:id="40"/>
    </w:p>
    <w:p>
      <w:pPr>
        <w:pStyle w:val="6"/>
        <w:spacing w:before="0" w:after="0" w:line="360" w:lineRule="auto"/>
        <w:ind w:firstLine="424" w:firstLineChars="176"/>
        <w:rPr>
          <w:rFonts w:ascii="宋体" w:hAnsi="宋体"/>
          <w:b w:val="0"/>
          <w:bCs w:val="0"/>
          <w:snapToGrid w:val="0"/>
          <w:color w:val="auto"/>
          <w:kern w:val="0"/>
          <w:sz w:val="24"/>
          <w:szCs w:val="24"/>
          <w:highlight w:val="none"/>
        </w:rPr>
      </w:pPr>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1</w:t>
      </w:r>
      <w:r>
        <w:rPr>
          <w:rFonts w:hint="eastAsia" w:ascii="宋体" w:hAnsi="宋体"/>
          <w:snapToGrid w:val="0"/>
          <w:color w:val="auto"/>
          <w:kern w:val="0"/>
          <w:sz w:val="24"/>
          <w:szCs w:val="24"/>
          <w:highlight w:val="none"/>
        </w:rPr>
        <w:t>、综合考评</w:t>
      </w:r>
      <w:bookmarkEnd w:id="41"/>
    </w:p>
    <w:p>
      <w:pPr>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鉴于本合同工程的重要性，为确保本合同工程质量，甲方将对参与本合同项目建设的勘察设计、施工、监理等单位进行综合考评，并根据综合考评的结果按照相关规定执行。</w:t>
      </w:r>
    </w:p>
    <w:p>
      <w:pPr>
        <w:spacing w:line="360" w:lineRule="auto"/>
        <w:rPr>
          <w:rFonts w:ascii="宋体" w:hAnsi="宋体"/>
          <w:bCs/>
          <w:snapToGrid w:val="0"/>
          <w:color w:val="auto"/>
          <w:kern w:val="0"/>
          <w:sz w:val="24"/>
          <w:highlight w:val="none"/>
        </w:rPr>
      </w:pPr>
    </w:p>
    <w:p>
      <w:pPr>
        <w:pStyle w:val="4"/>
        <w:jc w:val="center"/>
        <w:rPr>
          <w:rFonts w:hint="eastAsia"/>
          <w:color w:val="auto"/>
          <w:sz w:val="30"/>
          <w:szCs w:val="30"/>
          <w:highlight w:val="none"/>
        </w:rPr>
      </w:pPr>
      <w:bookmarkStart w:id="42" w:name="_Toc472802267"/>
      <w:r>
        <w:rPr>
          <w:rFonts w:hint="eastAsia"/>
          <w:color w:val="auto"/>
          <w:sz w:val="30"/>
          <w:szCs w:val="30"/>
          <w:highlight w:val="none"/>
        </w:rPr>
        <w:t>第十</w:t>
      </w:r>
      <w:r>
        <w:rPr>
          <w:rFonts w:hint="eastAsia"/>
          <w:color w:val="auto"/>
          <w:sz w:val="30"/>
          <w:szCs w:val="30"/>
          <w:highlight w:val="none"/>
          <w:lang w:eastAsia="zh-CN"/>
        </w:rPr>
        <w:t>一</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bookmarkEnd w:id="42"/>
      <w:r>
        <w:rPr>
          <w:rFonts w:hint="eastAsia"/>
          <w:color w:val="auto"/>
          <w:sz w:val="30"/>
          <w:szCs w:val="30"/>
          <w:highlight w:val="none"/>
        </w:rPr>
        <w:t>甲方驻场代表和设计咨询工程师</w:t>
      </w:r>
    </w:p>
    <w:p>
      <w:pPr>
        <w:pStyle w:val="6"/>
        <w:spacing w:before="0" w:after="0" w:line="360" w:lineRule="auto"/>
        <w:ind w:firstLine="424" w:firstLineChars="176"/>
        <w:rPr>
          <w:rFonts w:ascii="宋体" w:hAnsi="宋体"/>
          <w:b w:val="0"/>
          <w:bCs w:val="0"/>
          <w:strike w:val="0"/>
          <w:snapToGrid w:val="0"/>
          <w:color w:val="auto"/>
          <w:kern w:val="0"/>
          <w:sz w:val="24"/>
          <w:szCs w:val="24"/>
          <w:highlight w:val="none"/>
        </w:rPr>
      </w:pPr>
      <w:r>
        <w:rPr>
          <w:rFonts w:hint="eastAsia" w:ascii="宋体" w:hAnsi="宋体"/>
          <w:strike w:val="0"/>
          <w:snapToGrid w:val="0"/>
          <w:color w:val="auto"/>
          <w:kern w:val="0"/>
          <w:sz w:val="24"/>
          <w:szCs w:val="24"/>
          <w:highlight w:val="none"/>
        </w:rPr>
        <w:t>2</w:t>
      </w:r>
      <w:r>
        <w:rPr>
          <w:rFonts w:hint="eastAsia" w:ascii="宋体" w:hAnsi="宋体"/>
          <w:strike w:val="0"/>
          <w:snapToGrid w:val="0"/>
          <w:color w:val="auto"/>
          <w:kern w:val="0"/>
          <w:sz w:val="24"/>
          <w:szCs w:val="24"/>
          <w:highlight w:val="none"/>
          <w:lang w:val="en-US" w:eastAsia="zh-CN"/>
        </w:rPr>
        <w:t>2</w:t>
      </w:r>
      <w:r>
        <w:rPr>
          <w:rFonts w:ascii="宋体" w:hAnsi="宋体"/>
          <w:strike w:val="0"/>
          <w:snapToGrid w:val="0"/>
          <w:color w:val="auto"/>
          <w:kern w:val="0"/>
          <w:sz w:val="24"/>
          <w:szCs w:val="24"/>
          <w:highlight w:val="none"/>
        </w:rPr>
        <w:t>、</w:t>
      </w:r>
      <w:r>
        <w:rPr>
          <w:rFonts w:hint="eastAsia" w:ascii="宋体" w:hAnsi="宋体"/>
          <w:strike w:val="0"/>
          <w:snapToGrid w:val="0"/>
          <w:color w:val="auto"/>
          <w:kern w:val="0"/>
          <w:sz w:val="24"/>
          <w:szCs w:val="24"/>
          <w:highlight w:val="none"/>
        </w:rPr>
        <w:t>甲方驻场代表和设计咨询工程师</w:t>
      </w:r>
    </w:p>
    <w:p>
      <w:pPr>
        <w:adjustRightInd w:val="0"/>
        <w:snapToGrid w:val="0"/>
        <w:spacing w:line="360" w:lineRule="auto"/>
        <w:ind w:firstLine="424" w:firstLineChars="176"/>
        <w:rPr>
          <w:rFonts w:ascii="宋体" w:hAnsi="宋体"/>
          <w:b/>
          <w:bCs/>
          <w:snapToGrid w:val="0"/>
          <w:color w:val="auto"/>
          <w:kern w:val="0"/>
          <w:sz w:val="24"/>
          <w:highlight w:val="none"/>
        </w:rPr>
      </w:pPr>
      <w:r>
        <w:rPr>
          <w:rFonts w:ascii="宋体" w:hAnsi="宋体"/>
          <w:b/>
          <w:bCs/>
          <w:snapToGrid w:val="0"/>
          <w:color w:val="auto"/>
          <w:kern w:val="0"/>
          <w:sz w:val="24"/>
          <w:highlight w:val="none"/>
        </w:rPr>
        <w:t>2</w:t>
      </w:r>
      <w:r>
        <w:rPr>
          <w:rFonts w:hint="eastAsia" w:ascii="宋体" w:hAnsi="宋体"/>
          <w:b/>
          <w:bCs/>
          <w:snapToGrid w:val="0"/>
          <w:color w:val="auto"/>
          <w:kern w:val="0"/>
          <w:sz w:val="24"/>
          <w:highlight w:val="none"/>
          <w:lang w:val="en-US" w:eastAsia="zh-CN"/>
        </w:rPr>
        <w:t>2</w:t>
      </w:r>
      <w:r>
        <w:rPr>
          <w:rFonts w:ascii="宋体" w:hAnsi="宋体"/>
          <w:b/>
          <w:bCs/>
          <w:snapToGrid w:val="0"/>
          <w:color w:val="auto"/>
          <w:kern w:val="0"/>
          <w:sz w:val="24"/>
          <w:highlight w:val="none"/>
        </w:rPr>
        <w:t>.1</w:t>
      </w:r>
      <w:r>
        <w:rPr>
          <w:rFonts w:hint="eastAsia" w:ascii="宋体" w:hAnsi="宋体"/>
          <w:b/>
          <w:bCs/>
          <w:snapToGrid w:val="0"/>
          <w:color w:val="auto"/>
          <w:kern w:val="0"/>
          <w:sz w:val="24"/>
          <w:highlight w:val="none"/>
        </w:rPr>
        <w:t>甲方驻场代表</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（1）甲方派出的驻项目现场行使本合同约定职权的代表，在本合同中称甲方驻场代表，其姓名、职务、职权由甲方书面通知乙方。</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2）甲方可在认为必要时撤回对甲方驻场代表的委派，委派和撤回均应提前7天以书面形式通知乙方。如需更换甲方驻场代表，甲方应至少提前7天以书面形式通知乙方，后任继续行使合同文件约定的前任职权，履行前任的义务，认同并不修改前任已经签署的文件和发出的指令及承诺。</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3）甲方驻场代表在甲方授权范围内向乙方发出的任何书面形式的函件，与甲方发出的函件具有同等效力。甲方驻场代表的指令、通知应由其本人签字后，以书面形式交给乙方设计负责人，乙方设计负责人应立即在回执上签署姓名和收到时间，指令、通知同时生效。</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（4）乙方对甲方驻场代表向其发出的任何书面形式的函件有疑问时，可将此函件提交甲方，甲方应进行解释。</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（5）乙方认为甲方指令不合理，应在收到指令后48小时内向甲方提出请求修改指令的书面报告，甲方在收到乙方报告后48小时内作出修改指令或继续执行原指令的决定，并以书面形式通知乙方。</w:t>
      </w:r>
    </w:p>
    <w:p>
      <w:pPr>
        <w:adjustRightInd w:val="0"/>
        <w:snapToGrid w:val="0"/>
        <w:spacing w:line="360" w:lineRule="auto"/>
        <w:ind w:firstLine="422" w:firstLineChars="176"/>
        <w:rPr>
          <w:rFonts w:ascii="宋体" w:hAnsi="宋体"/>
          <w:bCs/>
          <w:strike w:val="0"/>
          <w:dstrike w:val="0"/>
          <w:snapToGrid w:val="0"/>
          <w:color w:val="auto"/>
          <w:kern w:val="0"/>
          <w:sz w:val="24"/>
          <w:highlight w:val="none"/>
        </w:rPr>
      </w:pPr>
      <w:r>
        <w:rPr>
          <w:rFonts w:hint="eastAsia" w:ascii="宋体" w:hAnsi="宋体"/>
          <w:bCs/>
          <w:snapToGrid w:val="0"/>
          <w:color w:val="auto"/>
          <w:kern w:val="0"/>
          <w:sz w:val="24"/>
          <w:highlight w:val="none"/>
        </w:rPr>
        <w:t>（6）甲方驻场代表是甲方的履约代表，乙方发出的任何书面形式的文件经</w:t>
      </w:r>
      <w:r>
        <w:rPr>
          <w:rFonts w:hint="eastAsia" w:ascii="宋体" w:hAnsi="宋体"/>
          <w:bCs/>
          <w:strike w:val="0"/>
          <w:dstrike w:val="0"/>
          <w:snapToGrid w:val="0"/>
          <w:color w:val="auto"/>
          <w:kern w:val="0"/>
          <w:sz w:val="24"/>
          <w:highlight w:val="none"/>
        </w:rPr>
        <w:t>甲方驻场代表签收后即视为已送达甲方。</w:t>
      </w:r>
    </w:p>
    <w:p>
      <w:pPr>
        <w:adjustRightInd w:val="0"/>
        <w:snapToGrid w:val="0"/>
        <w:spacing w:line="360" w:lineRule="auto"/>
        <w:ind w:firstLine="424" w:firstLineChars="176"/>
        <w:rPr>
          <w:rFonts w:ascii="宋体" w:hAnsi="宋体"/>
          <w:b/>
          <w:bCs/>
          <w:strike w:val="0"/>
          <w:dstrike w:val="0"/>
          <w:snapToGrid w:val="0"/>
          <w:color w:val="auto"/>
          <w:kern w:val="0"/>
          <w:sz w:val="24"/>
          <w:highlight w:val="none"/>
        </w:rPr>
      </w:pPr>
      <w:r>
        <w:rPr>
          <w:rFonts w:ascii="宋体" w:hAnsi="宋体"/>
          <w:b/>
          <w:bCs/>
          <w:strike w:val="0"/>
          <w:dstrike w:val="0"/>
          <w:snapToGrid w:val="0"/>
          <w:color w:val="auto"/>
          <w:kern w:val="0"/>
          <w:sz w:val="24"/>
          <w:highlight w:val="none"/>
        </w:rPr>
        <w:t>2</w:t>
      </w:r>
      <w:r>
        <w:rPr>
          <w:rFonts w:hint="eastAsia" w:ascii="宋体" w:hAnsi="宋体"/>
          <w:b/>
          <w:bCs/>
          <w:strike w:val="0"/>
          <w:dstrike w:val="0"/>
          <w:snapToGrid w:val="0"/>
          <w:color w:val="auto"/>
          <w:kern w:val="0"/>
          <w:sz w:val="24"/>
          <w:highlight w:val="none"/>
          <w:lang w:val="en-US" w:eastAsia="zh-CN"/>
        </w:rPr>
        <w:t>2</w:t>
      </w:r>
      <w:r>
        <w:rPr>
          <w:rFonts w:ascii="宋体" w:hAnsi="宋体"/>
          <w:b/>
          <w:bCs/>
          <w:strike w:val="0"/>
          <w:dstrike w:val="0"/>
          <w:snapToGrid w:val="0"/>
          <w:color w:val="auto"/>
          <w:kern w:val="0"/>
          <w:sz w:val="24"/>
          <w:highlight w:val="none"/>
        </w:rPr>
        <w:t>.</w:t>
      </w:r>
      <w:r>
        <w:rPr>
          <w:rFonts w:hint="eastAsia" w:ascii="宋体" w:hAnsi="宋体"/>
          <w:b/>
          <w:bCs/>
          <w:strike w:val="0"/>
          <w:dstrike w:val="0"/>
          <w:snapToGrid w:val="0"/>
          <w:color w:val="auto"/>
          <w:kern w:val="0"/>
          <w:sz w:val="24"/>
          <w:highlight w:val="none"/>
        </w:rPr>
        <w:t>2设计咨询工程师</w:t>
      </w:r>
    </w:p>
    <w:p>
      <w:pPr>
        <w:adjustRightInd w:val="0"/>
        <w:snapToGrid w:val="0"/>
        <w:spacing w:line="360" w:lineRule="auto"/>
        <w:ind w:firstLine="422" w:firstLineChars="176"/>
        <w:rPr>
          <w:rFonts w:ascii="宋体" w:hAnsi="宋体"/>
          <w:bCs/>
          <w:strike w:val="0"/>
          <w:snapToGrid w:val="0"/>
          <w:color w:val="auto"/>
          <w:kern w:val="0"/>
          <w:sz w:val="24"/>
          <w:highlight w:val="none"/>
        </w:rPr>
      </w:pPr>
      <w:r>
        <w:rPr>
          <w:rFonts w:hint="eastAsia" w:ascii="宋体" w:hAnsi="宋体"/>
          <w:bCs/>
          <w:strike w:val="0"/>
          <w:snapToGrid w:val="0"/>
          <w:color w:val="auto"/>
          <w:kern w:val="0"/>
          <w:sz w:val="24"/>
          <w:highlight w:val="none"/>
        </w:rPr>
        <w:t>（1）基于本工程的复杂性，甲方将聘请专业设计咨询单位对本项目的设计过程实施设计咨询。该单位派驻本项目的代表称为设计咨询工程师。甲方将本合同中约定的自身权利和责任的某一部分委派给设计咨询工程师执行。在实施设计咨询前，甲方须将委托的设计咨询单位名称、设计咨询内容、设计咨询权限、设计咨询工程师的姓名、职务、职权等以书面形式通知乙方。</w:t>
      </w:r>
    </w:p>
    <w:p>
      <w:pPr>
        <w:adjustRightInd w:val="0"/>
        <w:snapToGrid w:val="0"/>
        <w:spacing w:line="360" w:lineRule="auto"/>
        <w:ind w:firstLine="422" w:firstLineChars="176"/>
        <w:rPr>
          <w:rFonts w:ascii="宋体" w:hAnsi="宋体"/>
          <w:bCs/>
          <w:strike w:val="0"/>
          <w:snapToGrid w:val="0"/>
          <w:color w:val="auto"/>
          <w:kern w:val="0"/>
          <w:sz w:val="24"/>
          <w:highlight w:val="none"/>
        </w:rPr>
      </w:pPr>
      <w:r>
        <w:rPr>
          <w:rFonts w:hint="eastAsia" w:ascii="宋体" w:hAnsi="宋体"/>
          <w:bCs/>
          <w:strike w:val="0"/>
          <w:snapToGrid w:val="0"/>
          <w:color w:val="auto"/>
          <w:kern w:val="0"/>
          <w:sz w:val="24"/>
          <w:highlight w:val="none"/>
        </w:rPr>
        <w:t>（2）设计咨询工程师依据设计咨询单位与甲方签订的《设计咨询（管理）合同》或甲方的书面授权行使职权。乙方对设计咨询工程师的指令应当执行，但当设计咨询工程师的指令与甲方的指令相冲突时，应执行甲方的指令。</w:t>
      </w:r>
    </w:p>
    <w:p>
      <w:pPr>
        <w:adjustRightInd w:val="0"/>
        <w:snapToGrid w:val="0"/>
        <w:spacing w:line="360" w:lineRule="auto"/>
        <w:ind w:firstLine="422" w:firstLineChars="176"/>
        <w:rPr>
          <w:rFonts w:ascii="宋体" w:hAnsi="宋体"/>
          <w:bCs/>
          <w:snapToGrid w:val="0"/>
          <w:color w:val="auto"/>
          <w:kern w:val="0"/>
          <w:sz w:val="24"/>
          <w:highlight w:val="none"/>
        </w:rPr>
      </w:pPr>
    </w:p>
    <w:p>
      <w:pPr>
        <w:pStyle w:val="4"/>
        <w:jc w:val="center"/>
        <w:rPr>
          <w:rFonts w:hint="eastAsia"/>
          <w:color w:val="auto"/>
          <w:sz w:val="30"/>
          <w:szCs w:val="30"/>
          <w:highlight w:val="none"/>
        </w:rPr>
      </w:pPr>
      <w:bookmarkStart w:id="43" w:name="_Toc472802269"/>
      <w:bookmarkStart w:id="44" w:name="_Toc81895168"/>
      <w:bookmarkStart w:id="45" w:name="_Toc81802526"/>
      <w:bookmarkStart w:id="46" w:name="_Toc472802270"/>
      <w:r>
        <w:rPr>
          <w:rFonts w:hint="eastAsia"/>
          <w:color w:val="auto"/>
          <w:sz w:val="30"/>
          <w:szCs w:val="30"/>
          <w:highlight w:val="none"/>
        </w:rPr>
        <w:t>第十</w:t>
      </w:r>
      <w:r>
        <w:rPr>
          <w:rFonts w:hint="eastAsia"/>
          <w:color w:val="auto"/>
          <w:sz w:val="30"/>
          <w:szCs w:val="30"/>
          <w:highlight w:val="none"/>
          <w:lang w:eastAsia="zh-CN"/>
        </w:rPr>
        <w:t>二</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甲乙双方的权利和义务</w:t>
      </w:r>
      <w:bookmarkEnd w:id="43"/>
      <w:bookmarkEnd w:id="44"/>
      <w:bookmarkEnd w:id="45"/>
    </w:p>
    <w:p>
      <w:pPr>
        <w:pStyle w:val="6"/>
        <w:spacing w:before="0" w:after="0" w:line="360" w:lineRule="auto"/>
        <w:ind w:firstLine="424" w:firstLineChars="176"/>
        <w:rPr>
          <w:rFonts w:ascii="宋体" w:hAnsi="宋体"/>
          <w:bCs w:val="0"/>
          <w:snapToGrid w:val="0"/>
          <w:color w:val="auto"/>
          <w:kern w:val="0"/>
          <w:sz w:val="24"/>
          <w:szCs w:val="24"/>
          <w:highlight w:val="none"/>
        </w:rPr>
      </w:pPr>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3</w:t>
      </w:r>
      <w:r>
        <w:rPr>
          <w:rFonts w:hint="eastAsia" w:ascii="宋体" w:hAnsi="宋体"/>
          <w:snapToGrid w:val="0"/>
          <w:color w:val="auto"/>
          <w:kern w:val="0"/>
          <w:sz w:val="24"/>
          <w:szCs w:val="24"/>
          <w:highlight w:val="none"/>
        </w:rPr>
        <w:t>、甲方的权利和义务</w:t>
      </w:r>
      <w:bookmarkEnd w:id="46"/>
    </w:p>
    <w:p>
      <w:pPr>
        <w:adjustRightInd w:val="0"/>
        <w:snapToGrid w:val="0"/>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2</w:t>
      </w:r>
      <w:r>
        <w:rPr>
          <w:rFonts w:hint="eastAsia" w:ascii="宋体" w:hAnsi="宋体"/>
          <w:b/>
          <w:snapToGrid w:val="0"/>
          <w:color w:val="auto"/>
          <w:kern w:val="0"/>
          <w:sz w:val="24"/>
          <w:highlight w:val="none"/>
          <w:lang w:val="en-US" w:eastAsia="zh-CN"/>
        </w:rPr>
        <w:t>3</w:t>
      </w:r>
      <w:r>
        <w:rPr>
          <w:rFonts w:hint="eastAsia" w:ascii="宋体" w:hAnsi="宋体"/>
          <w:b/>
          <w:snapToGrid w:val="0"/>
          <w:color w:val="auto"/>
          <w:kern w:val="0"/>
          <w:sz w:val="24"/>
          <w:highlight w:val="none"/>
        </w:rPr>
        <w:t>.1甲方的权利</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（1）享有乙方勘察、设计文件的版权和全部使用权。</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在勘察设计进度、勘察设计质量、指派人员、提供服务、协作等方面义务的履行不符合本合同约定时，甲方有追究违约责任、要求赔偿损失、直至解除合同等权利；同时，甲方还有权将乙方存在的上述违约事实公诸于众和向有关部门反映情况。</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（3）甲方有权聘请具有相应资质等级的单位作为本工程的勘察、设计咨询单位，乙方应接受该单位按照相关勘察、设计法规及规定和甲方赋予的权利所进行的咨询工作。</w:t>
      </w:r>
    </w:p>
    <w:p>
      <w:pPr>
        <w:adjustRightInd w:val="0"/>
        <w:snapToGrid w:val="0"/>
        <w:spacing w:line="360" w:lineRule="auto"/>
        <w:ind w:firstLine="422" w:firstLineChars="17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（4）合同履行过程中，甲方有权随时发函约见乙方的法定代表人，并要求法定代表人对本勘察设计项目进行协调及安排工作，直至勘察设计保质、保量顺利推进。</w:t>
      </w:r>
    </w:p>
    <w:p>
      <w:pPr>
        <w:adjustRightInd w:val="0"/>
        <w:snapToGrid w:val="0"/>
        <w:spacing w:line="360" w:lineRule="auto"/>
        <w:ind w:firstLine="422" w:firstLineChars="176"/>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5</w:t>
      </w:r>
      <w:r>
        <w:rPr>
          <w:rFonts w:hint="eastAsia" w:ascii="宋体" w:hAnsi="宋体"/>
          <w:snapToGrid w:val="0"/>
          <w:color w:val="auto"/>
          <w:kern w:val="0"/>
          <w:sz w:val="24"/>
          <w:highlight w:val="none"/>
        </w:rPr>
        <w:t>）勘察、设计变更的审批权，勘察、设计进度的监督权。</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w:t>
      </w:r>
      <w:r>
        <w:rPr>
          <w:rFonts w:ascii="宋体" w:hAnsi="宋体"/>
          <w:snapToGrid w:val="0"/>
          <w:color w:val="auto"/>
          <w:kern w:val="0"/>
          <w:sz w:val="24"/>
          <w:highlight w:val="none"/>
        </w:rPr>
        <w:t>6</w:t>
      </w:r>
      <w:r>
        <w:rPr>
          <w:rFonts w:hint="eastAsia" w:ascii="宋体" w:hAnsi="宋体"/>
          <w:snapToGrid w:val="0"/>
          <w:color w:val="auto"/>
          <w:kern w:val="0"/>
          <w:sz w:val="24"/>
          <w:highlight w:val="none"/>
        </w:rPr>
        <w:t>）其他依据合同和法律规定属于甲方的权利。</w:t>
      </w:r>
    </w:p>
    <w:p>
      <w:pPr>
        <w:adjustRightInd w:val="0"/>
        <w:snapToGrid w:val="0"/>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2</w:t>
      </w:r>
      <w:r>
        <w:rPr>
          <w:rFonts w:hint="eastAsia" w:ascii="宋体" w:hAnsi="宋体"/>
          <w:b/>
          <w:snapToGrid w:val="0"/>
          <w:color w:val="auto"/>
          <w:kern w:val="0"/>
          <w:sz w:val="24"/>
          <w:highlight w:val="none"/>
          <w:lang w:val="en-US" w:eastAsia="zh-CN"/>
        </w:rPr>
        <w:t>3</w:t>
      </w:r>
      <w:r>
        <w:rPr>
          <w:rFonts w:hint="eastAsia" w:ascii="宋体" w:hAnsi="宋体"/>
          <w:b/>
          <w:snapToGrid w:val="0"/>
          <w:color w:val="auto"/>
          <w:kern w:val="0"/>
          <w:sz w:val="24"/>
          <w:highlight w:val="none"/>
        </w:rPr>
        <w:t>.2甲方的义务</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（1）按本合同约定及时向乙方提供有关资料及文件，甲方提供的资料及文件具体如下：</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val="en-US" w:eastAsia="zh-CN"/>
        </w:rPr>
        <w:t>1</w:t>
      </w:r>
      <w:r>
        <w:rPr>
          <w:rFonts w:hint="eastAsia" w:ascii="宋体" w:hAnsi="宋体"/>
          <w:snapToGrid w:val="0"/>
          <w:color w:val="auto"/>
          <w:kern w:val="0"/>
          <w:sz w:val="24"/>
          <w:highlight w:val="none"/>
        </w:rPr>
        <w:t>）初步设计阶段提供的资料</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① </w:t>
      </w:r>
      <w:r>
        <w:rPr>
          <w:rFonts w:hint="eastAsia" w:ascii="宋体" w:hAnsi="宋体"/>
          <w:snapToGrid w:val="0"/>
          <w:color w:val="auto"/>
          <w:kern w:val="0"/>
          <w:sz w:val="24"/>
          <w:highlight w:val="none"/>
          <w:lang w:val="en-US" w:eastAsia="zh-CN"/>
        </w:rPr>
        <w:t>初步设计任务书</w:t>
      </w:r>
      <w:r>
        <w:rPr>
          <w:rFonts w:hint="eastAsia" w:ascii="宋体" w:hAnsi="宋体"/>
          <w:snapToGrid w:val="0"/>
          <w:color w:val="auto"/>
          <w:kern w:val="0"/>
          <w:sz w:val="24"/>
          <w:highlight w:val="none"/>
        </w:rPr>
        <w:t>；</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② 政府部门、职能部门的审批意见；</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③ 政府或甲方委托（或组织）的评审机构（会议）提出的阶段性书面意见；</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④ 双方来往的各类书面文件、会议纪要等。</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lang w:val="en-US" w:eastAsia="zh-CN"/>
        </w:rPr>
        <w:t>2</w:t>
      </w:r>
      <w:r>
        <w:rPr>
          <w:rFonts w:hint="eastAsia" w:ascii="宋体" w:hAnsi="宋体"/>
          <w:snapToGrid w:val="0"/>
          <w:color w:val="auto"/>
          <w:kern w:val="0"/>
          <w:sz w:val="24"/>
          <w:highlight w:val="none"/>
        </w:rPr>
        <w:t>）提供与勘察相关的文件、资料</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① </w:t>
      </w:r>
      <w:r>
        <w:rPr>
          <w:rFonts w:ascii="宋体" w:hAnsi="宋体"/>
          <w:snapToGrid w:val="0"/>
          <w:color w:val="auto"/>
          <w:kern w:val="0"/>
          <w:sz w:val="24"/>
          <w:highlight w:val="none"/>
        </w:rPr>
        <w:t>勘察</w:t>
      </w:r>
      <w:r>
        <w:rPr>
          <w:rFonts w:hint="eastAsia" w:ascii="宋体" w:hAnsi="宋体"/>
          <w:snapToGrid w:val="0"/>
          <w:color w:val="auto"/>
          <w:kern w:val="0"/>
          <w:sz w:val="24"/>
          <w:highlight w:val="none"/>
        </w:rPr>
        <w:t>任务书；</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② </w:t>
      </w:r>
      <w:r>
        <w:rPr>
          <w:rFonts w:ascii="宋体" w:hAnsi="宋体"/>
          <w:snapToGrid w:val="0"/>
          <w:color w:val="auto"/>
          <w:kern w:val="0"/>
          <w:sz w:val="24"/>
          <w:highlight w:val="none"/>
        </w:rPr>
        <w:t>本工程勘察许可等批</w:t>
      </w:r>
      <w:r>
        <w:rPr>
          <w:rFonts w:hint="eastAsia" w:ascii="宋体" w:hAnsi="宋体"/>
          <w:snapToGrid w:val="0"/>
          <w:color w:val="auto"/>
          <w:kern w:val="0"/>
          <w:sz w:val="24"/>
          <w:highlight w:val="none"/>
        </w:rPr>
        <w:t>文</w:t>
      </w:r>
      <w:r>
        <w:rPr>
          <w:rFonts w:ascii="宋体" w:hAnsi="宋体"/>
          <w:snapToGrid w:val="0"/>
          <w:color w:val="auto"/>
          <w:kern w:val="0"/>
          <w:sz w:val="24"/>
          <w:highlight w:val="none"/>
        </w:rPr>
        <w:t>（复印件）</w:t>
      </w:r>
      <w:r>
        <w:rPr>
          <w:rFonts w:hint="eastAsia" w:ascii="宋体" w:hAnsi="宋体"/>
          <w:snapToGrid w:val="0"/>
          <w:color w:val="auto"/>
          <w:kern w:val="0"/>
          <w:sz w:val="24"/>
          <w:highlight w:val="none"/>
        </w:rPr>
        <w:t>；</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③ 本合同约定项目的基础资料，包括用地红线坐标（表）；</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④ 勘察</w:t>
      </w:r>
      <w:r>
        <w:rPr>
          <w:rFonts w:ascii="宋体" w:hAnsi="宋体"/>
          <w:snapToGrid w:val="0"/>
          <w:color w:val="auto"/>
          <w:kern w:val="0"/>
          <w:sz w:val="24"/>
          <w:highlight w:val="none"/>
        </w:rPr>
        <w:t>范围的总平面图</w:t>
      </w:r>
      <w:r>
        <w:rPr>
          <w:rFonts w:hint="eastAsia" w:ascii="宋体" w:hAnsi="宋体"/>
          <w:snapToGrid w:val="0"/>
          <w:color w:val="auto"/>
          <w:kern w:val="0"/>
          <w:sz w:val="24"/>
          <w:highlight w:val="none"/>
        </w:rPr>
        <w:t>（如有），勘察</w:t>
      </w:r>
      <w:r>
        <w:rPr>
          <w:rFonts w:ascii="宋体" w:hAnsi="宋体"/>
          <w:snapToGrid w:val="0"/>
          <w:color w:val="auto"/>
          <w:kern w:val="0"/>
          <w:sz w:val="24"/>
          <w:highlight w:val="none"/>
        </w:rPr>
        <w:t>技术要求</w:t>
      </w:r>
      <w:r>
        <w:rPr>
          <w:rFonts w:hint="eastAsia" w:ascii="宋体" w:hAnsi="宋体"/>
          <w:snapToGrid w:val="0"/>
          <w:color w:val="auto"/>
          <w:kern w:val="0"/>
          <w:sz w:val="24"/>
          <w:highlight w:val="none"/>
        </w:rPr>
        <w:t>；</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⑤ 甲方关于设计、图档、图文、工程等相关管理办法；</w:t>
      </w:r>
    </w:p>
    <w:p>
      <w:pPr>
        <w:adjustRightInd w:val="0"/>
        <w:snapToGrid w:val="0"/>
        <w:spacing w:line="360" w:lineRule="auto"/>
        <w:ind w:left="210" w:leftChars="100"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⑥ 设计和建设过程中的政府审批意见，政府或甲方委托（或组织）的评审机构（会议）提出的或甲方发出的阶段性书面意见，双方来往的各类书面文件、会议纪要等。</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（2）按本合同约定按时支付勘察、设计费。</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（3）甲方变更委托勘察、设计项目、规模、条件或所提交资料作较大修改，以致造成乙方勘察、设计返工时，双方应酌情签订补充协议。</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（4）工程实施前，若甲方负责提供材料的，应根据乙方提出的工程用料计划，按时提供各种材料及其产品合格证明，派人与乙方的人员一起验收。</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（5）按本合同约定的勘察、设计进度和阶段及时将乙方提交的所有勘察、设计文件转送相关部门审批，并根据时间表的规定将必要的审批件交付乙方。</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（6）甲方要求乙方比合同约定时间提前交付勘察、设计文件时，须征得乙方同意，并不得严重背离合理勘察、设计周期。</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（7）甲方及设计咨询单位在收到乙方有关勘察、设计问题的函件后，应在5个工作日内给予书面答复，每次勘察、设计会议纪要应在该次会议结束后两日内书面交付乙方。</w:t>
      </w:r>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47" w:name="_Toc472802271"/>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4</w:t>
      </w:r>
      <w:r>
        <w:rPr>
          <w:rFonts w:hint="eastAsia" w:ascii="宋体" w:hAnsi="宋体"/>
          <w:snapToGrid w:val="0"/>
          <w:color w:val="auto"/>
          <w:kern w:val="0"/>
          <w:sz w:val="24"/>
          <w:szCs w:val="24"/>
          <w:highlight w:val="none"/>
        </w:rPr>
        <w:t>、乙方的权利和义务</w:t>
      </w:r>
      <w:bookmarkEnd w:id="47"/>
    </w:p>
    <w:p>
      <w:pPr>
        <w:adjustRightInd w:val="0"/>
        <w:snapToGrid w:val="0"/>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2</w:t>
      </w:r>
      <w:r>
        <w:rPr>
          <w:rFonts w:hint="eastAsia" w:ascii="宋体" w:hAnsi="宋体"/>
          <w:b/>
          <w:snapToGrid w:val="0"/>
          <w:color w:val="auto"/>
          <w:kern w:val="0"/>
          <w:sz w:val="24"/>
          <w:highlight w:val="none"/>
          <w:lang w:val="en-US" w:eastAsia="zh-CN"/>
        </w:rPr>
        <w:t>4</w:t>
      </w:r>
      <w:r>
        <w:rPr>
          <w:rFonts w:hint="eastAsia" w:ascii="宋体" w:hAnsi="宋体"/>
          <w:b/>
          <w:snapToGrid w:val="0"/>
          <w:color w:val="auto"/>
          <w:kern w:val="0"/>
          <w:sz w:val="24"/>
          <w:highlight w:val="none"/>
        </w:rPr>
        <w:t>.1乙方的权利</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（1）根据合同约定收取勘察费、设计费。</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（2）拥有勘察、设计成果文件的署名权。</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（3）设计方案、图纸未审批之前，在不影响工期及合同约定的提交成果文件的时间的情况下，有权提出修改方案、图纸的建议。</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（4）有权依据甲方的意图和本工程勘察、设计工作进展情况指令各专业勘察、设计单位按时、按质、按量完成本合同专项工程的勘察、设计工作。</w:t>
      </w:r>
    </w:p>
    <w:p>
      <w:pPr>
        <w:adjustRightInd w:val="0"/>
        <w:snapToGrid w:val="0"/>
        <w:spacing w:line="360" w:lineRule="auto"/>
        <w:ind w:firstLine="424" w:firstLineChars="176"/>
        <w:rPr>
          <w:rFonts w:ascii="宋体" w:hAnsi="宋体"/>
          <w:b/>
          <w:snapToGrid w:val="0"/>
          <w:color w:val="auto"/>
          <w:kern w:val="0"/>
          <w:sz w:val="24"/>
          <w:highlight w:val="none"/>
        </w:rPr>
      </w:pPr>
      <w:r>
        <w:rPr>
          <w:rFonts w:hint="eastAsia" w:ascii="宋体" w:hAnsi="宋体"/>
          <w:b/>
          <w:snapToGrid w:val="0"/>
          <w:color w:val="auto"/>
          <w:kern w:val="0"/>
          <w:sz w:val="24"/>
          <w:highlight w:val="none"/>
        </w:rPr>
        <w:t>2</w:t>
      </w:r>
      <w:r>
        <w:rPr>
          <w:rFonts w:hint="eastAsia" w:ascii="宋体" w:hAnsi="宋体"/>
          <w:b/>
          <w:snapToGrid w:val="0"/>
          <w:color w:val="auto"/>
          <w:kern w:val="0"/>
          <w:sz w:val="24"/>
          <w:highlight w:val="none"/>
          <w:lang w:val="en-US" w:eastAsia="zh-CN"/>
        </w:rPr>
        <w:t>4</w:t>
      </w:r>
      <w:r>
        <w:rPr>
          <w:rFonts w:hint="eastAsia" w:ascii="宋体" w:hAnsi="宋体"/>
          <w:b/>
          <w:snapToGrid w:val="0"/>
          <w:color w:val="auto"/>
          <w:kern w:val="0"/>
          <w:sz w:val="24"/>
          <w:highlight w:val="none"/>
        </w:rPr>
        <w:t>.2乙方的义务</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乙方除按照本合同约定完成勘察、设计工作外，乙方的义务还包括但不限于：</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在勘察、设计及施工过程中，乙方应充分尊重和理解甲方、代表甲方的设计咨询单位对勘察、设计提出的书面意见与要求，如无充分的否定理由应尽快予以处理和实施。对合同没有约定的部分和没有描述的部分，双方应另行协商。</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（2）在勘察、设计各阶段，乙方应根据甲方或有权审批部门的意见，及时修改、完善勘察、设计文件，负责完成由于勘察、设计失误未获有权审核部门批准而出现的反复修改的工作。</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（3）乙方不享有对勘察、设计文件的留置权，由乙方或其分包单位完成的勘察、设计文件应依据本合同约定的时间提交给甲方的，不论乙方与其分包单位有何种约定或分工，均不得拒绝或拖延向甲方提交。</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（4）乙方应加强对勘察、设计和管理服务人员职业操守的教育，恪守职业道德守则，并严格遵守下列规定：</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1）严防重产值、轻质量倾向，确保公众人身及财产安全；</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2）禁止向甲方及施工单位推销材料、设备，或以倾向性、排他性设计变相推销；</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3）禁止与材料、设备供应商串通，设计中选用价高质次的材料、设备；</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4）禁止与材料、设备供应商串通，在材料、设备的监造或调试过程中对不合格材料、设备产品进行包庇或以次充好，提高产品验收级别；</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5）禁止与施工单位串通，对不合格材料、设备、产品、工程进行包庇及验收；</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6）禁止与施工单位串通，对材料用量、工程量进行虚假签认；</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7）禁止与施工单位串通，不合理提高施工难度及增加材料用量，以增大施工费用，获取不正当收益。</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凡违背以上规定者，一经查实，甲方有权向有关部门反映情况，追究乙方及有关责任人相关责任，要求赔偿相关损失，并将上述违反职业道德的行为通过新闻媒体公诸于众，情节严重者移交司法机关追究法律责任。</w:t>
      </w:r>
    </w:p>
    <w:p>
      <w:pPr>
        <w:adjustRightInd w:val="0"/>
        <w:snapToGrid w:val="0"/>
        <w:spacing w:line="360" w:lineRule="auto"/>
        <w:ind w:firstLine="422" w:firstLineChars="176"/>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（5）现场勘察所需的临水、临电由乙方自行解决，甲方可以予以协助，所需费用乙方自行负责。乙方在现场的勘察工作，其安全文明措施除受甲方监督管</w:t>
      </w:r>
      <w:r>
        <w:rPr>
          <w:rFonts w:hint="eastAsia" w:ascii="宋体" w:hAnsi="宋体"/>
          <w:bCs/>
          <w:snapToGrid w:val="0"/>
          <w:color w:val="auto"/>
          <w:kern w:val="0"/>
          <w:sz w:val="24"/>
          <w:highlight w:val="none"/>
          <w:lang w:val="en-US" w:eastAsia="zh-CN"/>
        </w:rPr>
        <w:t>理</w:t>
      </w:r>
      <w:r>
        <w:rPr>
          <w:rFonts w:hint="eastAsia" w:ascii="宋体" w:hAnsi="宋体"/>
          <w:bCs/>
          <w:snapToGrid w:val="0"/>
          <w:color w:val="auto"/>
          <w:kern w:val="0"/>
          <w:sz w:val="24"/>
          <w:highlight w:val="none"/>
        </w:rPr>
        <w:t>，如安全文明施工不满足造成需罚款的，由乙方自行承担费用。</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7）乙方应至少为本项目配备一辆7座商务车用于交通保障，专门用于项目现场勘察、设计协调会议、施工配合、办理规划报建等工作。该车辆使用时间从合同签订之日起至合同服务期满之日止，相关费用均包括在合同价款中，甲方不另行支付。</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（8）其他依据法律规定和本合同约定应由乙方履行的义务。</w:t>
      </w:r>
    </w:p>
    <w:p>
      <w:pPr>
        <w:pStyle w:val="4"/>
        <w:jc w:val="center"/>
        <w:rPr>
          <w:rFonts w:hint="eastAsia"/>
          <w:color w:val="auto"/>
          <w:sz w:val="30"/>
          <w:szCs w:val="30"/>
          <w:highlight w:val="none"/>
        </w:rPr>
      </w:pPr>
      <w:bookmarkStart w:id="48" w:name="_Toc472802272"/>
      <w:r>
        <w:rPr>
          <w:rFonts w:hint="eastAsia"/>
          <w:color w:val="auto"/>
          <w:sz w:val="30"/>
          <w:szCs w:val="30"/>
          <w:highlight w:val="none"/>
        </w:rPr>
        <w:t>第十</w:t>
      </w:r>
      <w:r>
        <w:rPr>
          <w:rFonts w:hint="eastAsia"/>
          <w:color w:val="auto"/>
          <w:sz w:val="30"/>
          <w:szCs w:val="30"/>
          <w:highlight w:val="none"/>
          <w:lang w:eastAsia="zh-CN"/>
        </w:rPr>
        <w:t>三</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违约责任</w:t>
      </w:r>
      <w:bookmarkEnd w:id="48"/>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49" w:name="_Toc472802273"/>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5</w:t>
      </w:r>
      <w:r>
        <w:rPr>
          <w:rFonts w:hint="eastAsia" w:ascii="宋体" w:hAnsi="宋体"/>
          <w:snapToGrid w:val="0"/>
          <w:color w:val="auto"/>
          <w:kern w:val="0"/>
          <w:sz w:val="24"/>
          <w:szCs w:val="24"/>
          <w:highlight w:val="none"/>
        </w:rPr>
        <w:t>、甲方的违约责任</w:t>
      </w:r>
      <w:bookmarkEnd w:id="49"/>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5</w:t>
      </w:r>
      <w:r>
        <w:rPr>
          <w:rFonts w:hint="eastAsia"/>
          <w:b/>
          <w:snapToGrid w:val="0"/>
          <w:color w:val="auto"/>
          <w:highlight w:val="none"/>
        </w:rPr>
        <w:t>.1</w:t>
      </w:r>
      <w:r>
        <w:rPr>
          <w:snapToGrid w:val="0"/>
          <w:color w:val="auto"/>
          <w:highlight w:val="none"/>
        </w:rPr>
        <w:t>本合同生效后，甲方</w:t>
      </w:r>
      <w:r>
        <w:rPr>
          <w:rFonts w:hint="eastAsia"/>
          <w:snapToGrid w:val="0"/>
          <w:color w:val="auto"/>
          <w:highlight w:val="none"/>
        </w:rPr>
        <w:t>无正当理由</w:t>
      </w:r>
      <w:r>
        <w:rPr>
          <w:snapToGrid w:val="0"/>
          <w:color w:val="auto"/>
          <w:highlight w:val="none"/>
        </w:rPr>
        <w:t>不按</w:t>
      </w:r>
      <w:r>
        <w:rPr>
          <w:rFonts w:hint="eastAsia"/>
          <w:snapToGrid w:val="0"/>
          <w:color w:val="auto"/>
          <w:highlight w:val="none"/>
        </w:rPr>
        <w:t>合同约定</w:t>
      </w:r>
      <w:r>
        <w:rPr>
          <w:snapToGrid w:val="0"/>
          <w:color w:val="auto"/>
          <w:highlight w:val="none"/>
        </w:rPr>
        <w:t>支付定金的，</w:t>
      </w:r>
      <w:r>
        <w:rPr>
          <w:rFonts w:hint="eastAsia"/>
          <w:snapToGrid w:val="0"/>
          <w:color w:val="auto"/>
          <w:highlight w:val="none"/>
        </w:rPr>
        <w:t>乙方有权解除合同</w:t>
      </w:r>
      <w:r>
        <w:rPr>
          <w:snapToGrid w:val="0"/>
          <w:color w:val="auto"/>
          <w:highlight w:val="none"/>
        </w:rPr>
        <w:t>。</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5</w:t>
      </w:r>
      <w:r>
        <w:rPr>
          <w:rFonts w:hint="eastAsia"/>
          <w:b/>
          <w:snapToGrid w:val="0"/>
          <w:color w:val="auto"/>
          <w:highlight w:val="none"/>
        </w:rPr>
        <w:t>.2</w:t>
      </w:r>
      <w:r>
        <w:rPr>
          <w:rFonts w:hint="eastAsia"/>
          <w:snapToGrid w:val="0"/>
          <w:color w:val="auto"/>
          <w:highlight w:val="none"/>
        </w:rPr>
        <w:t>本工程勘察设计的支付方式将按《南沙开发区基本建设项目财政资金集中支付暂行办法》（下称《暂行办法》）的有关规定执行。</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5</w:t>
      </w:r>
      <w:r>
        <w:rPr>
          <w:rFonts w:hint="eastAsia"/>
          <w:b/>
          <w:snapToGrid w:val="0"/>
          <w:color w:val="auto"/>
          <w:highlight w:val="none"/>
        </w:rPr>
        <w:t>.3</w:t>
      </w:r>
      <w:r>
        <w:rPr>
          <w:rFonts w:hint="eastAsia"/>
          <w:snapToGrid w:val="0"/>
          <w:color w:val="auto"/>
          <w:highlight w:val="none"/>
        </w:rPr>
        <w:t>甲方违约给乙方造成损失的，在乙方能够提交足够证据并经查证属实的情况下，甲方应赔偿其直接经济损失。</w:t>
      </w:r>
    </w:p>
    <w:p>
      <w:pPr>
        <w:pStyle w:val="6"/>
        <w:spacing w:before="0" w:after="0" w:line="360" w:lineRule="auto"/>
        <w:ind w:firstLine="424" w:firstLineChars="176"/>
        <w:rPr>
          <w:rFonts w:ascii="宋体" w:hAnsi="宋体"/>
          <w:bCs w:val="0"/>
          <w:snapToGrid w:val="0"/>
          <w:color w:val="auto"/>
          <w:kern w:val="0"/>
          <w:sz w:val="24"/>
          <w:szCs w:val="24"/>
          <w:highlight w:val="none"/>
        </w:rPr>
      </w:pPr>
      <w:bookmarkStart w:id="50" w:name="_Toc472802274"/>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6</w:t>
      </w:r>
      <w:r>
        <w:rPr>
          <w:rFonts w:hint="eastAsia" w:ascii="宋体" w:hAnsi="宋体"/>
          <w:snapToGrid w:val="0"/>
          <w:color w:val="auto"/>
          <w:kern w:val="0"/>
          <w:sz w:val="24"/>
          <w:szCs w:val="24"/>
          <w:highlight w:val="none"/>
        </w:rPr>
        <w:t>、乙方的违约责任</w:t>
      </w:r>
      <w:bookmarkEnd w:id="50"/>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.1</w:t>
      </w:r>
      <w:r>
        <w:rPr>
          <w:rFonts w:hint="eastAsia"/>
          <w:snapToGrid w:val="0"/>
          <w:color w:val="auto"/>
          <w:highlight w:val="none"/>
        </w:rPr>
        <w:t>乙方承担违约责任的方式包括但不限于：</w:t>
      </w:r>
    </w:p>
    <w:p>
      <w:pPr>
        <w:pStyle w:val="51"/>
        <w:adjustRightInd w:val="0"/>
        <w:snapToGrid w:val="0"/>
        <w:spacing w:before="0" w:beforeAutospacing="0" w:after="0" w:afterAutospacing="0" w:line="360" w:lineRule="auto"/>
        <w:rPr>
          <w:rFonts w:hint="eastAsia"/>
          <w:snapToGrid w:val="0"/>
          <w:color w:val="auto"/>
          <w:highlight w:val="none"/>
        </w:rPr>
      </w:pPr>
      <w:r>
        <w:rPr>
          <w:rFonts w:hint="eastAsia"/>
          <w:b/>
          <w:snapToGrid w:val="0"/>
          <w:color w:val="auto"/>
          <w:highlight w:val="none"/>
        </w:rPr>
        <w:t xml:space="preserve">    </w:t>
      </w:r>
      <w:r>
        <w:rPr>
          <w:rFonts w:hint="eastAsia"/>
          <w:snapToGrid w:val="0"/>
          <w:color w:val="auto"/>
          <w:highlight w:val="none"/>
        </w:rPr>
        <w:t>（1）一般违约责任。乙方违反本合同的约定须承担一般违约责任时，必须向甲方交纳违约金</w:t>
      </w:r>
      <w:r>
        <w:rPr>
          <w:rFonts w:hint="eastAsia"/>
          <w:snapToGrid w:val="0"/>
          <w:color w:val="auto"/>
          <w:highlight w:val="none"/>
          <w:u w:val="single"/>
        </w:rPr>
        <w:t>(□  3000元</w:t>
      </w:r>
      <w:r>
        <w:rPr>
          <w:rFonts w:hint="eastAsia"/>
          <w:bCs/>
          <w:snapToGrid w:val="0"/>
          <w:color w:val="auto"/>
          <w:highlight w:val="none"/>
          <w:u w:val="single"/>
        </w:rPr>
        <w:t>/次，</w:t>
      </w:r>
      <w:r>
        <w:rPr>
          <w:rFonts w:hint="eastAsia"/>
          <w:snapToGrid w:val="0"/>
          <w:color w:val="auto"/>
          <w:highlight w:val="none"/>
          <w:u w:val="single"/>
        </w:rPr>
        <w:t>□  5000元</w:t>
      </w:r>
      <w:r>
        <w:rPr>
          <w:rFonts w:hint="eastAsia"/>
          <w:bCs/>
          <w:snapToGrid w:val="0"/>
          <w:color w:val="auto"/>
          <w:highlight w:val="none"/>
          <w:u w:val="single"/>
        </w:rPr>
        <w:t>/次，</w:t>
      </w:r>
      <w:r>
        <w:rPr>
          <w:rFonts w:hint="eastAsia"/>
          <w:snapToGrid w:val="0"/>
          <w:color w:val="auto"/>
          <w:sz w:val="18"/>
          <w:szCs w:val="18"/>
          <w:highlight w:val="none"/>
          <w:u w:val="single"/>
          <w:bdr w:val="single" w:color="auto" w:sz="4" w:space="0"/>
        </w:rPr>
        <w:t>√</w:t>
      </w:r>
      <w:r>
        <w:rPr>
          <w:rFonts w:hint="eastAsia"/>
          <w:snapToGrid w:val="0"/>
          <w:color w:val="auto"/>
          <w:sz w:val="18"/>
          <w:szCs w:val="18"/>
          <w:highlight w:val="none"/>
          <w:u w:val="single"/>
        </w:rPr>
        <w:t xml:space="preserve">  </w:t>
      </w:r>
      <w:r>
        <w:rPr>
          <w:rFonts w:hint="eastAsia"/>
          <w:snapToGrid w:val="0"/>
          <w:color w:val="auto"/>
          <w:highlight w:val="none"/>
          <w:u w:val="single"/>
        </w:rPr>
        <w:t>10000元</w:t>
      </w:r>
      <w:r>
        <w:rPr>
          <w:rFonts w:hint="eastAsia"/>
          <w:bCs/>
          <w:snapToGrid w:val="0"/>
          <w:color w:val="auto"/>
          <w:highlight w:val="none"/>
          <w:u w:val="single"/>
        </w:rPr>
        <w:t>/次)</w:t>
      </w:r>
      <w:r>
        <w:rPr>
          <w:rFonts w:hint="eastAsia"/>
          <w:snapToGrid w:val="0"/>
          <w:color w:val="auto"/>
          <w:highlight w:val="none"/>
          <w:u w:val="single"/>
        </w:rPr>
        <w:t>。</w:t>
      </w:r>
    </w:p>
    <w:p>
      <w:pPr>
        <w:pStyle w:val="51"/>
        <w:adjustRightInd w:val="0"/>
        <w:snapToGrid w:val="0"/>
        <w:spacing w:before="0" w:beforeAutospacing="0" w:after="0" w:afterAutospacing="0" w:line="360" w:lineRule="auto"/>
        <w:rPr>
          <w:rFonts w:hint="eastAsia"/>
          <w:snapToGrid w:val="0"/>
          <w:color w:val="auto"/>
          <w:highlight w:val="none"/>
        </w:rPr>
      </w:pPr>
      <w:r>
        <w:rPr>
          <w:rFonts w:hint="eastAsia"/>
          <w:snapToGrid w:val="0"/>
          <w:color w:val="auto"/>
          <w:highlight w:val="none"/>
        </w:rPr>
        <w:t xml:space="preserve">    （2）严重违约责任。乙方违反本合同的约定须承担严重违约责任时，必须向甲方交纳违约金</w:t>
      </w:r>
      <w:r>
        <w:rPr>
          <w:rFonts w:hint="eastAsia"/>
          <w:snapToGrid w:val="0"/>
          <w:color w:val="auto"/>
          <w:highlight w:val="none"/>
          <w:u w:val="single"/>
        </w:rPr>
        <w:t>(□  10000元/次，□  20000元/次，</w:t>
      </w:r>
      <w:r>
        <w:rPr>
          <w:rFonts w:hint="eastAsia"/>
          <w:snapToGrid w:val="0"/>
          <w:color w:val="auto"/>
          <w:sz w:val="18"/>
          <w:szCs w:val="18"/>
          <w:highlight w:val="none"/>
          <w:u w:val="single"/>
          <w:bdr w:val="single" w:color="auto" w:sz="4" w:space="0"/>
        </w:rPr>
        <w:t>√</w:t>
      </w:r>
      <w:r>
        <w:rPr>
          <w:rFonts w:hint="eastAsia"/>
          <w:snapToGrid w:val="0"/>
          <w:color w:val="auto"/>
          <w:sz w:val="18"/>
          <w:szCs w:val="18"/>
          <w:highlight w:val="none"/>
          <w:u w:val="single"/>
        </w:rPr>
        <w:t xml:space="preserve"> </w:t>
      </w:r>
      <w:r>
        <w:rPr>
          <w:rFonts w:hint="eastAsia"/>
          <w:snapToGrid w:val="0"/>
          <w:color w:val="auto"/>
          <w:highlight w:val="none"/>
          <w:u w:val="single"/>
        </w:rPr>
        <w:t xml:space="preserve">  30000元/次)。</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（3）赔偿损失。</w:t>
      </w:r>
      <w:r>
        <w:rPr>
          <w:rFonts w:hint="eastAsia"/>
          <w:bCs/>
          <w:snapToGrid w:val="0"/>
          <w:color w:val="auto"/>
          <w:highlight w:val="none"/>
        </w:rPr>
        <w:t>因乙方原因造成甲方经济损失的，乙方应赔偿甲方的经济损失</w:t>
      </w:r>
      <w:r>
        <w:rPr>
          <w:rFonts w:hint="eastAsia"/>
          <w:snapToGrid w:val="0"/>
          <w:color w:val="auto"/>
          <w:highlight w:val="none"/>
        </w:rPr>
        <w:t>。</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（4）部分解除合同。</w:t>
      </w:r>
      <w:r>
        <w:rPr>
          <w:rFonts w:hint="eastAsia"/>
          <w:bCs/>
          <w:snapToGrid w:val="0"/>
          <w:color w:val="auto"/>
          <w:highlight w:val="none"/>
        </w:rPr>
        <w:t>当乙方违反本合同的约定达到部分解除合同的条件时，甲方有权向乙方发出部分解除合同的书面通知，该通知在送达乙方时立即生效。</w:t>
      </w:r>
      <w:r>
        <w:rPr>
          <w:rFonts w:hint="eastAsia"/>
          <w:snapToGrid w:val="0"/>
          <w:color w:val="auto"/>
          <w:highlight w:val="none"/>
        </w:rPr>
        <w:t>乙方应在该通知生效之日起五天内向甲方支付本合同价款5%的违约金，违约金不足以弥补甲方全部损失的，乙方还应予以赔偿</w:t>
      </w:r>
      <w:r>
        <w:rPr>
          <w:rFonts w:hint="eastAsia"/>
          <w:bCs/>
          <w:snapToGrid w:val="0"/>
          <w:color w:val="auto"/>
          <w:highlight w:val="none"/>
        </w:rPr>
        <w:t>。同时，</w:t>
      </w:r>
      <w:r>
        <w:rPr>
          <w:rFonts w:hint="eastAsia"/>
          <w:snapToGrid w:val="0"/>
          <w:color w:val="auto"/>
          <w:highlight w:val="none"/>
        </w:rPr>
        <w:t>乙方必须在通知生效之日起三天内停止被解除部分的工作，通知生效之日起五天内配合甲方完成现场工作和有关资料的交接，所交接资料必须完整且满足甲方要求。乙方无特殊原因未在规定期限内完成交接和离场，或交接资料不完整或不满足甲方要求的，甲方有权视情况解除合同。若因乙方拒交或延误交接现场工作和有关资料而引致甲方工期延误及其他方面的损失，乙方必须按甲方的要求赔偿。</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（5）解除合同。</w:t>
      </w:r>
      <w:r>
        <w:rPr>
          <w:rFonts w:hint="eastAsia"/>
          <w:bCs/>
          <w:snapToGrid w:val="0"/>
          <w:color w:val="auto"/>
          <w:highlight w:val="none"/>
        </w:rPr>
        <w:t>当乙方违反本合同的约定符合解除合同的条件时，甲方有权向乙方发出解除合同的书面通知，该通知在送达乙方时立即生效。</w:t>
      </w:r>
      <w:r>
        <w:rPr>
          <w:rFonts w:hint="eastAsia"/>
          <w:snapToGrid w:val="0"/>
          <w:color w:val="auto"/>
          <w:highlight w:val="none"/>
        </w:rPr>
        <w:t>乙方应在该通知生效之日起五天内双倍返还定金，给甲方造成损失的，乙方应赔偿甲方的全部损失。</w:t>
      </w:r>
      <w:r>
        <w:rPr>
          <w:rFonts w:hint="eastAsia"/>
          <w:bCs/>
          <w:snapToGrid w:val="0"/>
          <w:color w:val="auto"/>
          <w:highlight w:val="none"/>
        </w:rPr>
        <w:t>同时，</w:t>
      </w:r>
      <w:r>
        <w:rPr>
          <w:rFonts w:hint="eastAsia"/>
          <w:snapToGrid w:val="0"/>
          <w:color w:val="auto"/>
          <w:highlight w:val="none"/>
        </w:rPr>
        <w:t>乙方必须在通知生效之日起三天内停止全部工作，通知生效之日起五天内配合甲方完成现场工作和有关资料的交接，并于完成交接工作当天内离场。乙方应保证所移交的资料齐全完整且满足甲方要求，乙方未在规定期限内完成交接和离场或所移交的资料不完整的，引致甲方工期延误和其他方面的损失，甲方有权要求乙方赔偿。</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（6）乙方按本合同约定应缴纳的违约金和赔偿金应分别计算。违约金累计总额不超过本合同结算价款的</w:t>
      </w:r>
      <w:r>
        <w:rPr>
          <w:snapToGrid w:val="0"/>
          <w:color w:val="auto"/>
          <w:highlight w:val="none"/>
        </w:rPr>
        <w:t>25%</w:t>
      </w:r>
      <w:r>
        <w:rPr>
          <w:rFonts w:hint="eastAsia"/>
          <w:snapToGrid w:val="0"/>
          <w:color w:val="auto"/>
          <w:highlight w:val="none"/>
        </w:rPr>
        <w:t>，如违约金不足以弥补给甲方造成的损失的，乙方应赔偿甲方的损失。</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.2</w:t>
      </w:r>
      <w:r>
        <w:rPr>
          <w:rFonts w:hint="eastAsia"/>
          <w:bCs/>
          <w:snapToGrid w:val="0"/>
          <w:color w:val="auto"/>
          <w:highlight w:val="none"/>
        </w:rPr>
        <w:t>在本合同有效期内，乙方承担一般违约责任累计达</w:t>
      </w:r>
      <w:r>
        <w:rPr>
          <w:bCs/>
          <w:snapToGrid w:val="0"/>
          <w:color w:val="auto"/>
          <w:highlight w:val="none"/>
        </w:rPr>
        <w:t>3</w:t>
      </w:r>
      <w:r>
        <w:rPr>
          <w:rFonts w:hint="eastAsia"/>
          <w:bCs/>
          <w:snapToGrid w:val="0"/>
          <w:color w:val="auto"/>
          <w:highlight w:val="none"/>
        </w:rPr>
        <w:t>次的，另行追加严重违约责任</w:t>
      </w:r>
      <w:r>
        <w:rPr>
          <w:bCs/>
          <w:snapToGrid w:val="0"/>
          <w:color w:val="auto"/>
          <w:highlight w:val="none"/>
        </w:rPr>
        <w:t>1</w:t>
      </w:r>
      <w:r>
        <w:rPr>
          <w:rFonts w:hint="eastAsia"/>
          <w:bCs/>
          <w:snapToGrid w:val="0"/>
          <w:color w:val="auto"/>
          <w:highlight w:val="none"/>
        </w:rPr>
        <w:t>次；累计承担严重违约责任达</w:t>
      </w:r>
      <w:r>
        <w:rPr>
          <w:bCs/>
          <w:snapToGrid w:val="0"/>
          <w:color w:val="auto"/>
          <w:highlight w:val="none"/>
        </w:rPr>
        <w:t>3</w:t>
      </w:r>
      <w:r>
        <w:rPr>
          <w:rFonts w:hint="eastAsia"/>
          <w:bCs/>
          <w:snapToGrid w:val="0"/>
          <w:color w:val="auto"/>
          <w:highlight w:val="none"/>
        </w:rPr>
        <w:t>次的，甲方有权单方面部分解除合同或解除合同，有权书面通知乙方或者在相关网站上公示并抄送行政监督部门</w:t>
      </w:r>
      <w:r>
        <w:rPr>
          <w:rFonts w:hint="eastAsia"/>
          <w:color w:val="auto"/>
          <w:highlight w:val="none"/>
        </w:rPr>
        <w:t>，拒绝乙方参与以后甲方所负责的工程系统内投标资格</w:t>
      </w:r>
      <w:r>
        <w:rPr>
          <w:rFonts w:hint="eastAsia"/>
          <w:bCs/>
          <w:snapToGrid w:val="0"/>
          <w:color w:val="auto"/>
          <w:highlight w:val="none"/>
        </w:rPr>
        <w:t>。</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.3</w:t>
      </w:r>
      <w:r>
        <w:rPr>
          <w:rFonts w:hint="eastAsia"/>
          <w:snapToGrid w:val="0"/>
          <w:color w:val="auto"/>
          <w:highlight w:val="none"/>
        </w:rPr>
        <w:t>乙方违约需向甲方支付违约金、赔偿金时，按合同条款第2</w:t>
      </w:r>
      <w:r>
        <w:rPr>
          <w:rFonts w:hint="eastAsia"/>
          <w:snapToGrid w:val="0"/>
          <w:color w:val="auto"/>
          <w:highlight w:val="none"/>
          <w:lang w:val="en-US" w:eastAsia="zh-CN"/>
        </w:rPr>
        <w:t>7</w:t>
      </w:r>
      <w:r>
        <w:rPr>
          <w:rFonts w:hint="eastAsia"/>
          <w:snapToGrid w:val="0"/>
          <w:color w:val="auto"/>
          <w:highlight w:val="none"/>
        </w:rPr>
        <w:t>条约定的索赔方式执行。必要时，甲方有权书面通知乙方交纳，乙方必须在甲方规定的时间内主动交纳。否则，甲方有权从应付乙方的合同款中直接扣除。</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.4</w:t>
      </w:r>
      <w:r>
        <w:rPr>
          <w:rFonts w:hint="eastAsia"/>
          <w:snapToGrid w:val="0"/>
          <w:color w:val="auto"/>
          <w:highlight w:val="none"/>
        </w:rPr>
        <w:t>本合同解除后，乙方已经完成的勘察、设计成果文件全部归甲方所有，甲方有权与其他勘察、设计单位签订勘察、设计合同，其他勘察、设计单位有权在乙方已经完成的勘察、设计成果文件的基础上继续勘察、设计，乙方不得有异议，并不得向甲方或者其他勘察、设计单位索取任何费用。</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.5</w:t>
      </w:r>
      <w:r>
        <w:rPr>
          <w:rFonts w:hint="eastAsia"/>
          <w:snapToGrid w:val="0"/>
          <w:color w:val="auto"/>
          <w:highlight w:val="none"/>
        </w:rPr>
        <w:t>勘察、设计管理、服务方面的违约责任</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乙方在本工程勘察、设计招投标或履行合同过程中贿赂甲方人员或项目有关主管人员的，视为不正当竞争并承担严重违约责任1次。情节特别严重的，甲方有权单方面解除合同。涉嫌犯罪的，移交司法部门处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（2）乙方单方面终止或解除本合同的，应参照合同条款第2</w:t>
      </w:r>
      <w:r>
        <w:rPr>
          <w:rFonts w:hint="eastAsia"/>
          <w:snapToGrid w:val="0"/>
          <w:color w:val="auto"/>
          <w:highlight w:val="none"/>
          <w:lang w:val="en-US" w:eastAsia="zh-CN"/>
        </w:rPr>
        <w:t>6</w:t>
      </w:r>
      <w:r>
        <w:rPr>
          <w:rFonts w:hint="eastAsia"/>
          <w:snapToGrid w:val="0"/>
          <w:color w:val="auto"/>
          <w:highlight w:val="none"/>
        </w:rPr>
        <w:t>.1（5）款所约定的标准向甲方双倍返还定金并赔偿损失。</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（3）乙方未能按合同约定投入人员或投入人员没有按时到位的人员为一般勘察、设计人员的，每出现</w:t>
      </w:r>
      <w:r>
        <w:rPr>
          <w:snapToGrid w:val="0"/>
          <w:color w:val="auto"/>
          <w:highlight w:val="none"/>
        </w:rPr>
        <w:t>1</w:t>
      </w:r>
      <w:r>
        <w:rPr>
          <w:rFonts w:hint="eastAsia"/>
          <w:snapToGrid w:val="0"/>
          <w:color w:val="auto"/>
          <w:highlight w:val="none"/>
        </w:rPr>
        <w:t>人次，乙方承担一般违约责任</w:t>
      </w:r>
      <w:r>
        <w:rPr>
          <w:snapToGrid w:val="0"/>
          <w:color w:val="auto"/>
          <w:highlight w:val="none"/>
        </w:rPr>
        <w:t>1</w:t>
      </w:r>
      <w:r>
        <w:rPr>
          <w:rFonts w:hint="eastAsia"/>
          <w:snapToGrid w:val="0"/>
          <w:color w:val="auto"/>
          <w:highlight w:val="none"/>
        </w:rPr>
        <w:t>次；如该没有投入或者没有按时到位的人员为勘察、设计专业负责人员的，每出现</w:t>
      </w:r>
      <w:r>
        <w:rPr>
          <w:snapToGrid w:val="0"/>
          <w:color w:val="auto"/>
          <w:highlight w:val="none"/>
        </w:rPr>
        <w:t>1</w:t>
      </w:r>
      <w:r>
        <w:rPr>
          <w:rFonts w:hint="eastAsia"/>
          <w:snapToGrid w:val="0"/>
          <w:color w:val="auto"/>
          <w:highlight w:val="none"/>
        </w:rPr>
        <w:t>人次，乙方承担严重违约责任</w:t>
      </w:r>
      <w:r>
        <w:rPr>
          <w:snapToGrid w:val="0"/>
          <w:color w:val="auto"/>
          <w:highlight w:val="none"/>
        </w:rPr>
        <w:t>1</w:t>
      </w:r>
      <w:r>
        <w:rPr>
          <w:rFonts w:hint="eastAsia"/>
          <w:snapToGrid w:val="0"/>
          <w:color w:val="auto"/>
          <w:highlight w:val="none"/>
        </w:rPr>
        <w:t>次。乙方要求更换人员的，按合同条款第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.5（</w:t>
      </w:r>
      <w:r>
        <w:rPr>
          <w:rFonts w:hint="eastAsia"/>
          <w:snapToGrid w:val="0"/>
          <w:color w:val="auto"/>
          <w:highlight w:val="none"/>
        </w:rPr>
        <w:t>6</w:t>
      </w:r>
      <w:r>
        <w:rPr>
          <w:snapToGrid w:val="0"/>
          <w:color w:val="auto"/>
          <w:highlight w:val="none"/>
        </w:rPr>
        <w:t>）</w:t>
      </w:r>
      <w:r>
        <w:rPr>
          <w:rFonts w:hint="eastAsia"/>
          <w:snapToGrid w:val="0"/>
          <w:color w:val="auto"/>
          <w:highlight w:val="none"/>
        </w:rPr>
        <w:t>款的约定执行。乙方在甲方规定的宽限期内仍未将人员投入到位的，甲方有权另请他人接替其工作，另请他人的费用从应支付给乙方的勘察、设计费中扣减，乙方不得提出任何异议。</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4）乙方及其分包单位纳入甲方统一管理的勘察、设计服务人员（含现场服务人员）不遵守甲方管理制度或者工作不称职的，必须在甲方规定的时间内予以更换，到期不更换的，视为乙方未能按合同约定投入人员，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.5（</w:t>
      </w:r>
      <w:r>
        <w:rPr>
          <w:rFonts w:hint="eastAsia"/>
          <w:snapToGrid w:val="0"/>
          <w:color w:val="auto"/>
          <w:highlight w:val="none"/>
        </w:rPr>
        <w:t>3</w:t>
      </w:r>
      <w:r>
        <w:rPr>
          <w:snapToGrid w:val="0"/>
          <w:color w:val="auto"/>
          <w:highlight w:val="none"/>
        </w:rPr>
        <w:t>）</w:t>
      </w:r>
      <w:r>
        <w:rPr>
          <w:rFonts w:hint="eastAsia"/>
          <w:snapToGrid w:val="0"/>
          <w:color w:val="auto"/>
          <w:highlight w:val="none"/>
        </w:rPr>
        <w:t>款的约定执行。</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（5）按合同约定投入的专为本工程服务的乙方驻场设计人员参与其他工程工作的，每发现一人次，视为乙方未能按合同约定投入人员，参照合同条款第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.5（</w:t>
      </w:r>
      <w:r>
        <w:rPr>
          <w:rFonts w:hint="eastAsia"/>
          <w:snapToGrid w:val="0"/>
          <w:color w:val="auto"/>
          <w:highlight w:val="none"/>
        </w:rPr>
        <w:t>3</w:t>
      </w:r>
      <w:r>
        <w:rPr>
          <w:snapToGrid w:val="0"/>
          <w:color w:val="auto"/>
          <w:highlight w:val="none"/>
        </w:rPr>
        <w:t>）</w:t>
      </w:r>
      <w:r>
        <w:rPr>
          <w:rFonts w:hint="eastAsia"/>
          <w:snapToGrid w:val="0"/>
          <w:color w:val="auto"/>
          <w:highlight w:val="none"/>
        </w:rPr>
        <w:t>款的约定执行。</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（6）在本合同履行期内乙方要求更换人员的，按以下约定处理：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1）未经甲方</w:t>
      </w:r>
      <w:r>
        <w:rPr>
          <w:rFonts w:hint="eastAsia"/>
          <w:snapToGrid w:val="0"/>
          <w:color w:val="auto"/>
          <w:highlight w:val="none"/>
          <w:lang w:eastAsia="zh-CN"/>
        </w:rPr>
        <w:t>书面</w:t>
      </w:r>
      <w:r>
        <w:rPr>
          <w:rFonts w:hint="eastAsia"/>
          <w:snapToGrid w:val="0"/>
          <w:color w:val="auto"/>
          <w:highlight w:val="none"/>
        </w:rPr>
        <w:t>同意的，更换一般勘察、设计人员须向甲方支付违约金3万元/人次；更换专业勘察、设计负责人须向甲方支付违约金6万元/人次；更换项目勘察、设计总负责人，勘察、设计总承包管理负责人或者驻场勘察、设计代表总负责人须向甲方支付违约金9万元/人次。</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2）因不可抗力事件（如重病、重伤、失踪、死亡等）造成勘察设计人员岗位空缺的，乙方必须在出现空缺之日起五日内按照投标文件承诺的标准予以补充，但无须向甲方支付违约金。逾期未予补充或补充人员不符合投标文件承诺标准的，视作乙方未能按照合同约定投入勘察设计人员，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.5（</w:t>
      </w:r>
      <w:r>
        <w:rPr>
          <w:rFonts w:hint="eastAsia"/>
          <w:snapToGrid w:val="0"/>
          <w:color w:val="auto"/>
          <w:highlight w:val="none"/>
        </w:rPr>
        <w:t>3</w:t>
      </w:r>
      <w:r>
        <w:rPr>
          <w:snapToGrid w:val="0"/>
          <w:color w:val="auto"/>
          <w:highlight w:val="none"/>
        </w:rPr>
        <w:t>）</w:t>
      </w:r>
      <w:r>
        <w:rPr>
          <w:rFonts w:hint="eastAsia"/>
          <w:snapToGrid w:val="0"/>
          <w:color w:val="auto"/>
          <w:highlight w:val="none"/>
        </w:rPr>
        <w:t>款的约定执行。</w:t>
      </w:r>
    </w:p>
    <w:p>
      <w:pPr>
        <w:adjustRightInd w:val="0"/>
        <w:snapToGrid w:val="0"/>
        <w:spacing w:line="360" w:lineRule="auto"/>
        <w:ind w:right="11"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甲方要求乙方以实际工作能力较高的人员调换实际工作能力较低的现场人员，或者乙方主动要求以实际工作能力较高的人员调换实际工作能力较低的现场人员并经甲方批准且经实践证实的，乙方可不承担违约责任。</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7）乙方应支持、服从甲方的管理工作，对甲方或设计咨询单位的指令和书面通知，若无正当理由又未提前报告、得到认可，而公开或变相拒不执行的，第一次承担一般违约责任1次；第二次及以后，每发生一次承担严重违约责任1次，</w:t>
      </w:r>
      <w:r>
        <w:rPr>
          <w:rFonts w:hint="eastAsia"/>
          <w:bCs/>
          <w:snapToGrid w:val="0"/>
          <w:color w:val="auto"/>
          <w:highlight w:val="none"/>
        </w:rPr>
        <w:t>情节特别严重的，甲方有权部分解除合同或解除合同</w:t>
      </w:r>
      <w:r>
        <w:rPr>
          <w:rFonts w:hint="eastAsia"/>
          <w:snapToGrid w:val="0"/>
          <w:color w:val="auto"/>
          <w:highlight w:val="none"/>
        </w:rPr>
        <w:t>。给甲方造成损失的，乙方应赔偿甲方的全部损失。</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8）乙方未遵守甲方依据合同条款总则第二条约定所制订的各项制度、规定的，由乙方按所触犯制度、规定的有关规定承担责任。所触犯制度、规定没有明确规定的，视为不服从甲方的管理工作，参照合同条款第2</w:t>
      </w:r>
      <w:r>
        <w:rPr>
          <w:rFonts w:hint="eastAsia"/>
          <w:snapToGrid w:val="0"/>
          <w:color w:val="auto"/>
          <w:highlight w:val="none"/>
          <w:lang w:val="en-US" w:eastAsia="zh-CN"/>
        </w:rPr>
        <w:t>6</w:t>
      </w:r>
      <w:r>
        <w:rPr>
          <w:rFonts w:hint="eastAsia"/>
          <w:snapToGrid w:val="0"/>
          <w:color w:val="auto"/>
          <w:highlight w:val="none"/>
        </w:rPr>
        <w:t>.5（7）款的约定处理。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9）乙方未按合同约定做好勘察、设计总承包管理或配合协调工作，经设计咨询单位或甲方发出限期改正通知后3天内，乙方仍未能整改至令设计咨询单位或甲方满意的，视为不服从甲方的管理工作，参照合同条款第2</w:t>
      </w:r>
      <w:r>
        <w:rPr>
          <w:rFonts w:hint="eastAsia"/>
          <w:snapToGrid w:val="0"/>
          <w:color w:val="auto"/>
          <w:highlight w:val="none"/>
          <w:lang w:val="en-US" w:eastAsia="zh-CN"/>
        </w:rPr>
        <w:t>6</w:t>
      </w:r>
      <w:r>
        <w:rPr>
          <w:rFonts w:hint="eastAsia"/>
          <w:snapToGrid w:val="0"/>
          <w:color w:val="auto"/>
          <w:highlight w:val="none"/>
        </w:rPr>
        <w:t>.5（7）款的约定处理。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10）对于甲方通知乙方（包括乙方分包单位）参加的会议（包括但不限于进场会、现场问题处理会议、工程验收会议、结算问题处理会议、质保期工作的相关会议等），被通知人员（包括但不限于乙方法定代表人、经报甲方批准同意的乙方法定代表人授权人、项目负责人等）未经甲方书面同意自行缺席的，每缺席一人次乙方承担1次一般违约责任。</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11）乙方未能按合同约定及时提供招标配合服务，或其招标配合服务未能达到合同约定的要求，或其提供的服务不能达到令甲方满意的程度的，导致甲方的招标工作不能按时顺利进行的，每经甲方确认1次，乙方承担一般违约责任</w:t>
      </w:r>
      <w:r>
        <w:rPr>
          <w:snapToGrid w:val="0"/>
          <w:color w:val="auto"/>
          <w:highlight w:val="none"/>
        </w:rPr>
        <w:t>1</w:t>
      </w:r>
      <w:r>
        <w:rPr>
          <w:rFonts w:hint="eastAsia"/>
          <w:snapToGrid w:val="0"/>
          <w:color w:val="auto"/>
          <w:highlight w:val="none"/>
        </w:rPr>
        <w:t>次。</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（12</w:t>
      </w:r>
      <w:r>
        <w:rPr>
          <w:snapToGrid w:val="0"/>
          <w:color w:val="auto"/>
          <w:highlight w:val="none"/>
        </w:rPr>
        <w:t>）</w:t>
      </w:r>
      <w:r>
        <w:rPr>
          <w:rFonts w:hint="eastAsia"/>
          <w:snapToGrid w:val="0"/>
          <w:color w:val="auto"/>
          <w:highlight w:val="none"/>
        </w:rPr>
        <w:t>因乙方未按时按质地提供合同条款第7条、第1</w:t>
      </w:r>
      <w:r>
        <w:rPr>
          <w:rFonts w:hint="eastAsia"/>
          <w:snapToGrid w:val="0"/>
          <w:color w:val="auto"/>
          <w:highlight w:val="none"/>
          <w:lang w:val="en-US" w:eastAsia="zh-CN"/>
        </w:rPr>
        <w:t>6</w:t>
      </w:r>
      <w:r>
        <w:rPr>
          <w:rFonts w:hint="eastAsia"/>
          <w:snapToGrid w:val="0"/>
          <w:color w:val="auto"/>
          <w:highlight w:val="none"/>
        </w:rPr>
        <w:t>条约定的各项勘察、设计服务，导致本工程建安费用增加的，乙方按应以下公式计算向甲方支付违约金：</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违约金=A×（B/C）×2</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其中：A-实际增加的建安工程费；</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B-本合同设计收费（包括基本设计收费和其他设计收费）总额；</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C-本工程审定工程设计概算建安工程费总额。</w:t>
      </w:r>
    </w:p>
    <w:p>
      <w:pPr>
        <w:pStyle w:val="51"/>
        <w:adjustRightInd w:val="0"/>
        <w:snapToGrid w:val="0"/>
        <w:spacing w:before="0" w:beforeAutospacing="0" w:after="0" w:afterAutospacing="0" w:line="360" w:lineRule="auto"/>
        <w:ind w:firstLine="422" w:firstLineChars="176"/>
        <w:rPr>
          <w:rFonts w:hint="eastAsia"/>
          <w:snapToGrid w:val="0"/>
          <w:color w:val="auto"/>
          <w:highlight w:val="none"/>
        </w:rPr>
      </w:pPr>
      <w:r>
        <w:rPr>
          <w:rFonts w:hint="eastAsia"/>
          <w:snapToGrid w:val="0"/>
          <w:color w:val="auto"/>
          <w:highlight w:val="none"/>
        </w:rPr>
        <w:t>（13）如乙方违反合同协议书第7条、第8条的约定，未在相关信息发生变化时及时将变更情况书面通知甲方的，经甲方每确认1次，乙方承担1次一般违约责任。</w:t>
      </w:r>
    </w:p>
    <w:p>
      <w:pPr>
        <w:pStyle w:val="51"/>
        <w:adjustRightInd w:val="0"/>
        <w:snapToGrid w:val="0"/>
        <w:spacing w:before="0" w:beforeAutospacing="0" w:after="0" w:afterAutospacing="0" w:line="360" w:lineRule="auto"/>
        <w:ind w:firstLine="422" w:firstLineChars="176"/>
        <w:rPr>
          <w:bCs/>
          <w:snapToGrid w:val="0"/>
          <w:color w:val="auto"/>
          <w:highlight w:val="none"/>
        </w:rPr>
      </w:pPr>
      <w:r>
        <w:rPr>
          <w:rFonts w:hint="eastAsia"/>
          <w:snapToGrid w:val="0"/>
          <w:color w:val="auto"/>
          <w:highlight w:val="none"/>
        </w:rPr>
        <w:t>（</w:t>
      </w:r>
      <w:r>
        <w:rPr>
          <w:rFonts w:hint="eastAsia"/>
          <w:bCs/>
          <w:snapToGrid w:val="0"/>
          <w:color w:val="auto"/>
          <w:highlight w:val="none"/>
        </w:rPr>
        <w:t>14）合同履行过程中，甲方有权随时发函约见乙方的法定代表人，并要求法定代表人对本勘察设计项目进行协调及安排工作，直至勘察设计保质、保量顺利推进。乙方的法定代表人无正当理由拒绝约见的每人次承担一次严重违约责任。乙方的法定代表人无正当理由拒绝约见累计3次及以上的，甲方有权解除合同，将本工程另行发包（不免除承包人的违约赔偿责任）并有权书面通知乙方或者在相关网站上公示并抄送行政监督部门，拒绝乙方参与以后甲方所负责的工程系统内投标资格。</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w:t>
      </w:r>
      <w:r>
        <w:rPr>
          <w:snapToGrid w:val="0"/>
          <w:color w:val="auto"/>
          <w:highlight w:val="none"/>
        </w:rPr>
        <w:t>5</w:t>
      </w:r>
      <w:r>
        <w:rPr>
          <w:rFonts w:hint="eastAsia"/>
          <w:snapToGrid w:val="0"/>
          <w:color w:val="auto"/>
          <w:highlight w:val="none"/>
        </w:rPr>
        <w:t>）</w:t>
      </w:r>
      <w:r>
        <w:rPr>
          <w:rFonts w:hint="eastAsia"/>
          <w:snapToGrid w:val="0"/>
          <w:color w:val="auto"/>
          <w:highlight w:val="none"/>
          <w:lang w:val="en-US" w:eastAsia="zh-CN"/>
        </w:rPr>
        <w:t>总负责人</w:t>
      </w:r>
      <w:r>
        <w:rPr>
          <w:snapToGrid w:val="0"/>
          <w:color w:val="auto"/>
          <w:highlight w:val="none"/>
        </w:rPr>
        <w:t>现场开会要求：本项目原则上要求</w:t>
      </w:r>
      <w:r>
        <w:rPr>
          <w:rFonts w:hint="eastAsia"/>
          <w:snapToGrid w:val="0"/>
          <w:color w:val="auto"/>
          <w:highlight w:val="none"/>
          <w:lang w:val="en-US" w:eastAsia="zh-CN"/>
        </w:rPr>
        <w:t>总负责人</w:t>
      </w:r>
      <w:r>
        <w:rPr>
          <w:snapToGrid w:val="0"/>
          <w:color w:val="auto"/>
          <w:highlight w:val="none"/>
        </w:rPr>
        <w:t>每季度至少亲自组织1次</w:t>
      </w:r>
      <w:r>
        <w:rPr>
          <w:rFonts w:hint="eastAsia"/>
          <w:snapToGrid w:val="0"/>
          <w:color w:val="auto"/>
          <w:highlight w:val="none"/>
        </w:rPr>
        <w:t>设计</w:t>
      </w:r>
      <w:r>
        <w:rPr>
          <w:snapToGrid w:val="0"/>
          <w:color w:val="auto"/>
          <w:highlight w:val="none"/>
        </w:rPr>
        <w:t>现场例会或</w:t>
      </w:r>
      <w:r>
        <w:rPr>
          <w:rFonts w:hint="eastAsia"/>
          <w:snapToGrid w:val="0"/>
          <w:color w:val="auto"/>
          <w:highlight w:val="none"/>
          <w:lang w:val="en-US" w:eastAsia="zh-CN"/>
        </w:rPr>
        <w:t>总负责人</w:t>
      </w:r>
      <w:r>
        <w:rPr>
          <w:snapToGrid w:val="0"/>
          <w:color w:val="auto"/>
          <w:highlight w:val="none"/>
        </w:rPr>
        <w:t>办公会议，协调质量、进度</w:t>
      </w:r>
      <w:r>
        <w:rPr>
          <w:rFonts w:hint="eastAsia"/>
          <w:snapToGrid w:val="0"/>
          <w:color w:val="auto"/>
          <w:highlight w:val="none"/>
        </w:rPr>
        <w:t>等事项</w:t>
      </w:r>
      <w:r>
        <w:rPr>
          <w:snapToGrid w:val="0"/>
          <w:color w:val="auto"/>
          <w:highlight w:val="none"/>
        </w:rPr>
        <w:t>，并将相关会议纪要报监理单位和发包人备案。如果</w:t>
      </w:r>
      <w:r>
        <w:rPr>
          <w:rFonts w:hint="eastAsia"/>
          <w:snapToGrid w:val="0"/>
          <w:color w:val="auto"/>
          <w:highlight w:val="none"/>
          <w:lang w:val="en-US" w:eastAsia="zh-CN"/>
        </w:rPr>
        <w:t>总负责人</w:t>
      </w:r>
      <w:r>
        <w:rPr>
          <w:snapToGrid w:val="0"/>
          <w:color w:val="auto"/>
          <w:highlight w:val="none"/>
        </w:rPr>
        <w:t>因故不能召开，经发包人批准，可委托同级别或更高级别的单位领导组织会议。如果</w:t>
      </w:r>
      <w:r>
        <w:rPr>
          <w:rFonts w:hint="eastAsia"/>
          <w:snapToGrid w:val="0"/>
          <w:color w:val="auto"/>
          <w:highlight w:val="none"/>
          <w:lang w:val="en-US" w:eastAsia="zh-CN"/>
        </w:rPr>
        <w:t>总负责人</w:t>
      </w:r>
      <w:r>
        <w:rPr>
          <w:snapToGrid w:val="0"/>
          <w:color w:val="auto"/>
          <w:highlight w:val="none"/>
        </w:rPr>
        <w:t>或其发包人不能按上述要求组织会议，</w:t>
      </w:r>
      <w:r>
        <w:rPr>
          <w:b/>
          <w:snapToGrid w:val="0"/>
          <w:color w:val="auto"/>
          <w:highlight w:val="none"/>
        </w:rPr>
        <w:t>每缺席一次，按合同约定承担一次</w:t>
      </w:r>
      <w:r>
        <w:rPr>
          <w:rFonts w:hint="eastAsia"/>
          <w:b/>
          <w:snapToGrid w:val="0"/>
          <w:color w:val="auto"/>
          <w:highlight w:val="none"/>
        </w:rPr>
        <w:t>严重</w:t>
      </w:r>
      <w:r>
        <w:rPr>
          <w:b/>
          <w:snapToGrid w:val="0"/>
          <w:color w:val="auto"/>
          <w:highlight w:val="none"/>
        </w:rPr>
        <w:t>违约责任</w:t>
      </w:r>
      <w:r>
        <w:rPr>
          <w:rFonts w:hint="eastAsia"/>
          <w:bCs/>
          <w:snapToGrid w:val="0"/>
          <w:color w:val="auto"/>
          <w:highlight w:val="none"/>
        </w:rPr>
        <w:t>。</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.6</w:t>
      </w:r>
      <w:r>
        <w:rPr>
          <w:rFonts w:hint="eastAsia"/>
          <w:snapToGrid w:val="0"/>
          <w:color w:val="auto"/>
          <w:highlight w:val="none"/>
        </w:rPr>
        <w:t>勘察、设计成果文件方面的违约责任</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（1）乙方未能按本合同约定的时间或甲方审核同意的勘察、设计进度各类计划的要求提交相应阶段的勘察、设计成果文件，逾期3天以内（或累计达5天以上10天以内）的，乙方按</w:t>
      </w:r>
      <w:r>
        <w:rPr>
          <w:snapToGrid w:val="0"/>
          <w:color w:val="auto"/>
          <w:highlight w:val="none"/>
        </w:rPr>
        <w:t>1</w:t>
      </w:r>
      <w:r>
        <w:rPr>
          <w:rFonts w:hint="eastAsia"/>
          <w:snapToGrid w:val="0"/>
          <w:color w:val="auto"/>
          <w:highlight w:val="none"/>
        </w:rPr>
        <w:t>万元/天向甲方支付违约金，违约金不足以弥补甲方损失的，乙方应继续赔偿；逾期3天以上（或累计达10天以上）的，乙方按</w:t>
      </w:r>
      <w:r>
        <w:rPr>
          <w:snapToGrid w:val="0"/>
          <w:color w:val="auto"/>
          <w:highlight w:val="none"/>
        </w:rPr>
        <w:t>3</w:t>
      </w:r>
      <w:r>
        <w:rPr>
          <w:rFonts w:hint="eastAsia"/>
          <w:snapToGrid w:val="0"/>
          <w:color w:val="auto"/>
          <w:highlight w:val="none"/>
        </w:rPr>
        <w:t>万元/天向甲方支付违约金，违约金不足以弥补甲方损失的，乙方还须同时向甲方赔偿全部损失。</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2）本合同履行期间，乙方的勘察、设计质量不符合合同约定或者勘察、设计成果文件出现遗漏、错误的，乙方应在甲方规定的期限内对勘察、设计成果文件及时进行补充、修改、完善；因此造成勘察、设计成果文件逾期交付的，按合同条款第2</w:t>
      </w:r>
      <w:r>
        <w:rPr>
          <w:rFonts w:hint="eastAsia"/>
          <w:snapToGrid w:val="0"/>
          <w:color w:val="auto"/>
          <w:highlight w:val="none"/>
          <w:lang w:val="en-US" w:eastAsia="zh-CN"/>
        </w:rPr>
        <w:t>6</w:t>
      </w:r>
      <w:r>
        <w:rPr>
          <w:rFonts w:hint="eastAsia"/>
          <w:snapToGrid w:val="0"/>
          <w:color w:val="auto"/>
          <w:highlight w:val="none"/>
        </w:rPr>
        <w:t>.6（1）款的约定处理。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（3</w:t>
      </w:r>
      <w:r>
        <w:rPr>
          <w:snapToGrid w:val="0"/>
          <w:color w:val="auto"/>
          <w:highlight w:val="none"/>
        </w:rPr>
        <w:t>）</w:t>
      </w:r>
      <w:r>
        <w:rPr>
          <w:rFonts w:hint="eastAsia"/>
          <w:snapToGrid w:val="0"/>
          <w:color w:val="auto"/>
          <w:highlight w:val="none"/>
        </w:rPr>
        <w:t>乙方提交的设计成果文件如有违反国家相关强制性规定的，经政府有关部门确认，每发生</w:t>
      </w:r>
      <w:r>
        <w:rPr>
          <w:snapToGrid w:val="0"/>
          <w:color w:val="auto"/>
          <w:highlight w:val="none"/>
        </w:rPr>
        <w:t>1</w:t>
      </w:r>
      <w:r>
        <w:rPr>
          <w:rFonts w:hint="eastAsia"/>
          <w:snapToGrid w:val="0"/>
          <w:color w:val="auto"/>
          <w:highlight w:val="none"/>
        </w:rPr>
        <w:t>例，乙方承担严重违约责任</w:t>
      </w:r>
      <w:r>
        <w:rPr>
          <w:snapToGrid w:val="0"/>
          <w:color w:val="auto"/>
          <w:highlight w:val="none"/>
        </w:rPr>
        <w:t>1</w:t>
      </w:r>
      <w:r>
        <w:rPr>
          <w:rFonts w:hint="eastAsia"/>
          <w:snapToGrid w:val="0"/>
          <w:color w:val="auto"/>
          <w:highlight w:val="none"/>
        </w:rPr>
        <w:t>次。</w:t>
      </w:r>
    </w:p>
    <w:p>
      <w:pPr>
        <w:adjustRightInd w:val="0"/>
        <w:snapToGrid w:val="0"/>
        <w:spacing w:line="360" w:lineRule="auto"/>
        <w:ind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val="en-US" w:eastAsia="zh-CN"/>
        </w:rPr>
        <w:t>4</w:t>
      </w:r>
      <w:r>
        <w:rPr>
          <w:rFonts w:hint="eastAsia" w:ascii="宋体" w:hAnsi="宋体"/>
          <w:snapToGrid w:val="0"/>
          <w:color w:val="auto"/>
          <w:kern w:val="0"/>
          <w:sz w:val="24"/>
          <w:highlight w:val="none"/>
        </w:rPr>
        <w:t>）如乙方的设计成果文件中含有明显倾向于某一专门厂商生产的设备、材料的描述，或在其设计成果文件中选用了具有专一性、排他性的材料、设备而又未事先向甲方书面报告并详细说明理由的，每违反一次，乙方承担严重违约责任1次。</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w:t>
      </w:r>
      <w:r>
        <w:rPr>
          <w:rFonts w:hint="eastAsia"/>
          <w:snapToGrid w:val="0"/>
          <w:color w:val="auto"/>
          <w:highlight w:val="none"/>
          <w:lang w:val="en-US" w:eastAsia="zh-CN"/>
        </w:rPr>
        <w:t>5</w:t>
      </w:r>
      <w:r>
        <w:rPr>
          <w:rFonts w:hint="eastAsia"/>
          <w:snapToGrid w:val="0"/>
          <w:color w:val="auto"/>
          <w:highlight w:val="none"/>
        </w:rPr>
        <w:t>）因乙方原因造成实际发生的建安工程费增加的，参照合同条款第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w:t>
      </w:r>
      <w:r>
        <w:rPr>
          <w:rFonts w:hint="eastAsia"/>
          <w:snapToGrid w:val="0"/>
          <w:color w:val="auto"/>
          <w:highlight w:val="none"/>
        </w:rPr>
        <w:t>5</w:t>
      </w:r>
      <w:r>
        <w:rPr>
          <w:snapToGrid w:val="0"/>
          <w:color w:val="auto"/>
          <w:highlight w:val="none"/>
        </w:rPr>
        <w:t>（1</w:t>
      </w:r>
      <w:r>
        <w:rPr>
          <w:rFonts w:hint="eastAsia"/>
          <w:snapToGrid w:val="0"/>
          <w:color w:val="auto"/>
          <w:highlight w:val="none"/>
        </w:rPr>
        <w:t>2</w:t>
      </w:r>
      <w:r>
        <w:rPr>
          <w:snapToGrid w:val="0"/>
          <w:color w:val="auto"/>
          <w:highlight w:val="none"/>
        </w:rPr>
        <w:t>）</w:t>
      </w:r>
      <w:r>
        <w:rPr>
          <w:rFonts w:hint="eastAsia"/>
          <w:snapToGrid w:val="0"/>
          <w:color w:val="auto"/>
          <w:highlight w:val="none"/>
        </w:rPr>
        <w:t>款约定的计算方法确定违约金；给甲方造成损失的，乙方应赔偿甲方的全部损失。因施工原因造成的设计变更及因本合同所述的因新规范、新标准及新规定所引起的设计变更除外。</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w:t>
      </w:r>
      <w:r>
        <w:rPr>
          <w:rFonts w:hint="eastAsia"/>
          <w:snapToGrid w:val="0"/>
          <w:color w:val="auto"/>
          <w:highlight w:val="none"/>
          <w:lang w:val="en-US" w:eastAsia="zh-CN"/>
        </w:rPr>
        <w:t>6</w:t>
      </w:r>
      <w:r>
        <w:rPr>
          <w:rFonts w:hint="eastAsia"/>
          <w:snapToGrid w:val="0"/>
          <w:color w:val="auto"/>
          <w:highlight w:val="none"/>
        </w:rPr>
        <w:t>）经甲方认可的本工程施工投标人或其委托的具有施工图审查能力的单位审查并经甲方或甲方委托的第三方确认，乙方的</w:t>
      </w:r>
      <w:r>
        <w:rPr>
          <w:rFonts w:hint="eastAsia"/>
          <w:snapToGrid w:val="0"/>
          <w:color w:val="auto"/>
          <w:highlight w:val="none"/>
          <w:lang w:val="en-US" w:eastAsia="zh-CN"/>
        </w:rPr>
        <w:t>初步</w:t>
      </w:r>
      <w:r>
        <w:rPr>
          <w:rFonts w:hint="eastAsia"/>
          <w:snapToGrid w:val="0"/>
          <w:color w:val="auto"/>
          <w:highlight w:val="none"/>
        </w:rPr>
        <w:t>设计成果文件中存在违反国家相关强制性规定的，参照合同条款第2</w:t>
      </w:r>
      <w:r>
        <w:rPr>
          <w:rFonts w:hint="eastAsia"/>
          <w:snapToGrid w:val="0"/>
          <w:color w:val="auto"/>
          <w:highlight w:val="none"/>
          <w:lang w:val="en-US" w:eastAsia="zh-CN"/>
        </w:rPr>
        <w:t>6</w:t>
      </w:r>
      <w:r>
        <w:rPr>
          <w:rFonts w:hint="eastAsia"/>
          <w:snapToGrid w:val="0"/>
          <w:color w:val="auto"/>
          <w:highlight w:val="none"/>
        </w:rPr>
        <w:t>.6（3</w:t>
      </w:r>
      <w:r>
        <w:rPr>
          <w:snapToGrid w:val="0"/>
          <w:color w:val="auto"/>
          <w:highlight w:val="none"/>
        </w:rPr>
        <w:t>）</w:t>
      </w:r>
      <w:r>
        <w:rPr>
          <w:rFonts w:hint="eastAsia"/>
          <w:snapToGrid w:val="0"/>
          <w:color w:val="auto"/>
          <w:highlight w:val="none"/>
        </w:rPr>
        <w:t>款的约定执行。</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.7</w:t>
      </w:r>
      <w:r>
        <w:rPr>
          <w:rFonts w:hint="eastAsia"/>
          <w:snapToGrid w:val="0"/>
          <w:color w:val="auto"/>
          <w:highlight w:val="none"/>
        </w:rPr>
        <w:t>投资控制方面的违约责任</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乙方未经甲方同意突破合同约定的投资控制要求的，乙方承担严重违约责任1次；乙方应负责修改设计，保证工程总投资控制在合同约定的投资控制要求内；如最终因此造成实际发生的建安工程费增加的，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w:t>
      </w:r>
      <w:r>
        <w:rPr>
          <w:rFonts w:hint="eastAsia"/>
          <w:snapToGrid w:val="0"/>
          <w:color w:val="auto"/>
          <w:highlight w:val="none"/>
        </w:rPr>
        <w:t>5</w:t>
      </w:r>
      <w:r>
        <w:rPr>
          <w:snapToGrid w:val="0"/>
          <w:color w:val="auto"/>
          <w:highlight w:val="none"/>
        </w:rPr>
        <w:t>（1</w:t>
      </w:r>
      <w:r>
        <w:rPr>
          <w:rFonts w:hint="eastAsia"/>
          <w:snapToGrid w:val="0"/>
          <w:color w:val="auto"/>
          <w:highlight w:val="none"/>
        </w:rPr>
        <w:t>2</w:t>
      </w:r>
      <w:r>
        <w:rPr>
          <w:snapToGrid w:val="0"/>
          <w:color w:val="auto"/>
          <w:highlight w:val="none"/>
        </w:rPr>
        <w:t>）</w:t>
      </w:r>
      <w:r>
        <w:rPr>
          <w:rFonts w:hint="eastAsia"/>
          <w:snapToGrid w:val="0"/>
          <w:color w:val="auto"/>
          <w:highlight w:val="none"/>
        </w:rPr>
        <w:t>款约定的计算方法确定违约金；违约金不足以弥补甲方损失的，乙方应继续赔偿。</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（2</w:t>
      </w:r>
      <w:r>
        <w:rPr>
          <w:snapToGrid w:val="0"/>
          <w:color w:val="auto"/>
          <w:highlight w:val="none"/>
        </w:rPr>
        <w:t>）</w:t>
      </w:r>
      <w:r>
        <w:rPr>
          <w:rFonts w:hint="eastAsia"/>
          <w:snapToGrid w:val="0"/>
          <w:color w:val="auto"/>
          <w:highlight w:val="none"/>
        </w:rPr>
        <w:t>乙方提供的设计概算经过甲方审核后确定误差超过±10%（不含±10%）的，乙方承担严重违约责任</w:t>
      </w:r>
      <w:r>
        <w:rPr>
          <w:snapToGrid w:val="0"/>
          <w:color w:val="auto"/>
          <w:highlight w:val="none"/>
        </w:rPr>
        <w:t>1</w:t>
      </w:r>
      <w:r>
        <w:rPr>
          <w:rFonts w:hint="eastAsia"/>
          <w:snapToGrid w:val="0"/>
          <w:color w:val="auto"/>
          <w:highlight w:val="none"/>
        </w:rPr>
        <w:t>次。</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（3）乙方对乙方分包单位的投资控制方面的违约相应承担连带责任，相关违约责任参照合同条款第2</w:t>
      </w:r>
      <w:r>
        <w:rPr>
          <w:rFonts w:hint="eastAsia"/>
          <w:snapToGrid w:val="0"/>
          <w:color w:val="auto"/>
          <w:highlight w:val="none"/>
          <w:lang w:val="en-US" w:eastAsia="zh-CN"/>
        </w:rPr>
        <w:t>6</w:t>
      </w:r>
      <w:r>
        <w:rPr>
          <w:rFonts w:hint="eastAsia"/>
          <w:snapToGrid w:val="0"/>
          <w:color w:val="auto"/>
          <w:highlight w:val="none"/>
        </w:rPr>
        <w:t>.</w:t>
      </w:r>
      <w:r>
        <w:rPr>
          <w:snapToGrid w:val="0"/>
          <w:color w:val="auto"/>
          <w:highlight w:val="none"/>
        </w:rPr>
        <w:t>7（1）</w:t>
      </w:r>
      <w:r>
        <w:rPr>
          <w:rFonts w:hint="eastAsia"/>
          <w:snapToGrid w:val="0"/>
          <w:color w:val="auto"/>
          <w:highlight w:val="none"/>
        </w:rPr>
        <w:t>款的相关约定执行。</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（4）如因</w:t>
      </w:r>
      <w:r>
        <w:rPr>
          <w:rFonts w:hint="eastAsia"/>
          <w:bCs/>
          <w:snapToGrid w:val="0"/>
          <w:color w:val="auto"/>
          <w:highlight w:val="none"/>
        </w:rPr>
        <w:t>乙方提供的勘察成果文件的缺陷及不完整、初步设计成果文件深度不够等原因导致甲方另外发包的专项施工图设计无法满足投资控制的要求，乙方应及时完善、修改相关的勘察、设计成果文件；</w:t>
      </w:r>
      <w:r>
        <w:rPr>
          <w:rFonts w:hint="eastAsia"/>
          <w:snapToGrid w:val="0"/>
          <w:color w:val="auto"/>
          <w:highlight w:val="none"/>
        </w:rPr>
        <w:t>造成实际发生的建安工程费增加的，参照合同条款第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w:t>
      </w:r>
      <w:r>
        <w:rPr>
          <w:rFonts w:hint="eastAsia"/>
          <w:snapToGrid w:val="0"/>
          <w:color w:val="auto"/>
          <w:highlight w:val="none"/>
        </w:rPr>
        <w:t>5</w:t>
      </w:r>
      <w:r>
        <w:rPr>
          <w:snapToGrid w:val="0"/>
          <w:color w:val="auto"/>
          <w:highlight w:val="none"/>
        </w:rPr>
        <w:t>（1</w:t>
      </w:r>
      <w:r>
        <w:rPr>
          <w:rFonts w:hint="eastAsia"/>
          <w:snapToGrid w:val="0"/>
          <w:color w:val="auto"/>
          <w:highlight w:val="none"/>
        </w:rPr>
        <w:t>2</w:t>
      </w:r>
      <w:r>
        <w:rPr>
          <w:snapToGrid w:val="0"/>
          <w:color w:val="auto"/>
          <w:highlight w:val="none"/>
        </w:rPr>
        <w:t>）</w:t>
      </w:r>
      <w:r>
        <w:rPr>
          <w:rFonts w:hint="eastAsia"/>
          <w:snapToGrid w:val="0"/>
          <w:color w:val="auto"/>
          <w:highlight w:val="none"/>
        </w:rPr>
        <w:t>款约定的计算方法确定违约金；给甲方造成损失的，乙方应赔偿甲方的全部损失。</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（5</w:t>
      </w:r>
      <w:r>
        <w:rPr>
          <w:snapToGrid w:val="0"/>
          <w:color w:val="auto"/>
          <w:highlight w:val="none"/>
        </w:rPr>
        <w:t>）</w:t>
      </w:r>
      <w:r>
        <w:rPr>
          <w:rFonts w:hint="eastAsia"/>
          <w:snapToGrid w:val="0"/>
          <w:color w:val="auto"/>
          <w:highlight w:val="none"/>
        </w:rPr>
        <w:t>因乙方对设计变更随意进行合并、分拆导致本工程投资失控，造成实际发生的建安工程费增加的，参照合同条款第</w:t>
      </w:r>
      <w:r>
        <w:rPr>
          <w:snapToGrid w:val="0"/>
          <w:color w:val="auto"/>
          <w:highlight w:val="none"/>
        </w:rPr>
        <w:t>2</w:t>
      </w:r>
      <w:r>
        <w:rPr>
          <w:rFonts w:hint="eastAsia"/>
          <w:snapToGrid w:val="0"/>
          <w:color w:val="auto"/>
          <w:highlight w:val="none"/>
          <w:lang w:val="en-US" w:eastAsia="zh-CN"/>
        </w:rPr>
        <w:t>6</w:t>
      </w:r>
      <w:r>
        <w:rPr>
          <w:snapToGrid w:val="0"/>
          <w:color w:val="auto"/>
          <w:highlight w:val="none"/>
        </w:rPr>
        <w:t>.</w:t>
      </w:r>
      <w:r>
        <w:rPr>
          <w:rFonts w:hint="eastAsia"/>
          <w:snapToGrid w:val="0"/>
          <w:color w:val="auto"/>
          <w:highlight w:val="none"/>
        </w:rPr>
        <w:t>5</w:t>
      </w:r>
      <w:r>
        <w:rPr>
          <w:snapToGrid w:val="0"/>
          <w:color w:val="auto"/>
          <w:highlight w:val="none"/>
        </w:rPr>
        <w:t>（1</w:t>
      </w:r>
      <w:r>
        <w:rPr>
          <w:rFonts w:hint="eastAsia"/>
          <w:snapToGrid w:val="0"/>
          <w:color w:val="auto"/>
          <w:highlight w:val="none"/>
        </w:rPr>
        <w:t>2</w:t>
      </w:r>
      <w:r>
        <w:rPr>
          <w:snapToGrid w:val="0"/>
          <w:color w:val="auto"/>
          <w:highlight w:val="none"/>
        </w:rPr>
        <w:t>）</w:t>
      </w:r>
      <w:r>
        <w:rPr>
          <w:rFonts w:hint="eastAsia"/>
          <w:snapToGrid w:val="0"/>
          <w:color w:val="auto"/>
          <w:highlight w:val="none"/>
        </w:rPr>
        <w:t>款约定的计算方法确定违约金；给甲方造成损失的，乙方应赔偿甲方的全部损失。</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（6）在本工程施工招标阶段或施工阶段，因乙方编制的工程概算编制不准确而需要调整概算的，乙方除应在甲方限定期限内完成修改外，每出现1次，乙方还必须承担严重违约责任1次。</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7）由乙方编制初步设计概算的，如果出现清单中任一项清单工程量偏差绝对值累计额相对于乙方报送总数量，误差率在10%～20%的，乙方除应在甲方限定期限内完成修改外，每出现1次，还必须承担严重违约责任1次；误差率超过20%的，甲方有权不支付相应工程的概算的编制费。如果乙方编制的概算经甲方审核（或委托有资质的咨询单位审核）或有权审核单位审核，工程造价误差率在10%～20%的，乙方除应在甲方限定期限内完成修改外，每出现1次，还必须承担严重违约责任1次；误差率超过20%的，每出现1次，承担严重违约责任1次，并且甲方有权不支付相应工程的概算编制费。</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.8</w:t>
      </w:r>
      <w:r>
        <w:rPr>
          <w:rFonts w:hint="eastAsia"/>
          <w:snapToGrid w:val="0"/>
          <w:color w:val="auto"/>
          <w:highlight w:val="none"/>
        </w:rPr>
        <w:t>勘察、设计分包、转包、违法分包方面的违约责任</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乙方转包工程或者违法分包工程，经建设行政主管部门调查核实并作出处理决定的，甲方将严格服从建设行政主管部门的处理决定，同时甲方有权决定是否解除合同。因乙方转包工程或者违法分包工程给甲方造成损失的，甲方有权要求赔偿。</w:t>
      </w:r>
    </w:p>
    <w:p>
      <w:pPr>
        <w:pStyle w:val="51"/>
        <w:adjustRightInd w:val="0"/>
        <w:snapToGrid w:val="0"/>
        <w:spacing w:before="0" w:beforeAutospacing="0" w:after="0" w:afterAutospacing="0" w:line="360" w:lineRule="auto"/>
        <w:ind w:firstLine="424" w:firstLineChars="176"/>
        <w:rPr>
          <w:rFonts w:hint="eastAsia"/>
          <w:bCs/>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.9</w:t>
      </w:r>
      <w:r>
        <w:rPr>
          <w:rFonts w:hint="eastAsia"/>
          <w:bCs/>
          <w:snapToGrid w:val="0"/>
          <w:color w:val="auto"/>
          <w:highlight w:val="none"/>
        </w:rPr>
        <w:t>除上述约定之外，乙方不履行或不完全履行合同其他义务的，均构成违约，应当承担一般违约责任1次。情节较轻的，给予书面警告；情节较重的，应当承担严重违约责任1次。</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2</w:t>
      </w:r>
      <w:r>
        <w:rPr>
          <w:rFonts w:hint="eastAsia"/>
          <w:b/>
          <w:snapToGrid w:val="0"/>
          <w:color w:val="auto"/>
          <w:highlight w:val="none"/>
          <w:lang w:val="en-US" w:eastAsia="zh-CN"/>
        </w:rPr>
        <w:t>6</w:t>
      </w:r>
      <w:r>
        <w:rPr>
          <w:rFonts w:hint="eastAsia"/>
          <w:b/>
          <w:snapToGrid w:val="0"/>
          <w:color w:val="auto"/>
          <w:highlight w:val="none"/>
        </w:rPr>
        <w:t>.10</w:t>
      </w:r>
      <w:r>
        <w:rPr>
          <w:rFonts w:hint="eastAsia"/>
          <w:snapToGrid w:val="0"/>
          <w:color w:val="auto"/>
          <w:highlight w:val="none"/>
        </w:rPr>
        <w:t>乙方违约责任的认定方式及送达程序</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（1）认定方式：以甲方发出的通知、通报、会议纪要等书面文件确定的内容为准。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（2）送达程序：甲方以下列方式之一将书面违约处理决定送达乙方：</w:t>
      </w:r>
    </w:p>
    <w:p>
      <w:pPr>
        <w:pStyle w:val="51"/>
        <w:adjustRightInd w:val="0"/>
        <w:snapToGrid w:val="0"/>
        <w:spacing w:before="0" w:beforeAutospacing="0" w:after="0" w:afterAutospacing="0" w:line="360" w:lineRule="auto"/>
        <w:ind w:left="210" w:leftChars="100" w:firstLine="422" w:firstLineChars="176"/>
        <w:rPr>
          <w:snapToGrid w:val="0"/>
          <w:color w:val="auto"/>
          <w:highlight w:val="none"/>
        </w:rPr>
      </w:pPr>
      <w:r>
        <w:rPr>
          <w:rFonts w:hint="eastAsia"/>
          <w:snapToGrid w:val="0"/>
          <w:color w:val="auto"/>
          <w:highlight w:val="none"/>
        </w:rPr>
        <w:t>1）乙方现场管理机构工作人员签收。</w:t>
      </w:r>
    </w:p>
    <w:p>
      <w:pPr>
        <w:pStyle w:val="51"/>
        <w:adjustRightInd w:val="0"/>
        <w:snapToGrid w:val="0"/>
        <w:spacing w:before="0" w:beforeAutospacing="0" w:after="0" w:afterAutospacing="0" w:line="360" w:lineRule="auto"/>
        <w:ind w:left="210" w:leftChars="100" w:firstLine="422" w:firstLineChars="176"/>
        <w:rPr>
          <w:snapToGrid w:val="0"/>
          <w:color w:val="auto"/>
          <w:highlight w:val="none"/>
        </w:rPr>
      </w:pPr>
      <w:r>
        <w:rPr>
          <w:rFonts w:hint="eastAsia"/>
          <w:snapToGrid w:val="0"/>
          <w:color w:val="auto"/>
          <w:highlight w:val="none"/>
        </w:rPr>
        <w:t>2）乙方其他工作人员签收。</w:t>
      </w:r>
    </w:p>
    <w:p>
      <w:pPr>
        <w:pStyle w:val="51"/>
        <w:adjustRightInd w:val="0"/>
        <w:snapToGrid w:val="0"/>
        <w:spacing w:before="0" w:beforeAutospacing="0" w:after="0" w:afterAutospacing="0" w:line="360" w:lineRule="auto"/>
        <w:ind w:left="210" w:leftChars="100" w:firstLine="422" w:firstLineChars="176"/>
        <w:rPr>
          <w:snapToGrid w:val="0"/>
          <w:color w:val="auto"/>
          <w:highlight w:val="none"/>
        </w:rPr>
      </w:pPr>
      <w:r>
        <w:rPr>
          <w:rFonts w:hint="eastAsia"/>
          <w:snapToGrid w:val="0"/>
          <w:color w:val="auto"/>
          <w:highlight w:val="none"/>
        </w:rPr>
        <w:t>3）甲方邮寄送达。</w:t>
      </w:r>
    </w:p>
    <w:p>
      <w:pPr>
        <w:pStyle w:val="51"/>
        <w:adjustRightInd w:val="0"/>
        <w:snapToGrid w:val="0"/>
        <w:spacing w:before="0" w:beforeAutospacing="0" w:after="0" w:afterAutospacing="0" w:line="360" w:lineRule="auto"/>
        <w:ind w:firstLine="422" w:firstLineChars="176"/>
        <w:rPr>
          <w:rFonts w:hint="eastAsia"/>
          <w:snapToGrid w:val="0"/>
          <w:color w:val="auto"/>
          <w:highlight w:val="none"/>
        </w:rPr>
      </w:pPr>
      <w:r>
        <w:rPr>
          <w:rFonts w:hint="eastAsia"/>
          <w:snapToGrid w:val="0"/>
          <w:color w:val="auto"/>
          <w:highlight w:val="none"/>
        </w:rPr>
        <w:t>（3）甲方以书面形式作出的违约处理决定一经送达乙方立即生效。乙方如有足够证据证明不应由其承担违约责任的，应在收到违约处理决定后3天内以书面形式向甲方提出异议并附上有关证据；甲方在收到乙方的异议后15个工作日内审核完毕且作出书面决定并通知乙方。在异议审核期间，乙方须正常提供勘察设计服务，不得以审核未确定为由拖延或者中止工程勘察设计服务。</w:t>
      </w:r>
    </w:p>
    <w:p>
      <w:pPr>
        <w:spacing w:line="360" w:lineRule="auto"/>
        <w:ind w:firstLine="482" w:firstLineChars="200"/>
        <w:rPr>
          <w:rFonts w:hint="eastAsia" w:ascii="宋体" w:hAnsi="宋体"/>
          <w:color w:val="auto"/>
          <w:sz w:val="24"/>
          <w:highlight w:val="none"/>
        </w:rPr>
      </w:pPr>
      <w:r>
        <w:rPr>
          <w:rFonts w:hint="eastAsia" w:ascii="宋体" w:hAnsi="宋体"/>
          <w:b/>
          <w:snapToGrid w:val="0"/>
          <w:color w:val="auto"/>
          <w:kern w:val="0"/>
          <w:sz w:val="24"/>
          <w:highlight w:val="none"/>
        </w:rPr>
        <w:t>2</w:t>
      </w:r>
      <w:r>
        <w:rPr>
          <w:rFonts w:hint="eastAsia" w:ascii="宋体" w:hAnsi="宋体"/>
          <w:b/>
          <w:snapToGrid w:val="0"/>
          <w:color w:val="auto"/>
          <w:kern w:val="0"/>
          <w:sz w:val="24"/>
          <w:highlight w:val="none"/>
          <w:lang w:val="en-US" w:eastAsia="zh-CN"/>
        </w:rPr>
        <w:t>6</w:t>
      </w:r>
      <w:r>
        <w:rPr>
          <w:rFonts w:hint="eastAsia" w:ascii="宋体" w:hAnsi="宋体"/>
          <w:b/>
          <w:snapToGrid w:val="0"/>
          <w:color w:val="auto"/>
          <w:kern w:val="0"/>
          <w:sz w:val="24"/>
          <w:highlight w:val="none"/>
        </w:rPr>
        <w:t>.11</w:t>
      </w:r>
      <w:r>
        <w:rPr>
          <w:rFonts w:hint="eastAsia" w:ascii="宋体" w:hAnsi="宋体"/>
          <w:color w:val="auto"/>
          <w:sz w:val="24"/>
          <w:highlight w:val="none"/>
        </w:rPr>
        <w:t>甲方按合同规定向乙方开出任何违约金，除合同另有规定外，均从甲方向乙方支付的勘察设计费中直接扣除。除非合同另有规定，甲方向乙方开出的任何违约金将导致乙方最终的应得结算价款相应地减少。乙方必须完全接受此条款。</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甲方按合同规定向乙方开出的任何和违约金的扣除时间会在甲方任何合适的任何计量月中扣除。甲方扣除违约金时间的延迟或滞后并不代表对乙方当时各种行为的认可。</w:t>
      </w:r>
    </w:p>
    <w:p>
      <w:pPr>
        <w:pStyle w:val="4"/>
        <w:jc w:val="center"/>
        <w:rPr>
          <w:rFonts w:hint="eastAsia"/>
          <w:color w:val="auto"/>
          <w:sz w:val="30"/>
          <w:szCs w:val="30"/>
          <w:highlight w:val="none"/>
        </w:rPr>
      </w:pPr>
      <w:bookmarkStart w:id="51" w:name="_Toc472802275"/>
      <w:r>
        <w:rPr>
          <w:rFonts w:hint="eastAsia"/>
          <w:color w:val="auto"/>
          <w:sz w:val="30"/>
          <w:szCs w:val="30"/>
          <w:highlight w:val="none"/>
        </w:rPr>
        <w:t>第十</w:t>
      </w:r>
      <w:r>
        <w:rPr>
          <w:rFonts w:hint="eastAsia"/>
          <w:color w:val="auto"/>
          <w:sz w:val="30"/>
          <w:szCs w:val="30"/>
          <w:highlight w:val="none"/>
          <w:lang w:eastAsia="zh-CN"/>
        </w:rPr>
        <w:t>四</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bookmarkEnd w:id="51"/>
      <w:bookmarkStart w:id="52" w:name="_Toc472802276"/>
      <w:r>
        <w:rPr>
          <w:rFonts w:hint="eastAsia"/>
          <w:color w:val="auto"/>
          <w:sz w:val="30"/>
          <w:szCs w:val="30"/>
          <w:highlight w:val="none"/>
        </w:rPr>
        <w:t>索</w:t>
      </w:r>
      <w:r>
        <w:rPr>
          <w:rFonts w:hint="eastAsia"/>
          <w:color w:val="auto"/>
          <w:sz w:val="30"/>
          <w:szCs w:val="30"/>
          <w:highlight w:val="none"/>
          <w:lang w:val="en-US" w:eastAsia="zh-CN"/>
        </w:rPr>
        <w:t xml:space="preserve">  </w:t>
      </w:r>
      <w:r>
        <w:rPr>
          <w:rFonts w:hint="eastAsia"/>
          <w:color w:val="auto"/>
          <w:sz w:val="30"/>
          <w:szCs w:val="30"/>
          <w:highlight w:val="none"/>
        </w:rPr>
        <w:t>赔</w:t>
      </w:r>
    </w:p>
    <w:p>
      <w:pPr>
        <w:pStyle w:val="6"/>
        <w:spacing w:before="0" w:after="0" w:line="360" w:lineRule="auto"/>
        <w:ind w:firstLine="424" w:firstLineChars="176"/>
        <w:rPr>
          <w:rFonts w:ascii="宋体" w:hAnsi="宋体"/>
          <w:b w:val="0"/>
          <w:snapToGrid w:val="0"/>
          <w:color w:val="auto"/>
          <w:kern w:val="0"/>
          <w:sz w:val="24"/>
          <w:szCs w:val="24"/>
          <w:highlight w:val="none"/>
        </w:rPr>
      </w:pPr>
      <w:r>
        <w:rPr>
          <w:rFonts w:hint="eastAsia" w:ascii="宋体" w:hAnsi="宋体"/>
          <w:snapToGrid w:val="0"/>
          <w:color w:val="auto"/>
          <w:kern w:val="0"/>
          <w:sz w:val="24"/>
          <w:szCs w:val="24"/>
          <w:highlight w:val="none"/>
        </w:rPr>
        <w:t>2</w:t>
      </w:r>
      <w:r>
        <w:rPr>
          <w:rFonts w:hint="eastAsia" w:ascii="宋体" w:hAnsi="宋体"/>
          <w:snapToGrid w:val="0"/>
          <w:color w:val="auto"/>
          <w:kern w:val="0"/>
          <w:sz w:val="24"/>
          <w:szCs w:val="24"/>
          <w:highlight w:val="none"/>
          <w:lang w:val="en-US" w:eastAsia="zh-CN"/>
        </w:rPr>
        <w:t>7</w:t>
      </w:r>
      <w:r>
        <w:rPr>
          <w:rFonts w:hint="eastAsia" w:ascii="宋体" w:hAnsi="宋体"/>
          <w:snapToGrid w:val="0"/>
          <w:color w:val="auto"/>
          <w:kern w:val="0"/>
          <w:sz w:val="24"/>
          <w:szCs w:val="24"/>
          <w:highlight w:val="none"/>
        </w:rPr>
        <w:t>、索赔</w:t>
      </w:r>
      <w:bookmarkEnd w:id="52"/>
    </w:p>
    <w:p>
      <w:pPr>
        <w:adjustRightInd w:val="0"/>
        <w:snapToGrid w:val="0"/>
        <w:spacing w:line="360" w:lineRule="auto"/>
        <w:ind w:firstLine="482" w:firstLineChars="200"/>
        <w:rPr>
          <w:rFonts w:hint="eastAsia" w:ascii="宋体" w:hAnsi="宋体"/>
          <w:snapToGrid w:val="0"/>
          <w:color w:val="auto"/>
          <w:kern w:val="0"/>
          <w:sz w:val="24"/>
          <w:highlight w:val="none"/>
        </w:rPr>
      </w:pPr>
      <w:bookmarkStart w:id="53" w:name="_Toc472802277"/>
      <w:r>
        <w:rPr>
          <w:rFonts w:hint="eastAsia" w:ascii="宋体" w:hAnsi="宋体"/>
          <w:b/>
          <w:snapToGrid w:val="0"/>
          <w:color w:val="auto"/>
          <w:kern w:val="0"/>
          <w:sz w:val="24"/>
          <w:highlight w:val="none"/>
          <w:lang w:val="en-US" w:eastAsia="zh-CN"/>
        </w:rPr>
        <w:t>27</w:t>
      </w:r>
      <w:r>
        <w:rPr>
          <w:rFonts w:hint="eastAsia" w:ascii="宋体" w:hAnsi="宋体"/>
          <w:b/>
          <w:snapToGrid w:val="0"/>
          <w:color w:val="auto"/>
          <w:kern w:val="0"/>
          <w:sz w:val="24"/>
          <w:highlight w:val="none"/>
        </w:rPr>
        <w:t>.1</w:t>
      </w:r>
      <w:r>
        <w:rPr>
          <w:rFonts w:hint="eastAsia" w:ascii="宋体" w:hAnsi="宋体" w:cs="宋体"/>
          <w:snapToGrid w:val="0"/>
          <w:color w:val="auto"/>
          <w:kern w:val="0"/>
          <w:sz w:val="24"/>
          <w:highlight w:val="none"/>
          <w:lang w:val="zh-CN"/>
        </w:rPr>
        <w:t>乙方未能按合同约定履行自己的各项义务或发生错误，甲方按</w:t>
      </w:r>
      <w:r>
        <w:rPr>
          <w:rFonts w:hint="eastAsia" w:ascii="宋体" w:hAnsi="宋体"/>
          <w:snapToGrid w:val="0"/>
          <w:color w:val="auto"/>
          <w:kern w:val="0"/>
          <w:sz w:val="24"/>
          <w:highlight w:val="none"/>
        </w:rPr>
        <w:t>如下约定向乙方索赔：</w:t>
      </w:r>
    </w:p>
    <w:p>
      <w:pPr>
        <w:adjustRightInd w:val="0"/>
        <w:snapToGrid w:val="0"/>
        <w:spacing w:line="360" w:lineRule="auto"/>
        <w:ind w:right="11" w:firstLine="460" w:firstLineChars="192"/>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（1）甲方通过电子或书面形式向乙方发出《工作联系单》或《整改通知书》，并要求乙方在限期内纠正自己的违约行为。</w:t>
      </w:r>
    </w:p>
    <w:p>
      <w:pPr>
        <w:adjustRightInd w:val="0"/>
        <w:snapToGrid w:val="0"/>
        <w:spacing w:line="360" w:lineRule="auto"/>
        <w:ind w:right="11"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（2）限期届满，乙方没有采取纠正行为或者纠正行为不能使甲方满意的，甲方将向乙方发出《</w:t>
      </w:r>
      <w:r>
        <w:rPr>
          <w:rFonts w:hint="eastAsia" w:ascii="宋体"/>
          <w:color w:val="auto"/>
          <w:sz w:val="24"/>
          <w:highlight w:val="none"/>
        </w:rPr>
        <w:t>设计人违约金（赔偿金）通知单</w:t>
      </w:r>
      <w:r>
        <w:rPr>
          <w:rFonts w:hint="eastAsia" w:ascii="宋体" w:hAnsi="宋体"/>
          <w:snapToGrid w:val="0"/>
          <w:color w:val="auto"/>
          <w:kern w:val="0"/>
          <w:sz w:val="24"/>
          <w:highlight w:val="none"/>
        </w:rPr>
        <w:t>》。</w:t>
      </w:r>
    </w:p>
    <w:p>
      <w:pPr>
        <w:adjustRightInd w:val="0"/>
        <w:snapToGrid w:val="0"/>
        <w:spacing w:line="360" w:lineRule="auto"/>
        <w:ind w:right="11"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val="en-US" w:eastAsia="zh-CN"/>
        </w:rPr>
        <w:t>3</w:t>
      </w:r>
      <w:r>
        <w:rPr>
          <w:rFonts w:hint="eastAsia" w:ascii="宋体" w:hAnsi="宋体"/>
          <w:snapToGrid w:val="0"/>
          <w:color w:val="auto"/>
          <w:kern w:val="0"/>
          <w:sz w:val="24"/>
          <w:highlight w:val="none"/>
        </w:rPr>
        <w:t>）乙方同意甲方对于乙方触及的违约行为事实所作出的违约金处罚优先从进度款、结算款中扣除，不足部分从履约保证金中扣除。同时甲方有权要求乙方在规定时间内按本合同条款第2</w:t>
      </w:r>
      <w:r>
        <w:rPr>
          <w:rFonts w:hint="eastAsia" w:ascii="宋体" w:hAnsi="宋体"/>
          <w:snapToGrid w:val="0"/>
          <w:color w:val="auto"/>
          <w:kern w:val="0"/>
          <w:sz w:val="24"/>
          <w:highlight w:val="none"/>
          <w:lang w:val="en-US" w:eastAsia="zh-CN"/>
        </w:rPr>
        <w:t>8</w:t>
      </w:r>
      <w:r>
        <w:rPr>
          <w:rFonts w:hint="eastAsia" w:ascii="宋体" w:hAnsi="宋体"/>
          <w:snapToGrid w:val="0"/>
          <w:color w:val="auto"/>
          <w:kern w:val="0"/>
          <w:sz w:val="24"/>
          <w:highlight w:val="none"/>
        </w:rPr>
        <w:t>.3条的约定向甲方补充提交履约保函。</w:t>
      </w:r>
    </w:p>
    <w:p>
      <w:pPr>
        <w:adjustRightInd w:val="0"/>
        <w:snapToGrid w:val="0"/>
        <w:spacing w:line="360" w:lineRule="auto"/>
        <w:ind w:right="11"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lang w:val="en-US" w:eastAsia="zh-CN"/>
        </w:rPr>
        <w:t>4</w:t>
      </w:r>
      <w:r>
        <w:rPr>
          <w:rFonts w:hint="eastAsia" w:ascii="宋体" w:hAnsi="宋体"/>
          <w:snapToGrid w:val="0"/>
          <w:color w:val="auto"/>
          <w:kern w:val="0"/>
          <w:sz w:val="24"/>
          <w:highlight w:val="none"/>
        </w:rPr>
        <w:t>）如果通过直接扣取勘察、设计费以及向银行索赔等方式依然不能完全弥补甲方损失的，乙方必须在甲方规定的时间内以现金形式支付剩余索赔额。否则，甲方将按本合同条款第3</w:t>
      </w:r>
      <w:r>
        <w:rPr>
          <w:rFonts w:hint="eastAsia" w:ascii="宋体" w:hAnsi="宋体"/>
          <w:snapToGrid w:val="0"/>
          <w:color w:val="auto"/>
          <w:kern w:val="0"/>
          <w:sz w:val="24"/>
          <w:highlight w:val="none"/>
          <w:lang w:val="en-US" w:eastAsia="zh-CN"/>
        </w:rPr>
        <w:t>0</w:t>
      </w:r>
      <w:r>
        <w:rPr>
          <w:rFonts w:hint="eastAsia" w:ascii="宋体" w:hAnsi="宋体"/>
          <w:snapToGrid w:val="0"/>
          <w:color w:val="auto"/>
          <w:kern w:val="0"/>
          <w:sz w:val="24"/>
          <w:highlight w:val="none"/>
        </w:rPr>
        <w:t>条的约定处理。</w:t>
      </w:r>
    </w:p>
    <w:p>
      <w:pPr>
        <w:adjustRightInd w:val="0"/>
        <w:snapToGrid w:val="0"/>
        <w:spacing w:line="360" w:lineRule="auto"/>
        <w:jc w:val="center"/>
        <w:rPr>
          <w:rFonts w:hint="eastAsia" w:ascii="宋体" w:hAnsi="宋体"/>
          <w:snapToGrid w:val="0"/>
          <w:color w:val="auto"/>
          <w:kern w:val="0"/>
          <w:sz w:val="24"/>
          <w:highlight w:val="none"/>
        </w:rPr>
      </w:pPr>
      <w:r>
        <w:rPr>
          <w:rFonts w:hint="eastAsia" w:ascii="宋体" w:hAnsi="宋体"/>
          <w:b/>
          <w:snapToGrid w:val="0"/>
          <w:color w:val="auto"/>
          <w:kern w:val="0"/>
          <w:sz w:val="24"/>
          <w:highlight w:val="none"/>
        </w:rPr>
        <w:t xml:space="preserve">  </w:t>
      </w:r>
      <w:r>
        <w:rPr>
          <w:rFonts w:hint="eastAsia" w:ascii="宋体" w:hAnsi="宋体"/>
          <w:b/>
          <w:snapToGrid w:val="0"/>
          <w:color w:val="auto"/>
          <w:kern w:val="0"/>
          <w:sz w:val="24"/>
          <w:highlight w:val="none"/>
          <w:lang w:val="en-US" w:eastAsia="zh-CN"/>
        </w:rPr>
        <w:t>27</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在任何索赔期间，不论索赔是否有据，均不能免除乙方按合同约定应履行的合同义务。乙方不得以此为借口，拒不履行或拖延合同的履行，否则甲方有</w:t>
      </w:r>
    </w:p>
    <w:p>
      <w:pPr>
        <w:adjustRightInd w:val="0"/>
        <w:snapToGrid w:val="0"/>
        <w:spacing w:line="360" w:lineRule="auto"/>
        <w:rPr>
          <w:rFonts w:hint="eastAsia" w:ascii="宋体" w:hAnsi="宋体"/>
          <w:b/>
          <w:snapToGrid w:val="0"/>
          <w:color w:val="auto"/>
          <w:kern w:val="0"/>
          <w:sz w:val="30"/>
          <w:szCs w:val="30"/>
          <w:highlight w:val="none"/>
        </w:rPr>
      </w:pPr>
      <w:r>
        <w:rPr>
          <w:rFonts w:hint="eastAsia" w:ascii="宋体" w:hAnsi="宋体"/>
          <w:snapToGrid w:val="0"/>
          <w:color w:val="auto"/>
          <w:kern w:val="0"/>
          <w:sz w:val="24"/>
          <w:highlight w:val="none"/>
        </w:rPr>
        <w:t>权终止合同并要求乙方赔偿由此而给甲方造成的全部损失。</w:t>
      </w:r>
    </w:p>
    <w:p>
      <w:pPr>
        <w:adjustRightInd w:val="0"/>
        <w:snapToGrid w:val="0"/>
        <w:spacing w:line="360" w:lineRule="auto"/>
        <w:jc w:val="center"/>
        <w:rPr>
          <w:rFonts w:hint="eastAsia" w:ascii="宋体" w:hAnsi="宋体"/>
          <w:b/>
          <w:snapToGrid w:val="0"/>
          <w:color w:val="auto"/>
          <w:kern w:val="0"/>
          <w:sz w:val="30"/>
          <w:szCs w:val="30"/>
          <w:highlight w:val="none"/>
        </w:rPr>
      </w:pPr>
    </w:p>
    <w:p>
      <w:pPr>
        <w:pStyle w:val="4"/>
        <w:jc w:val="center"/>
        <w:rPr>
          <w:rFonts w:hint="eastAsia"/>
          <w:color w:val="auto"/>
          <w:sz w:val="30"/>
          <w:szCs w:val="30"/>
          <w:highlight w:val="none"/>
        </w:rPr>
      </w:pPr>
      <w:r>
        <w:rPr>
          <w:rFonts w:hint="eastAsia"/>
          <w:color w:val="auto"/>
          <w:sz w:val="30"/>
          <w:szCs w:val="30"/>
          <w:highlight w:val="none"/>
        </w:rPr>
        <w:t>第十</w:t>
      </w:r>
      <w:r>
        <w:rPr>
          <w:rFonts w:hint="eastAsia"/>
          <w:color w:val="auto"/>
          <w:sz w:val="30"/>
          <w:szCs w:val="30"/>
          <w:highlight w:val="none"/>
          <w:lang w:eastAsia="zh-CN"/>
        </w:rPr>
        <w:t>五</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保险与担保</w:t>
      </w:r>
      <w:bookmarkEnd w:id="53"/>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54" w:name="_Toc472802278"/>
      <w:r>
        <w:rPr>
          <w:rFonts w:hint="eastAsia" w:ascii="宋体" w:hAnsi="宋体"/>
          <w:snapToGrid w:val="0"/>
          <w:color w:val="auto"/>
          <w:kern w:val="0"/>
          <w:sz w:val="24"/>
          <w:szCs w:val="24"/>
          <w:highlight w:val="none"/>
          <w:lang w:val="en-US" w:eastAsia="zh-CN"/>
        </w:rPr>
        <w:t>28</w:t>
      </w:r>
      <w:r>
        <w:rPr>
          <w:rFonts w:hint="eastAsia" w:ascii="宋体" w:hAnsi="宋体"/>
          <w:snapToGrid w:val="0"/>
          <w:color w:val="auto"/>
          <w:kern w:val="0"/>
          <w:sz w:val="24"/>
          <w:szCs w:val="24"/>
          <w:highlight w:val="none"/>
        </w:rPr>
        <w:t>、保险与担保</w:t>
      </w:r>
      <w:bookmarkEnd w:id="54"/>
    </w:p>
    <w:p>
      <w:pPr>
        <w:adjustRightInd w:val="0"/>
        <w:snapToGrid w:val="0"/>
        <w:spacing w:line="360" w:lineRule="auto"/>
        <w:ind w:right="11" w:firstLine="424" w:firstLineChars="176"/>
        <w:rPr>
          <w:rFonts w:ascii="宋体" w:hAnsi="宋体"/>
          <w:bCs/>
          <w:snapToGrid w:val="0"/>
          <w:color w:val="auto"/>
          <w:kern w:val="0"/>
          <w:sz w:val="24"/>
          <w:highlight w:val="none"/>
        </w:rPr>
      </w:pPr>
      <w:r>
        <w:rPr>
          <w:rFonts w:hint="eastAsia" w:ascii="宋体" w:hAnsi="宋体"/>
          <w:b/>
          <w:bCs/>
          <w:snapToGrid w:val="0"/>
          <w:color w:val="auto"/>
          <w:kern w:val="0"/>
          <w:sz w:val="24"/>
          <w:highlight w:val="none"/>
          <w:lang w:val="en-US" w:eastAsia="zh-CN"/>
        </w:rPr>
        <w:t>28</w:t>
      </w:r>
      <w:r>
        <w:rPr>
          <w:rFonts w:ascii="宋体" w:hAnsi="宋体"/>
          <w:b/>
          <w:bCs/>
          <w:snapToGrid w:val="0"/>
          <w:color w:val="auto"/>
          <w:kern w:val="0"/>
          <w:sz w:val="24"/>
          <w:highlight w:val="none"/>
        </w:rPr>
        <w:t>.</w:t>
      </w:r>
      <w:r>
        <w:rPr>
          <w:rFonts w:hint="eastAsia" w:ascii="宋体" w:hAnsi="宋体"/>
          <w:b/>
          <w:bCs/>
          <w:snapToGrid w:val="0"/>
          <w:color w:val="auto"/>
          <w:kern w:val="0"/>
          <w:sz w:val="24"/>
          <w:highlight w:val="none"/>
        </w:rPr>
        <w:t>1</w:t>
      </w:r>
      <w:r>
        <w:rPr>
          <w:rFonts w:hint="eastAsia" w:ascii="宋体" w:hAnsi="宋体"/>
          <w:bCs/>
          <w:snapToGrid w:val="0"/>
          <w:color w:val="auto"/>
          <w:kern w:val="0"/>
          <w:sz w:val="24"/>
          <w:highlight w:val="none"/>
        </w:rPr>
        <w:t>双方约定，乙方按照如下约定向甲方提供设计责任保险和履约担保文件：</w:t>
      </w:r>
    </w:p>
    <w:p>
      <w:pPr>
        <w:adjustRightInd w:val="0"/>
        <w:snapToGrid w:val="0"/>
        <w:spacing w:line="360" w:lineRule="auto"/>
        <w:ind w:right="11" w:firstLine="422" w:firstLineChars="176"/>
        <w:rPr>
          <w:rFonts w:ascii="宋体" w:hAnsi="宋体"/>
          <w:snapToGrid w:val="0"/>
          <w:color w:val="auto"/>
          <w:kern w:val="0"/>
          <w:sz w:val="24"/>
          <w:highlight w:val="none"/>
        </w:rPr>
      </w:pPr>
      <w:r>
        <w:rPr>
          <w:rFonts w:hint="eastAsia" w:ascii="宋体" w:hAnsi="宋体"/>
          <w:bCs/>
          <w:snapToGrid w:val="0"/>
          <w:color w:val="auto"/>
          <w:kern w:val="0"/>
          <w:sz w:val="24"/>
          <w:highlight w:val="none"/>
        </w:rPr>
        <w:t>（1）</w:t>
      </w:r>
      <w:r>
        <w:rPr>
          <w:rFonts w:hint="eastAsia" w:ascii="宋体" w:hAnsi="宋体"/>
          <w:snapToGrid w:val="0"/>
          <w:color w:val="auto"/>
          <w:kern w:val="0"/>
          <w:sz w:val="24"/>
          <w:highlight w:val="none"/>
        </w:rPr>
        <w:t>本合同签订后一个月内，乙方应向甲方提交由在中华人民共和国注册并经营的保险公司（如为分支机构，须具有国家规定的经营保险业务的资格）开出的单项建设工程设计责任保险单正本及相应条款一份，相关费用由乙方承担。</w:t>
      </w:r>
    </w:p>
    <w:p>
      <w:pPr>
        <w:adjustRightInd w:val="0"/>
        <w:snapToGrid w:val="0"/>
        <w:spacing w:line="360" w:lineRule="auto"/>
        <w:ind w:right="11"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（2）乙方不按上述约定购买保险所产生的后果，由乙方自行承担。</w:t>
      </w:r>
    </w:p>
    <w:p>
      <w:pPr>
        <w:adjustRightInd w:val="0"/>
        <w:snapToGrid w:val="0"/>
        <w:spacing w:line="360" w:lineRule="auto"/>
        <w:ind w:right="11"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（3）乙方在</w:t>
      </w:r>
      <w:r>
        <w:rPr>
          <w:rFonts w:hint="eastAsia" w:ascii="宋体" w:hAnsi="宋体"/>
          <w:snapToGrid w:val="0"/>
          <w:color w:val="auto"/>
          <w:kern w:val="0"/>
          <w:sz w:val="24"/>
          <w:highlight w:val="none"/>
          <w:lang w:val="en-US" w:eastAsia="zh-CN"/>
        </w:rPr>
        <w:t>合同签订后30日</w:t>
      </w:r>
      <w:r>
        <w:rPr>
          <w:rFonts w:hint="eastAsia" w:ascii="宋体" w:hAnsi="宋体"/>
          <w:snapToGrid w:val="0"/>
          <w:color w:val="auto"/>
          <w:kern w:val="0"/>
          <w:sz w:val="24"/>
          <w:highlight w:val="none"/>
        </w:rPr>
        <w:t>内，应向甲方提交由在中华人民共和国注册且营业地点在广州市行政辖区内的银行开出的担保金额为</w:t>
      </w:r>
      <w:r>
        <w:rPr>
          <w:rFonts w:hint="eastAsia" w:ascii="宋体" w:hAnsi="宋体"/>
          <w:snapToGrid w:val="0"/>
          <w:color w:val="auto"/>
          <w:kern w:val="0"/>
          <w:sz w:val="24"/>
          <w:highlight w:val="none"/>
        </w:rPr>
        <w:t>合同价款的</w:t>
      </w:r>
      <w:r>
        <w:rPr>
          <w:rFonts w:hint="eastAsia" w:ascii="宋体" w:hAnsi="宋体"/>
          <w:snapToGrid w:val="0"/>
          <w:color w:val="auto"/>
          <w:kern w:val="0"/>
          <w:sz w:val="24"/>
          <w:highlight w:val="none"/>
          <w:u w:val="single"/>
        </w:rPr>
        <w:t>10</w:t>
      </w:r>
      <w:r>
        <w:rPr>
          <w:rFonts w:hint="eastAsia" w:ascii="宋体" w:hAnsi="宋体"/>
          <w:snapToGrid w:val="0"/>
          <w:color w:val="auto"/>
          <w:kern w:val="0"/>
          <w:sz w:val="24"/>
          <w:highlight w:val="none"/>
        </w:rPr>
        <w:t>％</w:t>
      </w:r>
      <w:r>
        <w:rPr>
          <w:rFonts w:hint="eastAsia" w:ascii="宋体" w:hAnsi="宋体"/>
          <w:snapToGrid w:val="0"/>
          <w:color w:val="auto"/>
          <w:kern w:val="0"/>
          <w:sz w:val="24"/>
          <w:highlight w:val="none"/>
        </w:rPr>
        <w:t>的《履约银行保函》原件，且是不可撤销的银行保函。乙方如未能在上述约定的时间内提交履约银行保函的，</w:t>
      </w:r>
      <w:r>
        <w:rPr>
          <w:rFonts w:hint="eastAsia" w:ascii="宋体" w:hAnsi="宋体"/>
          <w:snapToGrid w:val="0"/>
          <w:color w:val="auto"/>
          <w:kern w:val="0"/>
          <w:sz w:val="24"/>
          <w:highlight w:val="none"/>
          <w:lang w:val="en-US" w:eastAsia="zh-CN"/>
        </w:rPr>
        <w:t>甲方有权不支付合同款项</w:t>
      </w:r>
      <w:r>
        <w:rPr>
          <w:rFonts w:hint="eastAsia" w:ascii="宋体" w:hAnsi="宋体"/>
          <w:snapToGrid w:val="0"/>
          <w:color w:val="auto"/>
          <w:kern w:val="0"/>
          <w:sz w:val="24"/>
          <w:highlight w:val="none"/>
        </w:rPr>
        <w:t>。</w:t>
      </w:r>
    </w:p>
    <w:p>
      <w:pPr>
        <w:adjustRightInd w:val="0"/>
        <w:snapToGrid w:val="0"/>
        <w:spacing w:line="360" w:lineRule="auto"/>
        <w:ind w:right="11" w:firstLine="422" w:firstLineChars="176"/>
        <w:rPr>
          <w:rFonts w:ascii="宋体" w:hAnsi="宋体"/>
          <w:snapToGrid w:val="0"/>
          <w:color w:val="auto"/>
          <w:kern w:val="0"/>
          <w:sz w:val="24"/>
          <w:highlight w:val="none"/>
        </w:rPr>
      </w:pPr>
      <w:r>
        <w:rPr>
          <w:rFonts w:hint="eastAsia" w:ascii="宋体" w:hAnsi="宋体"/>
          <w:snapToGrid w:val="0"/>
          <w:color w:val="auto"/>
          <w:kern w:val="0"/>
          <w:sz w:val="24"/>
          <w:highlight w:val="none"/>
        </w:rPr>
        <w:t>（4）建设工程发生损失后，应由政府建设行政主管部门按照国家有关建设工程质量事故调查处理的规定做出鉴定结论。</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28</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乙方提交的履约银行保函是对本合同约定的乙方的全部义务（包括但不限于乙方违约后应支付的违约金和赔偿金）的担保，乙方的任何一次不履行或不完全履行合同义务的行为，甲方均有权向出函银行提出索赔。</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28</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不履行或不完全履行合同义务的行为导致甲方依据履约银行保函向银行索赔履约银行保函金额的一部分或者全部的，乙方必须在甲方规定的时间内补充提交履约银行保函，使得本合同履行期间有效的履约银行保函金额等于乙方第一次提交的履约银行保函金额。</w:t>
      </w:r>
    </w:p>
    <w:p>
      <w:pPr>
        <w:adjustRightInd w:val="0"/>
        <w:snapToGrid w:val="0"/>
        <w:spacing w:line="360" w:lineRule="auto"/>
        <w:ind w:right="11" w:firstLine="424" w:firstLineChars="176"/>
        <w:rPr>
          <w:rFonts w:hint="eastAsia"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28</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在乙方按照合同要求实施和完成本合同工程之前，履约担保一直有效。如果履约保函因有效期届满，致使履约保函自动失效，而乙方尚未按合同要求实施和完成本合同工程的，乙方应在保函有效期满前</w:t>
      </w:r>
      <w:r>
        <w:rPr>
          <w:rFonts w:ascii="宋体" w:hAnsi="宋体"/>
          <w:snapToGrid w:val="0"/>
          <w:color w:val="auto"/>
          <w:kern w:val="0"/>
          <w:sz w:val="24"/>
          <w:highlight w:val="none"/>
        </w:rPr>
        <w:t>3个月无条件办理保函续保，新保函的有效期不低于3年。否则甲方有权从进度款中扣除相应金额（签约合同价的10%），作为履约担保。</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28</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如果乙方不按甲方的要求及时补充提交履约银行保函，则甲方有权单方面部分解除或解除本合同，并按合同条款第</w:t>
      </w:r>
      <w:r>
        <w:rPr>
          <w:rFonts w:hint="eastAsia" w:ascii="宋体" w:hAnsi="宋体"/>
          <w:snapToGrid w:val="0"/>
          <w:color w:val="auto"/>
          <w:kern w:val="0"/>
          <w:sz w:val="24"/>
          <w:highlight w:val="none"/>
          <w:lang w:val="en-US" w:eastAsia="zh-CN"/>
        </w:rPr>
        <w:t>26</w:t>
      </w:r>
      <w:r>
        <w:rPr>
          <w:rFonts w:hint="eastAsia" w:ascii="宋体" w:hAnsi="宋体"/>
          <w:snapToGrid w:val="0"/>
          <w:color w:val="auto"/>
          <w:kern w:val="0"/>
          <w:sz w:val="24"/>
          <w:highlight w:val="none"/>
        </w:rPr>
        <w:t>.1（4）、（5）款的有关约定执行。</w:t>
      </w:r>
    </w:p>
    <w:p>
      <w:pPr>
        <w:adjustRightInd w:val="0"/>
        <w:snapToGrid w:val="0"/>
        <w:spacing w:line="360" w:lineRule="auto"/>
        <w:ind w:right="11" w:firstLine="424" w:firstLineChars="176"/>
        <w:rPr>
          <w:rFonts w:ascii="宋体" w:hAnsi="宋体" w:cs="宋体"/>
          <w:snapToGrid w:val="0"/>
          <w:color w:val="auto"/>
          <w:kern w:val="0"/>
          <w:sz w:val="24"/>
          <w:highlight w:val="none"/>
          <w:lang w:val="zh-CN"/>
        </w:rPr>
      </w:pPr>
      <w:r>
        <w:rPr>
          <w:rFonts w:hint="eastAsia" w:ascii="宋体" w:hAnsi="宋体"/>
          <w:b/>
          <w:snapToGrid w:val="0"/>
          <w:color w:val="auto"/>
          <w:kern w:val="0"/>
          <w:sz w:val="24"/>
          <w:highlight w:val="none"/>
          <w:lang w:val="en-US" w:eastAsia="zh-CN"/>
        </w:rPr>
        <w:t>28</w:t>
      </w:r>
      <w:r>
        <w:rPr>
          <w:rFonts w:hint="eastAsia" w:ascii="宋体" w:hAnsi="宋体"/>
          <w:b/>
          <w:snapToGrid w:val="0"/>
          <w:color w:val="auto"/>
          <w:kern w:val="0"/>
          <w:sz w:val="24"/>
          <w:highlight w:val="none"/>
        </w:rPr>
        <w:t>.6</w:t>
      </w:r>
      <w:r>
        <w:rPr>
          <w:rFonts w:hint="eastAsia" w:ascii="宋体" w:hAnsi="宋体" w:cs="宋体"/>
          <w:snapToGrid w:val="0"/>
          <w:color w:val="auto"/>
          <w:kern w:val="0"/>
          <w:sz w:val="24"/>
          <w:highlight w:val="none"/>
          <w:lang w:val="zh-CN"/>
        </w:rPr>
        <w:t>合同结算最终定审后，乙方可以向甲方申请退还履约银行保函。</w:t>
      </w:r>
    </w:p>
    <w:p>
      <w:pPr>
        <w:adjustRightInd w:val="0"/>
        <w:snapToGrid w:val="0"/>
        <w:spacing w:line="360" w:lineRule="auto"/>
        <w:ind w:right="11" w:firstLine="422" w:firstLineChars="176"/>
        <w:rPr>
          <w:rFonts w:ascii="宋体" w:hAnsi="宋体" w:cs="宋体"/>
          <w:snapToGrid w:val="0"/>
          <w:color w:val="auto"/>
          <w:kern w:val="0"/>
          <w:sz w:val="24"/>
          <w:highlight w:val="none"/>
          <w:lang w:val="zh-CN"/>
        </w:rPr>
      </w:pPr>
    </w:p>
    <w:p>
      <w:pPr>
        <w:pStyle w:val="4"/>
        <w:jc w:val="center"/>
        <w:rPr>
          <w:rFonts w:hint="eastAsia"/>
          <w:color w:val="auto"/>
          <w:sz w:val="30"/>
          <w:szCs w:val="30"/>
          <w:highlight w:val="none"/>
        </w:rPr>
      </w:pPr>
      <w:bookmarkStart w:id="55" w:name="_Toc472802279"/>
      <w:r>
        <w:rPr>
          <w:rFonts w:hint="eastAsia"/>
          <w:color w:val="auto"/>
          <w:sz w:val="30"/>
          <w:szCs w:val="30"/>
          <w:highlight w:val="none"/>
        </w:rPr>
        <w:t>第十</w:t>
      </w:r>
      <w:r>
        <w:rPr>
          <w:rFonts w:hint="eastAsia"/>
          <w:color w:val="auto"/>
          <w:sz w:val="30"/>
          <w:szCs w:val="30"/>
          <w:highlight w:val="none"/>
          <w:lang w:eastAsia="zh-CN"/>
        </w:rPr>
        <w:t>六</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税  费</w:t>
      </w:r>
      <w:bookmarkEnd w:id="55"/>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56" w:name="_Toc472802280"/>
      <w:r>
        <w:rPr>
          <w:rFonts w:hint="eastAsia" w:ascii="宋体" w:hAnsi="宋体"/>
          <w:snapToGrid w:val="0"/>
          <w:color w:val="auto"/>
          <w:kern w:val="0"/>
          <w:sz w:val="24"/>
          <w:szCs w:val="24"/>
          <w:highlight w:val="none"/>
          <w:lang w:val="en-US" w:eastAsia="zh-CN"/>
        </w:rPr>
        <w:t>29</w:t>
      </w:r>
      <w:r>
        <w:rPr>
          <w:rFonts w:hint="eastAsia" w:ascii="宋体" w:hAnsi="宋体"/>
          <w:snapToGrid w:val="0"/>
          <w:color w:val="auto"/>
          <w:kern w:val="0"/>
          <w:sz w:val="24"/>
          <w:szCs w:val="24"/>
          <w:highlight w:val="none"/>
        </w:rPr>
        <w:t>、税费</w:t>
      </w:r>
      <w:bookmarkEnd w:id="56"/>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29</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乙方及其雇员因履行本合同而在中国境内取得的一切收入，必须依照中国税法纳税，税金全部由乙方及其雇员承担。</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29</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乙方因履行本合同而在中国境内取得收入，依据中国、广东省、广州市有关法律、法规和行政规章必须缴纳的费用，全部由乙方承担。</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lang w:val="en-US" w:eastAsia="zh-CN"/>
        </w:rPr>
        <w:t>29</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凡因履行本合同而发生在中国以外的一切税费，全部由乙方承担。</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cs="宋体"/>
          <w:b/>
          <w:bCs/>
          <w:color w:val="auto"/>
          <w:sz w:val="24"/>
          <w:highlight w:val="none"/>
          <w:lang w:val="en-US" w:eastAsia="zh-CN"/>
        </w:rPr>
        <w:t>29</w:t>
      </w:r>
      <w:r>
        <w:rPr>
          <w:rFonts w:hint="eastAsia" w:ascii="宋体" w:hAnsi="宋体" w:cs="宋体"/>
          <w:b/>
          <w:bCs/>
          <w:color w:val="auto"/>
          <w:sz w:val="24"/>
          <w:highlight w:val="none"/>
        </w:rPr>
        <w:t>.4</w:t>
      </w:r>
      <w:r>
        <w:rPr>
          <w:rFonts w:hint="eastAsia" w:ascii="宋体" w:hAnsi="宋体" w:cs="宋体"/>
          <w:color w:val="auto"/>
          <w:sz w:val="24"/>
          <w:highlight w:val="none"/>
        </w:rPr>
        <w:t>乙方应依法提供有效发票，不得开具虚假发票，或由非乙方公司代开发票（税务部门按规定代开的发票除外）。如乙方提供之发票违反相关法律法规规定，甲方有权要求乙方在7日内重新开具，否则，甲方有权</w:t>
      </w:r>
      <w:r>
        <w:rPr>
          <w:rFonts w:hint="eastAsia" w:ascii="宋体" w:hAnsi="宋体" w:cs="宋体"/>
          <w:color w:val="auto"/>
          <w:sz w:val="24"/>
          <w:highlight w:val="none"/>
          <w:lang w:eastAsia="zh-CN"/>
        </w:rPr>
        <w:t>不支付进度款并解除本合同，给甲方造成损失的，还应承担赔偿责任</w:t>
      </w:r>
      <w:r>
        <w:rPr>
          <w:rFonts w:hint="eastAsia" w:ascii="宋体" w:hAnsi="宋体" w:cs="宋体"/>
          <w:color w:val="auto"/>
          <w:sz w:val="24"/>
          <w:highlight w:val="none"/>
        </w:rPr>
        <w:t>。</w:t>
      </w:r>
    </w:p>
    <w:p>
      <w:pPr>
        <w:adjustRightInd w:val="0"/>
        <w:snapToGrid w:val="0"/>
        <w:spacing w:line="360" w:lineRule="auto"/>
        <w:ind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57" w:name="_Toc472802281"/>
      <w:r>
        <w:rPr>
          <w:rFonts w:hint="eastAsia"/>
          <w:color w:val="auto"/>
          <w:sz w:val="30"/>
          <w:szCs w:val="30"/>
          <w:highlight w:val="none"/>
        </w:rPr>
        <w:t>第十</w:t>
      </w:r>
      <w:r>
        <w:rPr>
          <w:rFonts w:hint="eastAsia"/>
          <w:color w:val="auto"/>
          <w:sz w:val="30"/>
          <w:szCs w:val="30"/>
          <w:highlight w:val="none"/>
          <w:lang w:eastAsia="zh-CN"/>
        </w:rPr>
        <w:t>七</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法律适用及</w:t>
      </w:r>
      <w:bookmarkEnd w:id="57"/>
      <w:r>
        <w:rPr>
          <w:rFonts w:hint="eastAsia"/>
          <w:color w:val="auto"/>
          <w:sz w:val="30"/>
          <w:szCs w:val="30"/>
          <w:highlight w:val="none"/>
        </w:rPr>
        <w:t>仲裁</w:t>
      </w:r>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58" w:name="_Toc472802282"/>
      <w:r>
        <w:rPr>
          <w:rFonts w:hint="eastAsia" w:ascii="宋体" w:hAnsi="宋体"/>
          <w:snapToGrid w:val="0"/>
          <w:color w:val="auto"/>
          <w:kern w:val="0"/>
          <w:sz w:val="24"/>
          <w:szCs w:val="24"/>
          <w:highlight w:val="none"/>
        </w:rPr>
        <w:t>3</w:t>
      </w:r>
      <w:r>
        <w:rPr>
          <w:rFonts w:hint="eastAsia" w:ascii="宋体" w:hAnsi="宋体"/>
          <w:snapToGrid w:val="0"/>
          <w:color w:val="auto"/>
          <w:kern w:val="0"/>
          <w:sz w:val="24"/>
          <w:szCs w:val="24"/>
          <w:highlight w:val="none"/>
          <w:lang w:val="en-US" w:eastAsia="zh-CN"/>
        </w:rPr>
        <w:t>0</w:t>
      </w:r>
      <w:r>
        <w:rPr>
          <w:rFonts w:hint="eastAsia" w:ascii="宋体" w:hAnsi="宋体"/>
          <w:snapToGrid w:val="0"/>
          <w:color w:val="auto"/>
          <w:kern w:val="0"/>
          <w:sz w:val="24"/>
          <w:szCs w:val="24"/>
          <w:highlight w:val="none"/>
        </w:rPr>
        <w:t>、法律适用及</w:t>
      </w:r>
      <w:bookmarkEnd w:id="58"/>
      <w:r>
        <w:rPr>
          <w:rFonts w:hint="eastAsia" w:ascii="宋体" w:hAnsi="宋体"/>
          <w:snapToGrid w:val="0"/>
          <w:color w:val="auto"/>
          <w:kern w:val="0"/>
          <w:sz w:val="24"/>
          <w:szCs w:val="24"/>
          <w:highlight w:val="none"/>
        </w:rPr>
        <w:t>仲裁</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0</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本合同的订立、效力、解释、履行和争议等的解决均受中华人民共和国法律的管辖。</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0</w:t>
      </w:r>
      <w:r>
        <w:rPr>
          <w:rFonts w:hint="eastAsia" w:ascii="宋体" w:hAnsi="宋体"/>
          <w:b/>
          <w:snapToGrid w:val="0"/>
          <w:color w:val="auto"/>
          <w:kern w:val="0"/>
          <w:sz w:val="24"/>
          <w:highlight w:val="none"/>
        </w:rPr>
        <w:t>.2</w:t>
      </w:r>
      <w:r>
        <w:rPr>
          <w:rFonts w:hint="eastAsia" w:ascii="宋体" w:hAnsi="宋体"/>
          <w:snapToGrid w:val="0"/>
          <w:color w:val="auto"/>
          <w:kern w:val="0"/>
          <w:sz w:val="24"/>
          <w:highlight w:val="none"/>
        </w:rPr>
        <w:t>凡因履行本合同而引起的一切争议或与本合同有关的争议，应由甲、乙双方通过友好协商解决。协商不成时，任何一方均有权提交工程所在地人民法院诉讼解决。</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0</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在</w:t>
      </w:r>
      <w:r>
        <w:rPr>
          <w:rFonts w:hint="eastAsia" w:ascii="宋体" w:hAnsi="宋体"/>
          <w:snapToGrid w:val="0"/>
          <w:color w:val="auto"/>
          <w:kern w:val="0"/>
          <w:sz w:val="24"/>
          <w:highlight w:val="none"/>
          <w:lang w:eastAsia="zh-CN"/>
        </w:rPr>
        <w:t>诉讼</w:t>
      </w:r>
      <w:r>
        <w:rPr>
          <w:rFonts w:hint="eastAsia" w:ascii="宋体" w:hAnsi="宋体"/>
          <w:snapToGrid w:val="0"/>
          <w:color w:val="auto"/>
          <w:kern w:val="0"/>
          <w:sz w:val="24"/>
          <w:highlight w:val="none"/>
        </w:rPr>
        <w:t>过程中，除提交</w:t>
      </w:r>
      <w:r>
        <w:rPr>
          <w:rFonts w:hint="eastAsia" w:ascii="宋体" w:hAnsi="宋体"/>
          <w:snapToGrid w:val="0"/>
          <w:color w:val="auto"/>
          <w:kern w:val="0"/>
          <w:sz w:val="24"/>
          <w:highlight w:val="none"/>
          <w:lang w:eastAsia="zh-CN"/>
        </w:rPr>
        <w:t>诉讼</w:t>
      </w:r>
      <w:r>
        <w:rPr>
          <w:rFonts w:hint="eastAsia" w:ascii="宋体" w:hAnsi="宋体"/>
          <w:snapToGrid w:val="0"/>
          <w:color w:val="auto"/>
          <w:kern w:val="0"/>
          <w:sz w:val="24"/>
          <w:highlight w:val="none"/>
        </w:rPr>
        <w:t>的部分之外，甲、乙双方均应继续履行合同的其他条款。对于甲方依据本合同条款第2</w:t>
      </w:r>
      <w:r>
        <w:rPr>
          <w:rFonts w:hint="eastAsia" w:ascii="宋体" w:hAnsi="宋体"/>
          <w:snapToGrid w:val="0"/>
          <w:color w:val="auto"/>
          <w:kern w:val="0"/>
          <w:sz w:val="24"/>
          <w:highlight w:val="none"/>
          <w:lang w:val="en-US" w:eastAsia="zh-CN"/>
        </w:rPr>
        <w:t>6</w:t>
      </w:r>
      <w:r>
        <w:rPr>
          <w:rFonts w:hint="eastAsia" w:ascii="宋体" w:hAnsi="宋体"/>
          <w:snapToGrid w:val="0"/>
          <w:color w:val="auto"/>
          <w:kern w:val="0"/>
          <w:sz w:val="24"/>
          <w:highlight w:val="none"/>
        </w:rPr>
        <w:t>条的有关约定单方面解除合同的，乙方应及时移交资料和退场，同时不得妨碍甲方另行委托其他单位实施本合同工程的勘察、设计工作。</w:t>
      </w:r>
    </w:p>
    <w:p>
      <w:pPr>
        <w:adjustRightInd w:val="0"/>
        <w:snapToGrid w:val="0"/>
        <w:spacing w:line="360" w:lineRule="auto"/>
        <w:ind w:left="479" w:leftChars="228"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59" w:name="_Toc472802283"/>
      <w:r>
        <w:rPr>
          <w:rFonts w:hint="eastAsia"/>
          <w:color w:val="auto"/>
          <w:sz w:val="30"/>
          <w:szCs w:val="30"/>
          <w:highlight w:val="none"/>
        </w:rPr>
        <w:t>第十</w:t>
      </w:r>
      <w:r>
        <w:rPr>
          <w:rFonts w:hint="eastAsia"/>
          <w:color w:val="auto"/>
          <w:sz w:val="30"/>
          <w:szCs w:val="30"/>
          <w:highlight w:val="none"/>
          <w:lang w:eastAsia="zh-CN"/>
        </w:rPr>
        <w:t>八</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保密、知识产权与专利技术</w:t>
      </w:r>
      <w:bookmarkEnd w:id="59"/>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60" w:name="_Toc472802284"/>
      <w:r>
        <w:rPr>
          <w:rFonts w:hint="eastAsia" w:ascii="宋体" w:hAnsi="宋体"/>
          <w:snapToGrid w:val="0"/>
          <w:color w:val="auto"/>
          <w:kern w:val="0"/>
          <w:sz w:val="24"/>
          <w:szCs w:val="24"/>
          <w:highlight w:val="none"/>
        </w:rPr>
        <w:t>3</w:t>
      </w:r>
      <w:r>
        <w:rPr>
          <w:rFonts w:hint="eastAsia" w:ascii="宋体" w:hAnsi="宋体"/>
          <w:snapToGrid w:val="0"/>
          <w:color w:val="auto"/>
          <w:kern w:val="0"/>
          <w:sz w:val="24"/>
          <w:szCs w:val="24"/>
          <w:highlight w:val="none"/>
          <w:lang w:val="en-US" w:eastAsia="zh-CN"/>
        </w:rPr>
        <w:t>1</w:t>
      </w:r>
      <w:r>
        <w:rPr>
          <w:rFonts w:hint="eastAsia" w:ascii="宋体" w:hAnsi="宋体"/>
          <w:snapToGrid w:val="0"/>
          <w:color w:val="auto"/>
          <w:kern w:val="0"/>
          <w:sz w:val="24"/>
          <w:szCs w:val="24"/>
          <w:highlight w:val="none"/>
        </w:rPr>
        <w:t>、保密、知识产权与专利技术</w:t>
      </w:r>
      <w:bookmarkEnd w:id="60"/>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1</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甲乙双方均应保护对方的知识产权，未经对方</w:t>
      </w:r>
      <w:r>
        <w:rPr>
          <w:rFonts w:hint="eastAsia" w:ascii="宋体" w:hAnsi="宋体"/>
          <w:snapToGrid w:val="0"/>
          <w:color w:val="auto"/>
          <w:kern w:val="0"/>
          <w:sz w:val="24"/>
          <w:highlight w:val="none"/>
          <w:lang w:eastAsia="zh-CN"/>
        </w:rPr>
        <w:t>书面</w:t>
      </w:r>
      <w:r>
        <w:rPr>
          <w:rFonts w:hint="eastAsia" w:ascii="宋体" w:hAnsi="宋体"/>
          <w:snapToGrid w:val="0"/>
          <w:color w:val="auto"/>
          <w:kern w:val="0"/>
          <w:sz w:val="24"/>
          <w:highlight w:val="none"/>
        </w:rPr>
        <w:t>同意，任何一方均不得对对方的资料及文件擅自修改、复制或向他人转让。如发生以上情况，泄密方应承担由此引起的一切后果并承担赔偿责任。</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1</w:t>
      </w:r>
      <w:r>
        <w:rPr>
          <w:rFonts w:hint="eastAsia" w:ascii="宋体" w:hAnsi="宋体"/>
          <w:b/>
          <w:snapToGrid w:val="0"/>
          <w:color w:val="auto"/>
          <w:kern w:val="0"/>
          <w:sz w:val="24"/>
          <w:highlight w:val="none"/>
        </w:rPr>
        <w:t>.2</w:t>
      </w:r>
      <w:r>
        <w:rPr>
          <w:rFonts w:ascii="宋体" w:hAnsi="宋体"/>
          <w:snapToGrid w:val="0"/>
          <w:color w:val="auto"/>
          <w:kern w:val="0"/>
          <w:sz w:val="24"/>
          <w:highlight w:val="none"/>
        </w:rPr>
        <w:t>本工程的知识产权归甲方所有</w:t>
      </w:r>
      <w:r>
        <w:rPr>
          <w:rFonts w:hint="eastAsia" w:ascii="宋体" w:hAnsi="宋体"/>
          <w:snapToGrid w:val="0"/>
          <w:color w:val="auto"/>
          <w:kern w:val="0"/>
          <w:sz w:val="24"/>
          <w:highlight w:val="none"/>
        </w:rPr>
        <w:t>。乙方仅享有本工程勘察、设计成果文件的</w:t>
      </w:r>
      <w:r>
        <w:rPr>
          <w:rFonts w:ascii="宋体" w:hAnsi="宋体"/>
          <w:snapToGrid w:val="0"/>
          <w:color w:val="auto"/>
          <w:kern w:val="0"/>
          <w:sz w:val="24"/>
          <w:highlight w:val="none"/>
        </w:rPr>
        <w:t>署名权</w:t>
      </w:r>
      <w:r>
        <w:rPr>
          <w:rFonts w:hint="eastAsia" w:ascii="宋体" w:hAnsi="宋体"/>
          <w:snapToGrid w:val="0"/>
          <w:color w:val="auto"/>
          <w:kern w:val="0"/>
          <w:sz w:val="24"/>
          <w:highlight w:val="none"/>
        </w:rPr>
        <w:t>，并</w:t>
      </w:r>
      <w:r>
        <w:rPr>
          <w:rFonts w:ascii="宋体" w:hAnsi="宋体"/>
          <w:snapToGrid w:val="0"/>
          <w:color w:val="auto"/>
          <w:kern w:val="0"/>
          <w:sz w:val="24"/>
          <w:highlight w:val="none"/>
        </w:rPr>
        <w:t>可在展览或书刊中进行展示、介绍及讨论其设计模型、外观图片、装饰效果图，但不享有知识产权中的其他权利。乙方承诺自本合同签订之日起，为本工程所做的全部工作的成果，包括方案设计、初步设计、施工图设计及其他</w:t>
      </w:r>
      <w:r>
        <w:rPr>
          <w:rFonts w:hint="eastAsia" w:ascii="宋体" w:hAnsi="宋体"/>
          <w:snapToGrid w:val="0"/>
          <w:color w:val="auto"/>
          <w:kern w:val="0"/>
          <w:sz w:val="24"/>
          <w:highlight w:val="none"/>
        </w:rPr>
        <w:t>勘察、</w:t>
      </w:r>
      <w:r>
        <w:rPr>
          <w:rFonts w:ascii="宋体" w:hAnsi="宋体"/>
          <w:snapToGrid w:val="0"/>
          <w:color w:val="auto"/>
          <w:kern w:val="0"/>
          <w:sz w:val="24"/>
          <w:highlight w:val="none"/>
        </w:rPr>
        <w:t>设计文件、资料等不再用于其他任何项目的</w:t>
      </w:r>
      <w:r>
        <w:rPr>
          <w:rFonts w:hint="eastAsia" w:ascii="宋体" w:hAnsi="宋体"/>
          <w:snapToGrid w:val="0"/>
          <w:color w:val="auto"/>
          <w:kern w:val="0"/>
          <w:sz w:val="24"/>
          <w:highlight w:val="none"/>
        </w:rPr>
        <w:t>勘察、</w:t>
      </w:r>
      <w:r>
        <w:rPr>
          <w:rFonts w:ascii="宋体" w:hAnsi="宋体"/>
          <w:snapToGrid w:val="0"/>
          <w:color w:val="auto"/>
          <w:kern w:val="0"/>
          <w:sz w:val="24"/>
          <w:highlight w:val="none"/>
        </w:rPr>
        <w:t>设计，否则甲方有权向乙方追究相关责任。</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1</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乙方保证本工程的设计文件、资料等均未侵犯第三方的知识产权及其他权利，否则必须承担由此而引起的全部法律责任。</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1</w:t>
      </w:r>
      <w:r>
        <w:rPr>
          <w:rFonts w:hint="eastAsia" w:ascii="宋体" w:hAnsi="宋体"/>
          <w:b/>
          <w:snapToGrid w:val="0"/>
          <w:color w:val="auto"/>
          <w:kern w:val="0"/>
          <w:sz w:val="24"/>
          <w:highlight w:val="none"/>
        </w:rPr>
        <w:t>.4</w:t>
      </w:r>
      <w:r>
        <w:rPr>
          <w:rFonts w:hint="eastAsia" w:ascii="宋体" w:hAnsi="宋体"/>
          <w:snapToGrid w:val="0"/>
          <w:color w:val="auto"/>
          <w:kern w:val="0"/>
          <w:sz w:val="24"/>
          <w:highlight w:val="none"/>
        </w:rPr>
        <w:t>甲方拥有乙方为本工程勘察、设计且按本合同要求所提交的全部勘察、设计文件、资料等的完全使用权，并在本合同执行完毕后继续拥有合法使用以上勘察、设计文件、资料等的权利（包括但不限于用作本工程宣传及工程建设学术研究交流之用等）。</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1</w:t>
      </w:r>
      <w:r>
        <w:rPr>
          <w:rFonts w:hint="eastAsia" w:ascii="宋体" w:hAnsi="宋体"/>
          <w:b/>
          <w:snapToGrid w:val="0"/>
          <w:color w:val="auto"/>
          <w:kern w:val="0"/>
          <w:sz w:val="24"/>
          <w:highlight w:val="none"/>
        </w:rPr>
        <w:t>.5</w:t>
      </w:r>
      <w:r>
        <w:rPr>
          <w:rFonts w:hint="eastAsia" w:ascii="宋体" w:hAnsi="宋体"/>
          <w:snapToGrid w:val="0"/>
          <w:color w:val="auto"/>
          <w:kern w:val="0"/>
          <w:sz w:val="24"/>
          <w:highlight w:val="none"/>
        </w:rPr>
        <w:t>如工程需要使用专利技术，应先征得甲方的书面认可。甲方负责办理相应的法律手续，因此而涉及的申报、试验、使用等费用列入工程建设其他费用。</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1</w:t>
      </w:r>
      <w:r>
        <w:rPr>
          <w:rFonts w:hint="eastAsia" w:ascii="宋体" w:hAnsi="宋体"/>
          <w:b/>
          <w:snapToGrid w:val="0"/>
          <w:color w:val="auto"/>
          <w:kern w:val="0"/>
          <w:sz w:val="24"/>
          <w:highlight w:val="none"/>
        </w:rPr>
        <w:t>.6</w:t>
      </w:r>
      <w:r>
        <w:rPr>
          <w:rFonts w:hint="eastAsia" w:ascii="宋体" w:hAnsi="宋体"/>
          <w:snapToGrid w:val="0"/>
          <w:color w:val="auto"/>
          <w:kern w:val="0"/>
          <w:sz w:val="24"/>
          <w:highlight w:val="none"/>
        </w:rPr>
        <w:t>擅自使用专利技术侵犯他人专利权的，由责任方依法承担有关责任。</w:t>
      </w:r>
    </w:p>
    <w:p>
      <w:pPr>
        <w:adjustRightInd w:val="0"/>
        <w:snapToGrid w:val="0"/>
        <w:spacing w:line="360" w:lineRule="auto"/>
        <w:ind w:right="11"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61" w:name="_Toc472802285"/>
      <w:r>
        <w:rPr>
          <w:rFonts w:hint="eastAsia"/>
          <w:color w:val="auto"/>
          <w:sz w:val="30"/>
          <w:szCs w:val="30"/>
          <w:highlight w:val="none"/>
        </w:rPr>
        <w:t>第</w:t>
      </w:r>
      <w:r>
        <w:rPr>
          <w:rFonts w:hint="eastAsia"/>
          <w:color w:val="auto"/>
          <w:sz w:val="30"/>
          <w:szCs w:val="30"/>
          <w:highlight w:val="none"/>
          <w:lang w:eastAsia="zh-CN"/>
        </w:rPr>
        <w:t>十九</w:t>
      </w:r>
      <w:r>
        <w:rPr>
          <w:rFonts w:hint="eastAsia"/>
          <w:color w:val="auto"/>
          <w:sz w:val="30"/>
          <w:szCs w:val="30"/>
          <w:highlight w:val="none"/>
        </w:rPr>
        <w:t xml:space="preserve">章 </w:t>
      </w:r>
      <w:r>
        <w:rPr>
          <w:rFonts w:hint="eastAsia"/>
          <w:color w:val="auto"/>
          <w:sz w:val="30"/>
          <w:szCs w:val="30"/>
          <w:highlight w:val="none"/>
          <w:lang w:val="en-US" w:eastAsia="zh-CN"/>
        </w:rPr>
        <w:t xml:space="preserve"> </w:t>
      </w:r>
      <w:r>
        <w:rPr>
          <w:rFonts w:hint="eastAsia"/>
          <w:color w:val="auto"/>
          <w:sz w:val="30"/>
          <w:szCs w:val="30"/>
          <w:highlight w:val="none"/>
        </w:rPr>
        <w:t>不可抗力</w:t>
      </w:r>
      <w:bookmarkEnd w:id="61"/>
    </w:p>
    <w:p>
      <w:pPr>
        <w:pStyle w:val="6"/>
        <w:spacing w:before="0" w:after="0" w:line="360" w:lineRule="auto"/>
        <w:ind w:firstLine="424" w:firstLineChars="176"/>
        <w:rPr>
          <w:rFonts w:ascii="宋体" w:hAnsi="宋体"/>
          <w:b w:val="0"/>
          <w:bCs w:val="0"/>
          <w:snapToGrid w:val="0"/>
          <w:color w:val="auto"/>
          <w:kern w:val="0"/>
          <w:sz w:val="24"/>
          <w:szCs w:val="24"/>
          <w:highlight w:val="none"/>
        </w:rPr>
      </w:pPr>
      <w:bookmarkStart w:id="62" w:name="_Toc472802286"/>
      <w:r>
        <w:rPr>
          <w:rFonts w:hint="eastAsia" w:ascii="宋体" w:hAnsi="宋体"/>
          <w:snapToGrid w:val="0"/>
          <w:color w:val="auto"/>
          <w:kern w:val="0"/>
          <w:sz w:val="24"/>
          <w:szCs w:val="24"/>
          <w:highlight w:val="none"/>
        </w:rPr>
        <w:t>3</w:t>
      </w:r>
      <w:r>
        <w:rPr>
          <w:rFonts w:hint="eastAsia" w:ascii="宋体" w:hAnsi="宋体"/>
          <w:snapToGrid w:val="0"/>
          <w:color w:val="auto"/>
          <w:kern w:val="0"/>
          <w:sz w:val="24"/>
          <w:szCs w:val="24"/>
          <w:highlight w:val="none"/>
          <w:lang w:val="en-US" w:eastAsia="zh-CN"/>
        </w:rPr>
        <w:t>2</w:t>
      </w:r>
      <w:r>
        <w:rPr>
          <w:rFonts w:hint="eastAsia" w:ascii="宋体" w:hAnsi="宋体"/>
          <w:snapToGrid w:val="0"/>
          <w:color w:val="auto"/>
          <w:kern w:val="0"/>
          <w:sz w:val="24"/>
          <w:szCs w:val="24"/>
          <w:highlight w:val="none"/>
        </w:rPr>
        <w:t>、不可抗力</w:t>
      </w:r>
      <w:bookmarkEnd w:id="62"/>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2</w:t>
      </w:r>
      <w:r>
        <w:rPr>
          <w:rFonts w:hint="eastAsia" w:ascii="宋体" w:hAnsi="宋体"/>
          <w:b/>
          <w:snapToGrid w:val="0"/>
          <w:color w:val="auto"/>
          <w:kern w:val="0"/>
          <w:sz w:val="24"/>
          <w:highlight w:val="none"/>
        </w:rPr>
        <w:t>.1</w:t>
      </w:r>
      <w:r>
        <w:rPr>
          <w:rFonts w:hint="eastAsia" w:ascii="宋体" w:hAnsi="宋体"/>
          <w:snapToGrid w:val="0"/>
          <w:color w:val="auto"/>
          <w:kern w:val="0"/>
          <w:sz w:val="24"/>
          <w:highlight w:val="none"/>
        </w:rPr>
        <w:t>不可抗力，是指不能预见、不能避免并不能克服、对本合同的勘察、设计或服务工作造成实质性影响的自然灾害和战争、动乱（不包括乙方内部的任何纠纷和纷争）等社会事件。</w:t>
      </w:r>
    </w:p>
    <w:p>
      <w:pPr>
        <w:adjustRightInd w:val="0"/>
        <w:snapToGrid w:val="0"/>
        <w:spacing w:line="360" w:lineRule="auto"/>
        <w:ind w:firstLine="424" w:firstLineChars="176"/>
        <w:rPr>
          <w:rFonts w:ascii="宋体" w:hAnsi="宋体"/>
          <w:bCs/>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2</w:t>
      </w:r>
      <w:r>
        <w:rPr>
          <w:rFonts w:hint="eastAsia" w:ascii="宋体" w:hAnsi="宋体"/>
          <w:b/>
          <w:snapToGrid w:val="0"/>
          <w:color w:val="auto"/>
          <w:kern w:val="0"/>
          <w:sz w:val="24"/>
          <w:highlight w:val="none"/>
        </w:rPr>
        <w:t>.2</w:t>
      </w:r>
      <w:r>
        <w:rPr>
          <w:rFonts w:hint="eastAsia" w:ascii="宋体" w:hAnsi="宋体"/>
          <w:bCs/>
          <w:snapToGrid w:val="0"/>
          <w:color w:val="auto"/>
          <w:kern w:val="0"/>
          <w:sz w:val="24"/>
          <w:highlight w:val="none"/>
        </w:rPr>
        <w:t>自然灾害的范围及其认定方式，按如下约定执行：</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1）异常天气：仅指50年（含50年）一遇以上的洪水或10级（含10级）以上的台风。因异常天气袭击工地为确保安全而停工的，乙方应于台风、洪水天气结束之日起七日内，向当地气象部门索取工程所在地台风、暴雨天气资料或报告（含气象实况及对此分析的内容），连同</w:t>
      </w:r>
      <w:r>
        <w:rPr>
          <w:rFonts w:hint="eastAsia" w:ascii="宋体" w:hAnsi="宋体"/>
          <w:snapToGrid w:val="0"/>
          <w:color w:val="auto"/>
          <w:kern w:val="0"/>
          <w:sz w:val="24"/>
          <w:highlight w:val="none"/>
        </w:rPr>
        <w:t>工作</w:t>
      </w:r>
      <w:r>
        <w:rPr>
          <w:rFonts w:hint="eastAsia" w:ascii="宋体" w:hAnsi="宋体"/>
          <w:bCs/>
          <w:snapToGrid w:val="0"/>
          <w:color w:val="auto"/>
          <w:kern w:val="0"/>
          <w:sz w:val="24"/>
          <w:highlight w:val="none"/>
        </w:rPr>
        <w:t>日志、现场照片办理证据保全公证，方可认定为是不可抗力。</w:t>
      </w:r>
    </w:p>
    <w:p>
      <w:pPr>
        <w:adjustRightInd w:val="0"/>
        <w:snapToGrid w:val="0"/>
        <w:spacing w:line="360" w:lineRule="auto"/>
        <w:ind w:firstLine="422" w:firstLineChars="176"/>
        <w:rPr>
          <w:rFonts w:ascii="宋体" w:hAnsi="宋体"/>
          <w:bCs/>
          <w:snapToGrid w:val="0"/>
          <w:color w:val="auto"/>
          <w:kern w:val="0"/>
          <w:sz w:val="24"/>
          <w:highlight w:val="none"/>
        </w:rPr>
      </w:pPr>
      <w:r>
        <w:rPr>
          <w:rFonts w:hint="eastAsia" w:ascii="宋体" w:hAnsi="宋体"/>
          <w:bCs/>
          <w:snapToGrid w:val="0"/>
          <w:color w:val="auto"/>
          <w:kern w:val="0"/>
          <w:sz w:val="24"/>
          <w:highlight w:val="none"/>
        </w:rPr>
        <w:t>（2）里氏5级（含5级）以上的地震。</w:t>
      </w:r>
    </w:p>
    <w:p>
      <w:pPr>
        <w:adjustRightInd w:val="0"/>
        <w:snapToGrid w:val="0"/>
        <w:spacing w:line="360" w:lineRule="auto"/>
        <w:ind w:right="11" w:firstLine="424" w:firstLineChars="176"/>
        <w:rPr>
          <w:rFonts w:ascii="宋体" w:hAnsi="宋体"/>
          <w:snapToGrid w:val="0"/>
          <w:color w:val="auto"/>
          <w:kern w:val="0"/>
          <w:sz w:val="24"/>
          <w:highlight w:val="none"/>
        </w:rPr>
      </w:pPr>
      <w:r>
        <w:rPr>
          <w:rFonts w:hint="eastAsia" w:ascii="宋体" w:hAnsi="宋体"/>
          <w:b/>
          <w:snapToGrid w:val="0"/>
          <w:color w:val="auto"/>
          <w:kern w:val="0"/>
          <w:sz w:val="24"/>
          <w:highlight w:val="none"/>
        </w:rPr>
        <w:t>3</w:t>
      </w:r>
      <w:r>
        <w:rPr>
          <w:rFonts w:hint="eastAsia" w:ascii="宋体" w:hAnsi="宋体"/>
          <w:b/>
          <w:snapToGrid w:val="0"/>
          <w:color w:val="auto"/>
          <w:kern w:val="0"/>
          <w:sz w:val="24"/>
          <w:highlight w:val="none"/>
          <w:lang w:val="en-US" w:eastAsia="zh-CN"/>
        </w:rPr>
        <w:t>2</w:t>
      </w:r>
      <w:r>
        <w:rPr>
          <w:rFonts w:hint="eastAsia" w:ascii="宋体" w:hAnsi="宋体"/>
          <w:b/>
          <w:snapToGrid w:val="0"/>
          <w:color w:val="auto"/>
          <w:kern w:val="0"/>
          <w:sz w:val="24"/>
          <w:highlight w:val="none"/>
        </w:rPr>
        <w:t>.3</w:t>
      </w:r>
      <w:r>
        <w:rPr>
          <w:rFonts w:hint="eastAsia" w:ascii="宋体" w:hAnsi="宋体"/>
          <w:snapToGrid w:val="0"/>
          <w:color w:val="auto"/>
          <w:kern w:val="0"/>
          <w:sz w:val="24"/>
          <w:highlight w:val="none"/>
        </w:rPr>
        <w:t>政府关于本工程政策的重大调整或项目建设规划方案重大功能性调整，也属不可抗力。</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2</w:t>
      </w:r>
      <w:r>
        <w:rPr>
          <w:rFonts w:hint="eastAsia"/>
          <w:b/>
          <w:snapToGrid w:val="0"/>
          <w:color w:val="auto"/>
          <w:highlight w:val="none"/>
        </w:rPr>
        <w:t>.4</w:t>
      </w:r>
      <w:r>
        <w:rPr>
          <w:rFonts w:hint="eastAsia"/>
          <w:snapToGrid w:val="0"/>
          <w:color w:val="auto"/>
          <w:highlight w:val="none"/>
        </w:rPr>
        <w:t>因</w:t>
      </w:r>
      <w:r>
        <w:rPr>
          <w:snapToGrid w:val="0"/>
          <w:color w:val="auto"/>
          <w:highlight w:val="none"/>
        </w:rPr>
        <w:t>不可抗力</w:t>
      </w:r>
      <w:r>
        <w:rPr>
          <w:rFonts w:hint="eastAsia"/>
          <w:snapToGrid w:val="0"/>
          <w:color w:val="auto"/>
          <w:highlight w:val="none"/>
        </w:rPr>
        <w:t>事件导致的费用损失，由甲乙双方各自承担自己的损失。对不可抗力事件导致的乙方勘察、设计成果文件提交时间的延误，由双方协商确定乙方提交勘察、设计成果的提交时间。</w:t>
      </w:r>
    </w:p>
    <w:p>
      <w:pPr>
        <w:adjustRightInd w:val="0"/>
        <w:snapToGrid w:val="0"/>
        <w:spacing w:line="360" w:lineRule="auto"/>
        <w:ind w:left="479" w:leftChars="228" w:firstLine="422" w:firstLineChars="176"/>
        <w:rPr>
          <w:rFonts w:ascii="宋体" w:hAnsi="宋体"/>
          <w:snapToGrid w:val="0"/>
          <w:color w:val="auto"/>
          <w:kern w:val="0"/>
          <w:sz w:val="24"/>
          <w:highlight w:val="none"/>
        </w:rPr>
      </w:pPr>
    </w:p>
    <w:p>
      <w:pPr>
        <w:pStyle w:val="4"/>
        <w:jc w:val="center"/>
        <w:rPr>
          <w:rFonts w:hint="eastAsia"/>
          <w:color w:val="auto"/>
          <w:sz w:val="30"/>
          <w:szCs w:val="30"/>
          <w:highlight w:val="none"/>
        </w:rPr>
      </w:pPr>
      <w:bookmarkStart w:id="63" w:name="_Toc472802287"/>
      <w:bookmarkStart w:id="64" w:name="_Toc472802288"/>
      <w:r>
        <w:rPr>
          <w:rFonts w:hint="eastAsia"/>
          <w:color w:val="auto"/>
          <w:sz w:val="30"/>
          <w:szCs w:val="30"/>
          <w:highlight w:val="none"/>
        </w:rPr>
        <w:t xml:space="preserve">第二十章 </w:t>
      </w:r>
      <w:r>
        <w:rPr>
          <w:rFonts w:hint="eastAsia"/>
          <w:color w:val="auto"/>
          <w:sz w:val="30"/>
          <w:szCs w:val="30"/>
          <w:highlight w:val="none"/>
          <w:lang w:val="en-US" w:eastAsia="zh-CN"/>
        </w:rPr>
        <w:t xml:space="preserve"> </w:t>
      </w:r>
      <w:r>
        <w:rPr>
          <w:rFonts w:hint="eastAsia"/>
          <w:color w:val="auto"/>
          <w:sz w:val="30"/>
          <w:szCs w:val="30"/>
          <w:highlight w:val="none"/>
        </w:rPr>
        <w:t>合同生效、解除及其他</w:t>
      </w:r>
      <w:bookmarkEnd w:id="63"/>
    </w:p>
    <w:p>
      <w:pPr>
        <w:pStyle w:val="6"/>
        <w:spacing w:before="0" w:after="0" w:line="360" w:lineRule="auto"/>
        <w:ind w:firstLine="424" w:firstLineChars="176"/>
        <w:rPr>
          <w:rFonts w:ascii="宋体" w:hAnsi="宋体"/>
          <w:b w:val="0"/>
          <w:bCs w:val="0"/>
          <w:snapToGrid w:val="0"/>
          <w:color w:val="auto"/>
          <w:kern w:val="0"/>
          <w:sz w:val="24"/>
          <w:szCs w:val="24"/>
          <w:highlight w:val="none"/>
        </w:rPr>
      </w:pPr>
      <w:r>
        <w:rPr>
          <w:rFonts w:hint="eastAsia" w:ascii="宋体" w:hAnsi="宋体"/>
          <w:snapToGrid w:val="0"/>
          <w:color w:val="auto"/>
          <w:kern w:val="0"/>
          <w:sz w:val="24"/>
          <w:szCs w:val="24"/>
          <w:highlight w:val="none"/>
        </w:rPr>
        <w:t>3</w:t>
      </w:r>
      <w:r>
        <w:rPr>
          <w:rFonts w:hint="eastAsia" w:ascii="宋体" w:hAnsi="宋体"/>
          <w:snapToGrid w:val="0"/>
          <w:color w:val="auto"/>
          <w:kern w:val="0"/>
          <w:sz w:val="24"/>
          <w:szCs w:val="24"/>
          <w:highlight w:val="none"/>
          <w:lang w:val="en-US" w:eastAsia="zh-CN"/>
        </w:rPr>
        <w:t>3</w:t>
      </w:r>
      <w:r>
        <w:rPr>
          <w:rFonts w:hint="eastAsia" w:ascii="宋体" w:hAnsi="宋体"/>
          <w:snapToGrid w:val="0"/>
          <w:color w:val="auto"/>
          <w:kern w:val="0"/>
          <w:sz w:val="24"/>
          <w:szCs w:val="24"/>
          <w:highlight w:val="none"/>
        </w:rPr>
        <w:t>、合同生效、解除及其他</w:t>
      </w:r>
      <w:bookmarkEnd w:id="64"/>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.1</w:t>
      </w:r>
      <w:r>
        <w:rPr>
          <w:rFonts w:hint="eastAsia"/>
          <w:snapToGrid w:val="0"/>
          <w:color w:val="auto"/>
          <w:highlight w:val="none"/>
        </w:rPr>
        <w:t>本合同的生效及终止按合同协议书第12条的约定执行。</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.2</w:t>
      </w:r>
      <w:r>
        <w:rPr>
          <w:rFonts w:hint="eastAsia"/>
          <w:snapToGrid w:val="0"/>
          <w:color w:val="auto"/>
          <w:highlight w:val="none"/>
        </w:rPr>
        <w:t>本合同目录第三篇所列的附件均为本合同不可分割的组成部分。</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.3</w:t>
      </w:r>
      <w:r>
        <w:rPr>
          <w:rFonts w:hint="eastAsia"/>
          <w:snapToGrid w:val="0"/>
          <w:color w:val="auto"/>
          <w:highlight w:val="none"/>
        </w:rPr>
        <w:t>甲乙双方经协商一致，可以解除合同。</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.4</w:t>
      </w:r>
      <w:r>
        <w:rPr>
          <w:rFonts w:hint="eastAsia"/>
          <w:snapToGrid w:val="0"/>
          <w:color w:val="auto"/>
          <w:highlight w:val="none"/>
        </w:rPr>
        <w:t>发生下列情形之一，甲乙任何一方均可解除合同，但应以书面形式向对方发出解除合同的通知，通知到达时合同即解除。对解除合同有争议的，按合同条款第3</w:t>
      </w:r>
      <w:r>
        <w:rPr>
          <w:rFonts w:hint="eastAsia"/>
          <w:snapToGrid w:val="0"/>
          <w:color w:val="auto"/>
          <w:highlight w:val="none"/>
          <w:lang w:val="en-US" w:eastAsia="zh-CN"/>
        </w:rPr>
        <w:t>0</w:t>
      </w:r>
      <w:r>
        <w:rPr>
          <w:rFonts w:hint="eastAsia"/>
          <w:snapToGrid w:val="0"/>
          <w:color w:val="auto"/>
          <w:highlight w:val="none"/>
        </w:rPr>
        <w:t>条的约定处理。</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（1）因不可抗力致使合同无法履行；</w:t>
      </w:r>
    </w:p>
    <w:p>
      <w:pPr>
        <w:pStyle w:val="51"/>
        <w:adjustRightInd w:val="0"/>
        <w:snapToGrid w:val="0"/>
        <w:spacing w:before="0" w:beforeAutospacing="0" w:after="0" w:afterAutospacing="0" w:line="360" w:lineRule="auto"/>
        <w:ind w:firstLine="422" w:firstLineChars="176"/>
        <w:rPr>
          <w:snapToGrid w:val="0"/>
          <w:color w:val="auto"/>
          <w:highlight w:val="none"/>
        </w:rPr>
      </w:pPr>
      <w:r>
        <w:rPr>
          <w:rFonts w:hint="eastAsia"/>
          <w:snapToGrid w:val="0"/>
          <w:color w:val="auto"/>
          <w:highlight w:val="none"/>
        </w:rPr>
        <w:t>（2）因一方违约致使合同无法履行。</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.5</w:t>
      </w:r>
      <w:r>
        <w:rPr>
          <w:rFonts w:hint="eastAsia"/>
          <w:snapToGrid w:val="0"/>
          <w:color w:val="auto"/>
          <w:highlight w:val="none"/>
        </w:rPr>
        <w:t>合同解除后，不影响双方在合同中约定的结算和清理条款的效力。乙方应妥善做好已完工项目的保护和移交工作。同时，有过错方应当向无过错方赔偿因解除合同所造成的损失。</w:t>
      </w:r>
    </w:p>
    <w:p>
      <w:pPr>
        <w:pStyle w:val="51"/>
        <w:adjustRightInd w:val="0"/>
        <w:snapToGrid w:val="0"/>
        <w:spacing w:before="0" w:beforeAutospacing="0" w:after="0" w:afterAutospacing="0" w:line="360" w:lineRule="auto"/>
        <w:ind w:firstLine="424" w:firstLineChars="176"/>
        <w:rPr>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.6</w:t>
      </w:r>
      <w:r>
        <w:rPr>
          <w:rFonts w:hint="eastAsia"/>
          <w:snapToGrid w:val="0"/>
          <w:color w:val="auto"/>
          <w:highlight w:val="none"/>
        </w:rPr>
        <w:t>乙方承诺严格按照合同和招投标文件规定履行义务，并同意甲方将其执行国家强制性规范、标准和履行合同、招投标文件义务的情况（包括但不限于由甲方组织的考核、考评通报、违约责任处理决定等）在甲方网站和其他媒体上公开披露。</w:t>
      </w:r>
    </w:p>
    <w:p>
      <w:pPr>
        <w:pStyle w:val="51"/>
        <w:adjustRightInd w:val="0"/>
        <w:snapToGrid w:val="0"/>
        <w:spacing w:before="0" w:beforeAutospacing="0" w:after="0" w:afterAutospacing="0" w:line="360" w:lineRule="auto"/>
        <w:ind w:firstLine="424" w:firstLineChars="176"/>
        <w:rPr>
          <w:b/>
          <w:bCs/>
          <w:snapToGrid w:val="0"/>
          <w:color w:val="auto"/>
          <w:highlight w:val="none"/>
        </w:rPr>
      </w:pPr>
      <w:r>
        <w:rPr>
          <w:rFonts w:hint="eastAsia"/>
          <w:b/>
          <w:snapToGrid w:val="0"/>
          <w:color w:val="auto"/>
          <w:highlight w:val="none"/>
        </w:rPr>
        <w:t>3</w:t>
      </w:r>
      <w:r>
        <w:rPr>
          <w:rFonts w:hint="eastAsia"/>
          <w:b/>
          <w:snapToGrid w:val="0"/>
          <w:color w:val="auto"/>
          <w:highlight w:val="none"/>
          <w:lang w:val="en-US" w:eastAsia="zh-CN"/>
        </w:rPr>
        <w:t>3</w:t>
      </w:r>
      <w:r>
        <w:rPr>
          <w:rFonts w:hint="eastAsia"/>
          <w:b/>
          <w:snapToGrid w:val="0"/>
          <w:color w:val="auto"/>
          <w:highlight w:val="none"/>
        </w:rPr>
        <w:t>.7</w:t>
      </w:r>
      <w:r>
        <w:rPr>
          <w:rFonts w:hint="eastAsia"/>
          <w:snapToGrid w:val="0"/>
          <w:color w:val="auto"/>
          <w:highlight w:val="none"/>
        </w:rPr>
        <w:t>本合同未尽事宜，由甲乙双方另行签订补充协议。</w:t>
      </w:r>
    </w:p>
    <w:p>
      <w:pPr>
        <w:pStyle w:val="3"/>
        <w:rPr>
          <w:b w:val="0"/>
          <w:bCs w:val="0"/>
          <w:snapToGrid w:val="0"/>
          <w:color w:val="auto"/>
          <w:kern w:val="0"/>
          <w:sz w:val="44"/>
          <w:szCs w:val="44"/>
          <w:highlight w:val="none"/>
        </w:rPr>
      </w:pPr>
      <w:r>
        <w:rPr>
          <w:snapToGrid w:val="0"/>
          <w:color w:val="auto"/>
          <w:kern w:val="0"/>
          <w:sz w:val="44"/>
          <w:szCs w:val="44"/>
          <w:highlight w:val="none"/>
        </w:rPr>
        <w:br w:type="page"/>
      </w:r>
      <w:bookmarkStart w:id="65" w:name="_Toc472802289"/>
      <w:r>
        <w:rPr>
          <w:rFonts w:hint="eastAsia"/>
          <w:snapToGrid w:val="0"/>
          <w:color w:val="auto"/>
          <w:kern w:val="0"/>
          <w:sz w:val="44"/>
          <w:szCs w:val="44"/>
          <w:highlight w:val="none"/>
        </w:rPr>
        <w:t>第三篇  合同附件</w:t>
      </w:r>
      <w:bookmarkEnd w:id="65"/>
    </w:p>
    <w:p>
      <w:pPr>
        <w:adjustRightInd w:val="0"/>
        <w:snapToGrid w:val="0"/>
        <w:spacing w:line="360" w:lineRule="auto"/>
        <w:jc w:val="center"/>
        <w:rPr>
          <w:rFonts w:ascii="宋体" w:hAnsi="宋体"/>
          <w:b/>
          <w:bCs/>
          <w:snapToGrid w:val="0"/>
          <w:color w:val="auto"/>
          <w:kern w:val="0"/>
          <w:sz w:val="24"/>
          <w:highlight w:val="none"/>
        </w:rPr>
      </w:pPr>
    </w:p>
    <w:p>
      <w:pPr>
        <w:adjustRightInd w:val="0"/>
        <w:snapToGrid w:val="0"/>
        <w:spacing w:line="360" w:lineRule="auto"/>
        <w:ind w:firstLine="480" w:firstLineChars="200"/>
        <w:rPr>
          <w:rFonts w:hint="eastAsia" w:ascii="宋体" w:hAnsi="宋体"/>
          <w:bCs/>
          <w:snapToGrid w:val="0"/>
          <w:color w:val="auto"/>
          <w:kern w:val="0"/>
          <w:sz w:val="24"/>
          <w:highlight w:val="none"/>
        </w:rPr>
      </w:pPr>
    </w:p>
    <w:p>
      <w:pPr>
        <w:adjustRightInd w:val="0"/>
        <w:snapToGrid w:val="0"/>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附件1：工程建设项目廉政责任书</w:t>
      </w:r>
    </w:p>
    <w:p>
      <w:pPr>
        <w:adjustRightInd w:val="0"/>
        <w:snapToGrid w:val="0"/>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附件2：履约银行保函（格式）</w:t>
      </w:r>
    </w:p>
    <w:p>
      <w:pPr>
        <w:adjustRightInd w:val="0"/>
        <w:snapToGrid w:val="0"/>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附件3：勘察设计费报价表</w:t>
      </w:r>
    </w:p>
    <w:p>
      <w:pPr>
        <w:adjustRightInd w:val="0"/>
        <w:snapToGrid w:val="0"/>
        <w:spacing w:line="360" w:lineRule="auto"/>
        <w:ind w:firstLine="480" w:firstLineChars="200"/>
        <w:rPr>
          <w:rFonts w:ascii="宋体" w:hAnsi="宋体"/>
          <w:bCs/>
          <w:snapToGrid w:val="0"/>
          <w:color w:val="auto"/>
          <w:kern w:val="0"/>
          <w:sz w:val="24"/>
          <w:highlight w:val="none"/>
        </w:rPr>
      </w:pPr>
      <w:r>
        <w:rPr>
          <w:rFonts w:hint="eastAsia" w:ascii="宋体" w:hAnsi="宋体"/>
          <w:bCs/>
          <w:snapToGrid w:val="0"/>
          <w:color w:val="auto"/>
          <w:kern w:val="0"/>
          <w:sz w:val="24"/>
          <w:highlight w:val="none"/>
        </w:rPr>
        <w:t>附件4：主要勘察设计人员</w:t>
      </w:r>
    </w:p>
    <w:p>
      <w:pPr>
        <w:adjustRightInd w:val="0"/>
        <w:snapToGrid w:val="0"/>
        <w:spacing w:line="360" w:lineRule="auto"/>
        <w:ind w:firstLine="976" w:firstLineChars="407"/>
        <w:rPr>
          <w:rFonts w:ascii="宋体" w:hAnsi="宋体"/>
          <w:bCs/>
          <w:snapToGrid w:val="0"/>
          <w:color w:val="auto"/>
          <w:kern w:val="0"/>
          <w:sz w:val="24"/>
          <w:highlight w:val="none"/>
        </w:rPr>
      </w:pPr>
      <w:r>
        <w:rPr>
          <w:rFonts w:hint="eastAsia" w:ascii="宋体" w:hAnsi="宋体"/>
          <w:bCs/>
          <w:snapToGrid w:val="0"/>
          <w:color w:val="auto"/>
          <w:kern w:val="0"/>
          <w:sz w:val="24"/>
          <w:highlight w:val="none"/>
        </w:rPr>
        <w:t>表一.乙方投入人员承诺</w:t>
      </w:r>
    </w:p>
    <w:p>
      <w:pPr>
        <w:adjustRightInd w:val="0"/>
        <w:snapToGrid w:val="0"/>
        <w:spacing w:line="360" w:lineRule="auto"/>
        <w:ind w:firstLine="976" w:firstLineChars="407"/>
        <w:rPr>
          <w:rFonts w:ascii="宋体" w:hAnsi="宋体"/>
          <w:bCs/>
          <w:snapToGrid w:val="0"/>
          <w:color w:val="auto"/>
          <w:kern w:val="0"/>
          <w:sz w:val="24"/>
          <w:highlight w:val="none"/>
        </w:rPr>
      </w:pPr>
      <w:r>
        <w:rPr>
          <w:rFonts w:hint="eastAsia" w:ascii="宋体" w:hAnsi="宋体"/>
          <w:bCs/>
          <w:snapToGrid w:val="0"/>
          <w:color w:val="auto"/>
          <w:kern w:val="0"/>
          <w:sz w:val="24"/>
          <w:highlight w:val="none"/>
        </w:rPr>
        <w:t>表二.现场指导和配合投入人员承诺表</w:t>
      </w:r>
    </w:p>
    <w:p>
      <w:pPr>
        <w:adjustRightInd w:val="0"/>
        <w:snapToGrid w:val="0"/>
        <w:spacing w:line="360" w:lineRule="auto"/>
        <w:ind w:firstLine="976" w:firstLineChars="407"/>
        <w:rPr>
          <w:rFonts w:ascii="宋体" w:hAnsi="宋体"/>
          <w:bCs/>
          <w:snapToGrid w:val="0"/>
          <w:color w:val="auto"/>
          <w:kern w:val="0"/>
          <w:sz w:val="24"/>
          <w:highlight w:val="none"/>
        </w:rPr>
      </w:pPr>
      <w:r>
        <w:rPr>
          <w:rFonts w:hint="eastAsia" w:ascii="宋体" w:hAnsi="宋体"/>
          <w:bCs/>
          <w:snapToGrid w:val="0"/>
          <w:color w:val="auto"/>
          <w:kern w:val="0"/>
          <w:sz w:val="24"/>
          <w:highlight w:val="none"/>
        </w:rPr>
        <w:t>表三.驻场服务投入人员承诺表</w:t>
      </w:r>
    </w:p>
    <w:p>
      <w:pPr>
        <w:adjustRightInd w:val="0"/>
        <w:snapToGrid w:val="0"/>
        <w:spacing w:line="360" w:lineRule="auto"/>
        <w:ind w:left="1319" w:leftChars="228" w:hanging="840" w:hangingChars="350"/>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附件5：中标通知书（复印件）</w:t>
      </w:r>
    </w:p>
    <w:p>
      <w:pPr>
        <w:adjustRightInd w:val="0"/>
        <w:snapToGrid w:val="0"/>
        <w:spacing w:line="360" w:lineRule="auto"/>
        <w:ind w:left="1319" w:leftChars="228" w:hanging="840" w:hangingChars="350"/>
        <w:rPr>
          <w:rFonts w:hint="eastAsia" w:ascii="宋体" w:hAnsi="宋体" w:eastAsia="宋体"/>
          <w:bCs/>
          <w:snapToGrid w:val="0"/>
          <w:color w:val="auto"/>
          <w:kern w:val="0"/>
          <w:sz w:val="24"/>
          <w:highlight w:val="none"/>
          <w:lang w:eastAsia="zh-CN"/>
        </w:rPr>
      </w:pPr>
      <w:r>
        <w:rPr>
          <w:rFonts w:hint="eastAsia" w:ascii="宋体" w:hAnsi="宋体"/>
          <w:bCs/>
          <w:snapToGrid w:val="0"/>
          <w:color w:val="auto"/>
          <w:kern w:val="0"/>
          <w:sz w:val="24"/>
          <w:highlight w:val="none"/>
          <w:lang w:eastAsia="zh-CN"/>
        </w:rPr>
        <w:t>附件</w:t>
      </w:r>
      <w:r>
        <w:rPr>
          <w:rFonts w:hint="eastAsia" w:ascii="宋体" w:hAnsi="宋体"/>
          <w:bCs/>
          <w:snapToGrid w:val="0"/>
          <w:color w:val="auto"/>
          <w:kern w:val="0"/>
          <w:sz w:val="24"/>
          <w:highlight w:val="none"/>
          <w:lang w:val="en-US" w:eastAsia="zh-CN"/>
        </w:rPr>
        <w:t>6：法定代表人授权书</w:t>
      </w:r>
    </w:p>
    <w:p>
      <w:pPr>
        <w:adjustRightInd w:val="0"/>
        <w:snapToGrid w:val="0"/>
        <w:spacing w:line="360" w:lineRule="auto"/>
        <w:ind w:firstLine="480" w:firstLineChars="200"/>
        <w:rPr>
          <w:rFonts w:hint="eastAsia" w:ascii="宋体" w:hAnsi="宋体"/>
          <w:bCs/>
          <w:snapToGrid w:val="0"/>
          <w:color w:val="auto"/>
          <w:kern w:val="0"/>
          <w:sz w:val="24"/>
          <w:highlight w:val="none"/>
        </w:rPr>
      </w:pPr>
      <w:r>
        <w:rPr>
          <w:rFonts w:hint="eastAsia" w:ascii="宋体" w:hAnsi="宋体"/>
          <w:bCs/>
          <w:snapToGrid w:val="0"/>
          <w:color w:val="auto"/>
          <w:kern w:val="0"/>
          <w:sz w:val="24"/>
          <w:highlight w:val="none"/>
        </w:rPr>
        <w:t>附件</w:t>
      </w:r>
      <w:r>
        <w:rPr>
          <w:rFonts w:hint="eastAsia" w:ascii="宋体" w:hAnsi="宋体"/>
          <w:bCs/>
          <w:snapToGrid w:val="0"/>
          <w:color w:val="auto"/>
          <w:kern w:val="0"/>
          <w:sz w:val="24"/>
          <w:highlight w:val="none"/>
          <w:lang w:val="en-US" w:eastAsia="zh-CN"/>
        </w:rPr>
        <w:t>7</w:t>
      </w:r>
      <w:r>
        <w:rPr>
          <w:rFonts w:hint="eastAsia" w:ascii="宋体" w:hAnsi="宋体"/>
          <w:bCs/>
          <w:snapToGrid w:val="0"/>
          <w:color w:val="auto"/>
          <w:kern w:val="0"/>
          <w:sz w:val="24"/>
          <w:highlight w:val="none"/>
        </w:rPr>
        <w:t>：工程质量终身责任承诺书</w:t>
      </w:r>
    </w:p>
    <w:p>
      <w:pPr>
        <w:adjustRightInd w:val="0"/>
        <w:snapToGrid w:val="0"/>
        <w:spacing w:line="360" w:lineRule="auto"/>
        <w:ind w:firstLine="480" w:firstLineChars="200"/>
        <w:rPr>
          <w:rFonts w:hint="eastAsia" w:ascii="宋体" w:hAnsi="宋体"/>
          <w:bCs/>
          <w:snapToGrid w:val="0"/>
          <w:color w:val="auto"/>
          <w:kern w:val="0"/>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8</w:t>
      </w:r>
      <w:r>
        <w:rPr>
          <w:rFonts w:hint="eastAsia" w:ascii="宋体" w:hAnsi="宋体"/>
          <w:color w:val="auto"/>
          <w:sz w:val="24"/>
          <w:highlight w:val="none"/>
        </w:rPr>
        <w:t>：广东空天科技研究院风洞项目土地平整工程勘察及初步设计任务书</w:t>
      </w:r>
    </w:p>
    <w:p>
      <w:pPr>
        <w:adjustRightInd w:val="0"/>
        <w:snapToGrid w:val="0"/>
        <w:spacing w:line="300" w:lineRule="auto"/>
        <w:rPr>
          <w:rFonts w:ascii="宋体" w:hAnsi="宋体"/>
          <w:bCs/>
          <w:snapToGrid w:val="0"/>
          <w:color w:val="auto"/>
          <w:kern w:val="0"/>
          <w:sz w:val="24"/>
          <w:highlight w:val="none"/>
        </w:rPr>
      </w:pPr>
      <w:r>
        <w:rPr>
          <w:rFonts w:ascii="宋体" w:hAnsi="宋体"/>
          <w:bCs/>
          <w:snapToGrid w:val="0"/>
          <w:color w:val="auto"/>
          <w:kern w:val="0"/>
          <w:sz w:val="24"/>
          <w:highlight w:val="none"/>
        </w:rPr>
        <w:br w:type="page"/>
      </w:r>
      <w:r>
        <w:rPr>
          <w:rFonts w:hint="eastAsia" w:ascii="宋体" w:hAnsi="宋体"/>
          <w:bCs/>
          <w:snapToGrid w:val="0"/>
          <w:color w:val="auto"/>
          <w:kern w:val="0"/>
          <w:sz w:val="24"/>
          <w:highlight w:val="none"/>
        </w:rPr>
        <w:t>附件1：</w:t>
      </w:r>
    </w:p>
    <w:p>
      <w:pPr>
        <w:jc w:val="center"/>
        <w:rPr>
          <w:b/>
          <w:color w:val="auto"/>
          <w:sz w:val="36"/>
          <w:szCs w:val="36"/>
          <w:highlight w:val="none"/>
        </w:rPr>
      </w:pPr>
      <w:r>
        <w:rPr>
          <w:rFonts w:hint="eastAsia"/>
          <w:b/>
          <w:color w:val="auto"/>
          <w:sz w:val="36"/>
          <w:szCs w:val="36"/>
          <w:highlight w:val="none"/>
        </w:rPr>
        <w:t>工程建设项目廉政责任书</w:t>
      </w:r>
    </w:p>
    <w:p>
      <w:pPr>
        <w:adjustRightInd w:val="0"/>
        <w:snapToGrid w:val="0"/>
        <w:spacing w:line="360" w:lineRule="auto"/>
        <w:rPr>
          <w:color w:val="auto"/>
          <w:highlight w:val="none"/>
        </w:rPr>
      </w:pPr>
    </w:p>
    <w:p>
      <w:pPr>
        <w:adjustRightInd w:val="0"/>
        <w:snapToGrid w:val="0"/>
        <w:spacing w:line="360" w:lineRule="auto"/>
        <w:jc w:val="left"/>
        <w:rPr>
          <w:rFonts w:hint="eastAsia" w:ascii="宋体" w:hAnsi="宋体"/>
          <w:bCs/>
          <w:snapToGrid w:val="0"/>
          <w:color w:val="auto"/>
          <w:kern w:val="0"/>
          <w:sz w:val="24"/>
          <w:highlight w:val="none"/>
          <w:u w:val="single"/>
        </w:rPr>
      </w:pPr>
      <w:r>
        <w:rPr>
          <w:rFonts w:hint="eastAsia"/>
          <w:color w:val="auto"/>
          <w:sz w:val="24"/>
          <w:highlight w:val="none"/>
        </w:rPr>
        <w:t>工程项目名称：</w:t>
      </w:r>
      <w:r>
        <w:rPr>
          <w:rFonts w:hint="eastAsia" w:ascii="宋体" w:hAnsi="宋体"/>
          <w:b w:val="0"/>
          <w:color w:val="auto"/>
          <w:sz w:val="24"/>
          <w:szCs w:val="24"/>
          <w:highlight w:val="none"/>
          <w:u w:val="single"/>
          <w:lang w:val="en-US" w:eastAsia="zh-CN"/>
        </w:rPr>
        <w:t>广东空天科技研究院风洞项目土地平整工程</w:t>
      </w:r>
    </w:p>
    <w:p>
      <w:pPr>
        <w:adjustRightInd w:val="0"/>
        <w:snapToGrid w:val="0"/>
        <w:spacing w:line="360" w:lineRule="auto"/>
        <w:jc w:val="left"/>
        <w:rPr>
          <w:color w:val="auto"/>
          <w:sz w:val="24"/>
          <w:highlight w:val="none"/>
        </w:rPr>
      </w:pPr>
      <w:r>
        <w:rPr>
          <w:rFonts w:hint="eastAsia"/>
          <w:color w:val="auto"/>
          <w:sz w:val="24"/>
          <w:highlight w:val="none"/>
        </w:rPr>
        <w:t>工程项目地址：</w:t>
      </w:r>
      <w:r>
        <w:rPr>
          <w:rFonts w:hint="eastAsia"/>
          <w:color w:val="auto"/>
          <w:sz w:val="24"/>
          <w:highlight w:val="none"/>
          <w:u w:val="single"/>
        </w:rPr>
        <w:t>广州南沙开发区</w:t>
      </w:r>
    </w:p>
    <w:p>
      <w:pPr>
        <w:adjustRightInd w:val="0"/>
        <w:snapToGrid w:val="0"/>
        <w:spacing w:line="360" w:lineRule="auto"/>
        <w:jc w:val="left"/>
        <w:rPr>
          <w:rFonts w:ascii="宋体" w:hAnsi="宋体"/>
          <w:color w:val="auto"/>
          <w:sz w:val="24"/>
          <w:highlight w:val="none"/>
          <w:u w:val="single"/>
        </w:rPr>
      </w:pPr>
      <w:r>
        <w:rPr>
          <w:rFonts w:hint="eastAsia"/>
          <w:color w:val="auto"/>
          <w:sz w:val="24"/>
          <w:highlight w:val="none"/>
        </w:rPr>
        <w:t>发包人（甲方）：</w:t>
      </w:r>
      <w:r>
        <w:rPr>
          <w:rFonts w:hint="eastAsia" w:ascii="Times New Roman" w:hAnsi="Times New Roman" w:eastAsia="宋体" w:cs="Times New Roman"/>
          <w:i w:val="0"/>
          <w:caps w:val="0"/>
          <w:color w:val="auto"/>
          <w:spacing w:val="0"/>
          <w:sz w:val="24"/>
          <w:szCs w:val="24"/>
          <w:highlight w:val="none"/>
          <w:u w:val="single"/>
          <w:shd w:val="clear" w:color="auto" w:fill="auto"/>
        </w:rPr>
        <w:t>广州市南沙新区明珠湾开发建设管理局</w:t>
      </w:r>
    </w:p>
    <w:p>
      <w:pPr>
        <w:adjustRightInd w:val="0"/>
        <w:snapToGrid w:val="0"/>
        <w:spacing w:line="360" w:lineRule="auto"/>
        <w:rPr>
          <w:color w:val="auto"/>
          <w:sz w:val="24"/>
          <w:highlight w:val="none"/>
          <w:u w:val="single"/>
        </w:rPr>
      </w:pPr>
      <w:r>
        <w:rPr>
          <w:rFonts w:hint="eastAsia"/>
          <w:color w:val="auto"/>
          <w:sz w:val="24"/>
          <w:highlight w:val="none"/>
        </w:rPr>
        <w:t>承包人（乙方）：</w:t>
      </w:r>
      <w:r>
        <w:rPr>
          <w:color w:val="auto"/>
          <w:sz w:val="24"/>
          <w:highlight w:val="none"/>
          <w:u w:val="single"/>
        </w:rPr>
        <w:t xml:space="preserve"> </w:t>
      </w:r>
      <w:r>
        <w:rPr>
          <w:rFonts w:hint="eastAsia"/>
          <w:color w:val="auto"/>
          <w:sz w:val="24"/>
          <w:highlight w:val="none"/>
          <w:u w:val="single"/>
          <w:lang w:val="en-US" w:eastAsia="zh-CN"/>
        </w:rPr>
        <w:t xml:space="preserve">                                 </w:t>
      </w:r>
    </w:p>
    <w:p>
      <w:pPr>
        <w:adjustRightInd w:val="0"/>
        <w:snapToGrid w:val="0"/>
        <w:spacing w:line="360" w:lineRule="auto"/>
        <w:ind w:firstLine="480"/>
        <w:rPr>
          <w:color w:val="auto"/>
          <w:sz w:val="24"/>
          <w:highlight w:val="none"/>
        </w:rPr>
      </w:pPr>
    </w:p>
    <w:p>
      <w:pPr>
        <w:adjustRightInd w:val="0"/>
        <w:snapToGrid w:val="0"/>
        <w:spacing w:line="360" w:lineRule="auto"/>
        <w:ind w:firstLine="480"/>
        <w:rPr>
          <w:color w:val="auto"/>
          <w:sz w:val="24"/>
          <w:highlight w:val="none"/>
        </w:rPr>
      </w:pPr>
      <w:r>
        <w:rPr>
          <w:rFonts w:hint="eastAsia"/>
          <w:color w:val="auto"/>
          <w:sz w:val="24"/>
          <w:highlight w:val="none"/>
        </w:rPr>
        <w:t>为加强工程建设中的廉政建设，规范工程建设项目承发包双方的各项活动，防止发生各种谋取不正当利益的违法违纪行为，保护当事人的合法权益，促进工程建设项目高效廉洁运行及建设资金的安全使用，根据国家有关工程建设的法律法规和廉政建设责任制规定，特订立本廉政协议书。</w:t>
      </w:r>
    </w:p>
    <w:p>
      <w:pPr>
        <w:adjustRightInd w:val="0"/>
        <w:snapToGrid w:val="0"/>
        <w:spacing w:line="360" w:lineRule="auto"/>
        <w:ind w:firstLine="480"/>
        <w:rPr>
          <w:color w:val="auto"/>
          <w:sz w:val="24"/>
          <w:highlight w:val="none"/>
        </w:rPr>
      </w:pPr>
    </w:p>
    <w:p>
      <w:pPr>
        <w:numPr>
          <w:ilvl w:val="0"/>
          <w:numId w:val="2"/>
        </w:numPr>
        <w:adjustRightInd w:val="0"/>
        <w:snapToGrid w:val="0"/>
        <w:spacing w:line="360" w:lineRule="auto"/>
        <w:rPr>
          <w:color w:val="auto"/>
          <w:sz w:val="24"/>
          <w:highlight w:val="none"/>
        </w:rPr>
      </w:pPr>
      <w:r>
        <w:rPr>
          <w:rFonts w:hint="eastAsia"/>
          <w:color w:val="auto"/>
          <w:sz w:val="24"/>
          <w:highlight w:val="none"/>
        </w:rPr>
        <w:t>甲乙双方的责任</w:t>
      </w:r>
    </w:p>
    <w:p>
      <w:pPr>
        <w:adjustRightInd w:val="0"/>
        <w:snapToGrid w:val="0"/>
        <w:spacing w:line="360" w:lineRule="auto"/>
        <w:ind w:firstLine="480" w:firstLineChars="200"/>
        <w:rPr>
          <w:color w:val="auto"/>
          <w:sz w:val="24"/>
          <w:highlight w:val="none"/>
        </w:rPr>
      </w:pPr>
      <w:r>
        <w:rPr>
          <w:rFonts w:hint="eastAsia"/>
          <w:color w:val="auto"/>
          <w:sz w:val="24"/>
          <w:highlight w:val="none"/>
        </w:rPr>
        <w:t>（一）严格遵守国家关于市场准入、项目招标投标、工程建设、测量安装和市场活动等有关法律、法规</w:t>
      </w:r>
      <w:r>
        <w:rPr>
          <w:rFonts w:hint="eastAsia"/>
          <w:color w:val="auto"/>
          <w:sz w:val="24"/>
          <w:highlight w:val="none"/>
          <w:lang w:eastAsia="zh-CN"/>
        </w:rPr>
        <w:t>、规章、</w:t>
      </w:r>
      <w:r>
        <w:rPr>
          <w:rFonts w:hint="eastAsia"/>
          <w:color w:val="auto"/>
          <w:sz w:val="24"/>
          <w:highlight w:val="none"/>
        </w:rPr>
        <w:t>相关政策，以及廉政建设的各项规定。</w:t>
      </w:r>
    </w:p>
    <w:p>
      <w:pPr>
        <w:adjustRightInd w:val="0"/>
        <w:snapToGrid w:val="0"/>
        <w:spacing w:line="360" w:lineRule="auto"/>
        <w:ind w:firstLine="480" w:firstLineChars="200"/>
        <w:rPr>
          <w:color w:val="auto"/>
          <w:sz w:val="24"/>
          <w:highlight w:val="none"/>
        </w:rPr>
      </w:pPr>
      <w:r>
        <w:rPr>
          <w:rFonts w:hint="eastAsia"/>
          <w:color w:val="auto"/>
          <w:sz w:val="24"/>
          <w:highlight w:val="none"/>
        </w:rPr>
        <w:t>（二）严格执行建设工程项目承发包合同文件，自觉按合同办事。</w:t>
      </w:r>
    </w:p>
    <w:p>
      <w:pPr>
        <w:adjustRightInd w:val="0"/>
        <w:snapToGrid w:val="0"/>
        <w:spacing w:line="360" w:lineRule="auto"/>
        <w:ind w:firstLine="480" w:firstLineChars="200"/>
        <w:rPr>
          <w:color w:val="auto"/>
          <w:sz w:val="24"/>
          <w:highlight w:val="none"/>
        </w:rPr>
      </w:pPr>
      <w:r>
        <w:rPr>
          <w:rFonts w:hint="eastAsia"/>
          <w:color w:val="auto"/>
          <w:sz w:val="24"/>
          <w:highlight w:val="none"/>
        </w:rPr>
        <w:t>（三）业务活动必须坚持公开、公平、公正、诚信、透明的原则（项目涉及保密、法律法规另有规定者除外），不得为获取不正当的利益，损害国家、集体和对方利益，不得违反工程建设管理、测量安装的规章制度。</w:t>
      </w:r>
    </w:p>
    <w:p>
      <w:pPr>
        <w:adjustRightInd w:val="0"/>
        <w:snapToGrid w:val="0"/>
        <w:spacing w:line="360" w:lineRule="auto"/>
        <w:ind w:firstLine="480" w:firstLineChars="200"/>
        <w:rPr>
          <w:color w:val="auto"/>
          <w:sz w:val="24"/>
          <w:highlight w:val="none"/>
        </w:rPr>
      </w:pPr>
      <w:r>
        <w:rPr>
          <w:rFonts w:hint="eastAsia"/>
          <w:color w:val="auto"/>
          <w:sz w:val="24"/>
          <w:highlight w:val="none"/>
        </w:rPr>
        <w:t>（四）发现对方在业务活动中有违规、违纪、违法行为的，应及时提醒对方，情节严重的，应向其上级主管部门或纪检监察、司法等有关机关举报。</w:t>
      </w:r>
    </w:p>
    <w:p>
      <w:pPr>
        <w:numPr>
          <w:ilvl w:val="0"/>
          <w:numId w:val="2"/>
        </w:numPr>
        <w:adjustRightInd w:val="0"/>
        <w:snapToGrid w:val="0"/>
        <w:spacing w:line="360" w:lineRule="auto"/>
        <w:rPr>
          <w:color w:val="auto"/>
          <w:sz w:val="24"/>
          <w:highlight w:val="none"/>
        </w:rPr>
      </w:pPr>
      <w:r>
        <w:rPr>
          <w:rFonts w:hint="eastAsia"/>
          <w:color w:val="auto"/>
          <w:sz w:val="24"/>
          <w:highlight w:val="none"/>
        </w:rPr>
        <w:t>甲方的责任</w:t>
      </w:r>
    </w:p>
    <w:p>
      <w:pPr>
        <w:adjustRightInd w:val="0"/>
        <w:snapToGrid w:val="0"/>
        <w:spacing w:line="360" w:lineRule="auto"/>
        <w:ind w:firstLine="480"/>
        <w:rPr>
          <w:color w:val="auto"/>
          <w:sz w:val="24"/>
          <w:highlight w:val="none"/>
        </w:rPr>
      </w:pPr>
      <w:r>
        <w:rPr>
          <w:rFonts w:hint="eastAsia"/>
          <w:color w:val="auto"/>
          <w:sz w:val="24"/>
          <w:highlight w:val="none"/>
        </w:rPr>
        <w:t>甲方的领导和从事该建设工程项目的工作人员，在工程建设的事前、事中、事后应遵守以下规定：</w:t>
      </w:r>
    </w:p>
    <w:p>
      <w:pPr>
        <w:adjustRightInd w:val="0"/>
        <w:snapToGrid w:val="0"/>
        <w:spacing w:line="360" w:lineRule="auto"/>
        <w:ind w:firstLine="480" w:firstLineChars="200"/>
        <w:rPr>
          <w:color w:val="auto"/>
          <w:sz w:val="24"/>
          <w:highlight w:val="none"/>
        </w:rPr>
      </w:pPr>
      <w:r>
        <w:rPr>
          <w:rFonts w:hint="eastAsia"/>
          <w:color w:val="auto"/>
          <w:sz w:val="24"/>
          <w:highlight w:val="none"/>
        </w:rPr>
        <w:t>（一）不准向乙方和相关单位索要或接受回扣、礼金、有价证券、贵重物品和好处费、感谢费等。</w:t>
      </w:r>
    </w:p>
    <w:p>
      <w:pPr>
        <w:adjustRightInd w:val="0"/>
        <w:snapToGrid w:val="0"/>
        <w:spacing w:line="360" w:lineRule="auto"/>
        <w:ind w:firstLine="480" w:firstLineChars="200"/>
        <w:rPr>
          <w:color w:val="auto"/>
          <w:sz w:val="24"/>
          <w:highlight w:val="none"/>
        </w:rPr>
      </w:pPr>
      <w:r>
        <w:rPr>
          <w:rFonts w:hint="eastAsia"/>
          <w:color w:val="auto"/>
          <w:sz w:val="24"/>
          <w:highlight w:val="none"/>
        </w:rPr>
        <w:t>（二）不准在乙方和相关单位报销任何应由甲方或甲方个人支付的费用。</w:t>
      </w:r>
    </w:p>
    <w:p>
      <w:pPr>
        <w:adjustRightInd w:val="0"/>
        <w:snapToGrid w:val="0"/>
        <w:spacing w:line="360" w:lineRule="auto"/>
        <w:ind w:firstLine="480" w:firstLineChars="200"/>
        <w:rPr>
          <w:color w:val="auto"/>
          <w:sz w:val="24"/>
          <w:highlight w:val="none"/>
        </w:rPr>
      </w:pPr>
      <w:r>
        <w:rPr>
          <w:rFonts w:hint="eastAsia"/>
          <w:color w:val="auto"/>
          <w:sz w:val="24"/>
          <w:highlight w:val="none"/>
        </w:rPr>
        <w:t>（三）不准要求、暗示和接受乙方和相关单位为个人装修住房、婚丧嫁娶、配偶子女的工作安排以及出国（境）、旅游等提供方便。</w:t>
      </w:r>
    </w:p>
    <w:p>
      <w:pPr>
        <w:adjustRightInd w:val="0"/>
        <w:snapToGrid w:val="0"/>
        <w:spacing w:line="360" w:lineRule="auto"/>
        <w:ind w:firstLine="480" w:firstLineChars="200"/>
        <w:rPr>
          <w:color w:val="auto"/>
          <w:sz w:val="24"/>
          <w:highlight w:val="none"/>
        </w:rPr>
      </w:pPr>
      <w:r>
        <w:rPr>
          <w:rFonts w:hint="eastAsia"/>
          <w:color w:val="auto"/>
          <w:sz w:val="24"/>
          <w:highlight w:val="none"/>
        </w:rPr>
        <w:t>（四）不准参加有可能影响公正执行公务的乙方和相关单位的宴请和健身、娱乐等活动。</w:t>
      </w:r>
    </w:p>
    <w:p>
      <w:pPr>
        <w:adjustRightInd w:val="0"/>
        <w:snapToGrid w:val="0"/>
        <w:spacing w:line="360" w:lineRule="auto"/>
        <w:ind w:firstLine="480" w:firstLineChars="200"/>
        <w:rPr>
          <w:color w:val="auto"/>
          <w:sz w:val="24"/>
          <w:highlight w:val="none"/>
        </w:rPr>
      </w:pPr>
      <w:r>
        <w:rPr>
          <w:rFonts w:hint="eastAsia"/>
          <w:color w:val="auto"/>
          <w:sz w:val="24"/>
          <w:highlight w:val="none"/>
        </w:rPr>
        <w:t>（五）不准向乙方介绍或为配偶、子女、亲属参与同甲方项目工程测量合同有关的设备、材料、工程分包、劳务等经济活动。不得以任何理由向乙方和相关单位推荐分包单位和要求乙方购买项目工程测量合同规定以外的材料、设备等。</w:t>
      </w:r>
    </w:p>
    <w:p>
      <w:pPr>
        <w:adjustRightInd w:val="0"/>
        <w:snapToGrid w:val="0"/>
        <w:spacing w:line="360" w:lineRule="auto"/>
        <w:ind w:firstLine="480" w:firstLineChars="200"/>
        <w:rPr>
          <w:color w:val="auto"/>
          <w:sz w:val="24"/>
          <w:highlight w:val="none"/>
        </w:rPr>
      </w:pPr>
      <w:r>
        <w:rPr>
          <w:rFonts w:hint="eastAsia"/>
          <w:color w:val="auto"/>
          <w:sz w:val="24"/>
          <w:highlight w:val="none"/>
        </w:rPr>
        <w:t>（六）不得有违反法律法规、廉政政策规范、合同约定等的违法违规行为。</w:t>
      </w:r>
    </w:p>
    <w:p>
      <w:pPr>
        <w:numPr>
          <w:ilvl w:val="0"/>
          <w:numId w:val="2"/>
        </w:numPr>
        <w:adjustRightInd w:val="0"/>
        <w:snapToGrid w:val="0"/>
        <w:spacing w:line="360" w:lineRule="auto"/>
        <w:rPr>
          <w:color w:val="auto"/>
          <w:sz w:val="24"/>
          <w:highlight w:val="none"/>
        </w:rPr>
      </w:pPr>
      <w:r>
        <w:rPr>
          <w:rFonts w:hint="eastAsia"/>
          <w:color w:val="auto"/>
          <w:sz w:val="24"/>
          <w:highlight w:val="none"/>
        </w:rPr>
        <w:t>乙方的责任</w:t>
      </w:r>
    </w:p>
    <w:p>
      <w:pPr>
        <w:adjustRightInd w:val="0"/>
        <w:snapToGrid w:val="0"/>
        <w:spacing w:line="360" w:lineRule="auto"/>
        <w:ind w:firstLine="480"/>
        <w:rPr>
          <w:color w:val="auto"/>
          <w:sz w:val="24"/>
          <w:highlight w:val="none"/>
        </w:rPr>
      </w:pPr>
      <w:r>
        <w:rPr>
          <w:rFonts w:hint="eastAsia"/>
          <w:color w:val="auto"/>
          <w:sz w:val="24"/>
          <w:highlight w:val="none"/>
        </w:rPr>
        <w:t>应与甲方保持正常的业务往来，按照有关法律法规和程序开展业务工作，严格执行工程建设的有关方针、政策，尤其是有关建筑测量安装的强制性标准和规范，并遵守以下规定：</w:t>
      </w:r>
    </w:p>
    <w:p>
      <w:pPr>
        <w:adjustRightInd w:val="0"/>
        <w:snapToGrid w:val="0"/>
        <w:spacing w:line="360" w:lineRule="auto"/>
        <w:ind w:left="-27" w:leftChars="-13" w:firstLine="480" w:firstLineChars="200"/>
        <w:rPr>
          <w:color w:val="auto"/>
          <w:sz w:val="24"/>
          <w:highlight w:val="none"/>
        </w:rPr>
      </w:pPr>
      <w:r>
        <w:rPr>
          <w:rFonts w:hint="eastAsia"/>
          <w:color w:val="auto"/>
          <w:sz w:val="24"/>
          <w:highlight w:val="none"/>
        </w:rPr>
        <w:t>（一）不准以任何理由向甲方、相关单位及其工作人员索要、接收或赠送礼金、有价证券、贵重物品和回扣、好处费、感谢费等。</w:t>
      </w:r>
    </w:p>
    <w:p>
      <w:pPr>
        <w:adjustRightInd w:val="0"/>
        <w:snapToGrid w:val="0"/>
        <w:spacing w:line="360" w:lineRule="auto"/>
        <w:ind w:left="-27" w:leftChars="-13" w:firstLine="480" w:firstLineChars="200"/>
        <w:rPr>
          <w:color w:val="auto"/>
          <w:sz w:val="24"/>
          <w:highlight w:val="none"/>
        </w:rPr>
      </w:pPr>
      <w:r>
        <w:rPr>
          <w:rFonts w:hint="eastAsia"/>
          <w:color w:val="auto"/>
          <w:sz w:val="24"/>
          <w:highlight w:val="none"/>
        </w:rPr>
        <w:t>（二）不准以任何理由为甲方和相关单位报销应由对方或甲方个人支付的费用。</w:t>
      </w:r>
    </w:p>
    <w:p>
      <w:pPr>
        <w:adjustRightInd w:val="0"/>
        <w:snapToGrid w:val="0"/>
        <w:spacing w:line="360" w:lineRule="auto"/>
        <w:ind w:left="-27" w:leftChars="-13" w:firstLine="480" w:firstLineChars="200"/>
        <w:rPr>
          <w:color w:val="auto"/>
          <w:sz w:val="24"/>
          <w:highlight w:val="none"/>
        </w:rPr>
      </w:pPr>
      <w:r>
        <w:rPr>
          <w:color w:val="auto"/>
          <w:sz w:val="24"/>
          <w:highlight w:val="none"/>
        </w:rPr>
        <w:drawing>
          <wp:anchor distT="0" distB="0" distL="114300" distR="114300" simplePos="0" relativeHeight="251658240" behindDoc="1" locked="1" layoutInCell="1" allowOverlap="1">
            <wp:simplePos x="0" y="0"/>
            <wp:positionH relativeFrom="column">
              <wp:posOffset>1689100</wp:posOffset>
            </wp:positionH>
            <wp:positionV relativeFrom="paragraph">
              <wp:posOffset>3022600</wp:posOffset>
            </wp:positionV>
            <wp:extent cx="1397000" cy="203200"/>
            <wp:effectExtent l="0" t="0" r="12700" b="6350"/>
            <wp:wrapNone/>
            <wp:docPr id="1" name="Picture 1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108"/>
                    <pic:cNvPicPr>
                      <a:picLocks noChangeAspect="1"/>
                    </pic:cNvPicPr>
                  </pic:nvPicPr>
                  <pic:blipFill>
                    <a:blip r:embed="rId7"/>
                    <a:stretch>
                      <a:fillRect/>
                    </a:stretch>
                  </pic:blipFill>
                  <pic:spPr>
                    <a:xfrm>
                      <a:off x="0" y="0"/>
                      <a:ext cx="1397000" cy="203200"/>
                    </a:xfrm>
                    <a:prstGeom prst="rect">
                      <a:avLst/>
                    </a:prstGeom>
                    <a:noFill/>
                    <a:ln>
                      <a:noFill/>
                    </a:ln>
                  </pic:spPr>
                </pic:pic>
              </a:graphicData>
            </a:graphic>
          </wp:anchor>
        </w:drawing>
      </w:r>
      <w:r>
        <w:rPr>
          <w:rFonts w:hint="eastAsia"/>
          <w:color w:val="auto"/>
          <w:sz w:val="24"/>
          <w:highlight w:val="none"/>
        </w:rPr>
        <w:t>（三）不准接受或暗示为甲方、相关单位或甲方个人装修住房、婚丧嫁娶、配偶子女的工作安排以及出国（境）、旅游等提供方便。</w:t>
      </w:r>
    </w:p>
    <w:p>
      <w:pPr>
        <w:adjustRightInd w:val="0"/>
        <w:snapToGrid w:val="0"/>
        <w:spacing w:line="360" w:lineRule="auto"/>
        <w:ind w:left="-27" w:leftChars="-13" w:firstLine="480" w:firstLineChars="200"/>
        <w:rPr>
          <w:color w:val="auto"/>
          <w:sz w:val="24"/>
          <w:highlight w:val="none"/>
        </w:rPr>
      </w:pPr>
      <w:r>
        <w:rPr>
          <w:rFonts w:hint="eastAsia"/>
          <w:color w:val="auto"/>
          <w:sz w:val="24"/>
          <w:highlight w:val="none"/>
        </w:rPr>
        <w:t>（四）不准以任何理由为甲方、相关单位或甲方个人组织有可能影响公正执行公务的宴请、健身、娱乐等活动。</w:t>
      </w:r>
    </w:p>
    <w:p>
      <w:pPr>
        <w:adjustRightInd w:val="0"/>
        <w:snapToGrid w:val="0"/>
        <w:spacing w:line="360" w:lineRule="auto"/>
        <w:ind w:left="-27" w:leftChars="-13" w:firstLine="480" w:firstLineChars="200"/>
        <w:rPr>
          <w:color w:val="auto"/>
          <w:sz w:val="24"/>
          <w:highlight w:val="none"/>
        </w:rPr>
      </w:pPr>
      <w:r>
        <w:rPr>
          <w:rFonts w:hint="eastAsia"/>
          <w:color w:val="auto"/>
          <w:sz w:val="24"/>
          <w:highlight w:val="none"/>
        </w:rPr>
        <w:t>（五）不得有违反法律法规、廉政政策规范、合同约定等的违法违规行为。</w:t>
      </w:r>
    </w:p>
    <w:p>
      <w:pPr>
        <w:numPr>
          <w:ilvl w:val="0"/>
          <w:numId w:val="2"/>
        </w:numPr>
        <w:adjustRightInd w:val="0"/>
        <w:snapToGrid w:val="0"/>
        <w:spacing w:line="360" w:lineRule="auto"/>
        <w:rPr>
          <w:color w:val="auto"/>
          <w:sz w:val="24"/>
          <w:highlight w:val="none"/>
        </w:rPr>
      </w:pPr>
      <w:r>
        <w:rPr>
          <w:rFonts w:hint="eastAsia"/>
          <w:color w:val="auto"/>
          <w:sz w:val="24"/>
          <w:highlight w:val="none"/>
        </w:rPr>
        <w:t>违约责任</w:t>
      </w:r>
    </w:p>
    <w:p>
      <w:pPr>
        <w:adjustRightInd w:val="0"/>
        <w:snapToGrid w:val="0"/>
        <w:spacing w:line="360" w:lineRule="auto"/>
        <w:ind w:left="-27" w:leftChars="-13" w:firstLine="480" w:firstLineChars="200"/>
        <w:rPr>
          <w:color w:val="auto"/>
          <w:sz w:val="24"/>
          <w:highlight w:val="none"/>
        </w:rPr>
      </w:pPr>
      <w:r>
        <w:rPr>
          <w:rFonts w:hint="eastAsia"/>
          <w:color w:val="auto"/>
          <w:sz w:val="24"/>
          <w:highlight w:val="none"/>
        </w:rPr>
        <w:t>（一）甲方工作人员有违反本责任书第一、二条责任行为的，按照管理权限，依据有关法律法规和规定给与党纪、政纪处分或组织处理；涉嫌犯罪的，移交司法机关追究刑事责任；给乙方造成经济损失的，应予以赔偿。</w:t>
      </w:r>
    </w:p>
    <w:p>
      <w:pPr>
        <w:adjustRightInd w:val="0"/>
        <w:snapToGrid w:val="0"/>
        <w:spacing w:line="360" w:lineRule="auto"/>
        <w:ind w:left="-27" w:leftChars="-13" w:firstLine="480" w:firstLineChars="200"/>
        <w:rPr>
          <w:color w:val="auto"/>
          <w:sz w:val="24"/>
          <w:highlight w:val="none"/>
        </w:rPr>
      </w:pPr>
      <w:r>
        <w:rPr>
          <w:rFonts w:hint="eastAsia"/>
          <w:color w:val="auto"/>
          <w:sz w:val="24"/>
          <w:highlight w:val="none"/>
        </w:rPr>
        <w:t>（二）乙方工作人员有违反本责任书第一、三条责任行为的，按照管理权限，依据有关法律法规和规定给与党纪、政纪处分或组织处理；涉嫌犯罪的，移交司法机关追究刑事责任；给甲方造成经济损失的，应予以赔偿。</w:t>
      </w:r>
    </w:p>
    <w:p>
      <w:pPr>
        <w:numPr>
          <w:ilvl w:val="0"/>
          <w:numId w:val="2"/>
        </w:numPr>
        <w:tabs>
          <w:tab w:val="left" w:pos="0"/>
        </w:tabs>
        <w:adjustRightInd w:val="0"/>
        <w:snapToGrid w:val="0"/>
        <w:spacing w:line="360" w:lineRule="auto"/>
        <w:ind w:left="0" w:firstLine="480"/>
        <w:rPr>
          <w:color w:val="auto"/>
          <w:sz w:val="24"/>
          <w:highlight w:val="none"/>
        </w:rPr>
      </w:pPr>
      <w:r>
        <w:rPr>
          <w:rFonts w:hint="eastAsia"/>
          <w:color w:val="auto"/>
          <w:sz w:val="24"/>
          <w:highlight w:val="none"/>
        </w:rPr>
        <w:t>本</w:t>
      </w:r>
      <w:r>
        <w:rPr>
          <w:rFonts w:hint="eastAsia"/>
          <w:color w:val="auto"/>
          <w:sz w:val="24"/>
          <w:highlight w:val="none"/>
          <w:lang w:eastAsia="zh-CN"/>
        </w:rPr>
        <w:t>责任书作为《广东空天科技研究院风洞项目土地平整工程勘察及初步设计服务合同》的附件，与《广东空天科技研究院风洞项目土地平整工程勘察及初步设计服务合同》具有同等法律效力，有效期与《广东空天科技研究院风洞项目土地平整工程勘察及初步设计服务合同》有效期一致。</w:t>
      </w:r>
    </w:p>
    <w:p>
      <w:pPr>
        <w:numPr>
          <w:ilvl w:val="0"/>
          <w:numId w:val="2"/>
        </w:numPr>
        <w:tabs>
          <w:tab w:val="left" w:pos="0"/>
        </w:tabs>
        <w:adjustRightInd w:val="0"/>
        <w:snapToGrid w:val="0"/>
        <w:spacing w:line="360" w:lineRule="auto"/>
        <w:ind w:left="0" w:firstLine="480"/>
        <w:rPr>
          <w:color w:val="auto"/>
          <w:sz w:val="24"/>
          <w:highlight w:val="none"/>
        </w:rPr>
      </w:pPr>
      <w:r>
        <w:rPr>
          <w:rFonts w:hint="eastAsia"/>
          <w:color w:val="auto"/>
          <w:sz w:val="24"/>
          <w:highlight w:val="none"/>
        </w:rPr>
        <w:t>本协议正本共三份，发包人执两份、承包单位执一份；副本十份，发包人七份，承包单位三份，均具有同等法律效力。</w:t>
      </w:r>
    </w:p>
    <w:p>
      <w:pPr>
        <w:adjustRightInd w:val="0"/>
        <w:snapToGrid w:val="0"/>
        <w:spacing w:line="360" w:lineRule="auto"/>
        <w:rPr>
          <w:color w:val="auto"/>
          <w:sz w:val="24"/>
          <w:highlight w:val="none"/>
        </w:rPr>
      </w:pPr>
    </w:p>
    <w:p>
      <w:pPr>
        <w:adjustRightInd w:val="0"/>
        <w:snapToGrid w:val="0"/>
        <w:spacing w:line="480" w:lineRule="auto"/>
        <w:rPr>
          <w:rFonts w:ascii="宋体" w:hAnsi="宋体"/>
          <w:color w:val="auto"/>
          <w:sz w:val="24"/>
          <w:highlight w:val="none"/>
        </w:rPr>
      </w:pPr>
      <w:r>
        <w:rPr>
          <w:rFonts w:hint="eastAsia"/>
          <w:color w:val="auto"/>
          <w:sz w:val="24"/>
          <w:highlight w:val="none"/>
        </w:rPr>
        <w:t>甲方：</w:t>
      </w:r>
      <w:r>
        <w:rPr>
          <w:rFonts w:hint="eastAsia" w:ascii="宋体" w:hAnsi="宋体" w:eastAsia="宋体" w:cs="Times New Roman"/>
          <w:i w:val="0"/>
          <w:caps w:val="0"/>
          <w:color w:val="auto"/>
          <w:spacing w:val="0"/>
          <w:sz w:val="24"/>
          <w:szCs w:val="24"/>
          <w:highlight w:val="none"/>
          <w:u w:val="none"/>
          <w:shd w:val="clear" w:color="auto" w:fill="auto"/>
        </w:rPr>
        <w:t>广州市南沙新区明珠湾开发建设管理局</w:t>
      </w:r>
      <w:r>
        <w:rPr>
          <w:rFonts w:hint="eastAsia" w:ascii="宋体" w:hAnsi="宋体"/>
          <w:color w:val="auto"/>
          <w:sz w:val="24"/>
          <w:highlight w:val="none"/>
        </w:rPr>
        <w:t xml:space="preserve">  　</w:t>
      </w:r>
    </w:p>
    <w:p>
      <w:pPr>
        <w:tabs>
          <w:tab w:val="center" w:pos="4153"/>
        </w:tabs>
        <w:adjustRightInd w:val="0"/>
        <w:snapToGrid w:val="0"/>
        <w:spacing w:line="480" w:lineRule="auto"/>
        <w:rPr>
          <w:rFonts w:ascii="宋体" w:hAnsi="宋体"/>
          <w:color w:val="auto"/>
          <w:sz w:val="24"/>
          <w:highlight w:val="none"/>
        </w:rPr>
      </w:pPr>
      <w:r>
        <w:rPr>
          <w:rFonts w:hint="eastAsia" w:ascii="宋体" w:hAnsi="宋体"/>
          <w:color w:val="auto"/>
          <w:sz w:val="24"/>
          <w:highlight w:val="none"/>
        </w:rPr>
        <w:t>（盖章）</w:t>
      </w:r>
      <w:r>
        <w:rPr>
          <w:rFonts w:ascii="宋体" w:hAnsi="宋体"/>
          <w:color w:val="auto"/>
          <w:sz w:val="24"/>
          <w:highlight w:val="none"/>
        </w:rPr>
        <w:tab/>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 xml:space="preserve">负责人：　　　　　　　　　　 　　　　  </w:t>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地址：</w:t>
      </w:r>
      <w:r>
        <w:rPr>
          <w:rFonts w:hint="eastAsia" w:ascii="宋体" w:hAnsi="宋体" w:eastAsia="宋体" w:cs="Times New Roman"/>
          <w:i w:val="0"/>
          <w:caps w:val="0"/>
          <w:color w:val="auto"/>
          <w:spacing w:val="0"/>
          <w:sz w:val="24"/>
          <w:szCs w:val="24"/>
          <w:highlight w:val="none"/>
          <w:u w:val="none"/>
          <w:shd w:val="clear" w:color="auto" w:fill="auto"/>
        </w:rPr>
        <w:t>广州市南沙区横沥镇凤凰一桥南岸明珠开发大厦8楼</w:t>
      </w:r>
      <w:r>
        <w:rPr>
          <w:rFonts w:hint="eastAsia" w:ascii="宋体" w:hAnsi="宋体"/>
          <w:color w:val="auto"/>
          <w:sz w:val="24"/>
          <w:highlight w:val="none"/>
        </w:rPr>
        <w:t xml:space="preserve">　　　　　                    </w:t>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 xml:space="preserve">电话：　　　　　　　　　 　　　　　   </w:t>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 xml:space="preserve">年  月　　日　　　　　　　　　       </w:t>
      </w:r>
    </w:p>
    <w:p>
      <w:pPr>
        <w:adjustRightInd w:val="0"/>
        <w:snapToGrid w:val="0"/>
        <w:spacing w:line="480" w:lineRule="auto"/>
        <w:rPr>
          <w:color w:val="auto"/>
          <w:sz w:val="24"/>
          <w:highlight w:val="none"/>
        </w:rPr>
      </w:pPr>
      <w:r>
        <w:rPr>
          <w:rFonts w:hint="eastAsia"/>
          <w:color w:val="auto"/>
          <w:sz w:val="24"/>
          <w:highlight w:val="none"/>
        </w:rPr>
        <w:t>乙方：</w:t>
      </w:r>
      <w:r>
        <w:rPr>
          <w:color w:val="auto"/>
          <w:sz w:val="24"/>
          <w:highlight w:val="none"/>
        </w:rPr>
        <w:t xml:space="preserve"> </w:t>
      </w:r>
    </w:p>
    <w:p>
      <w:pPr>
        <w:adjustRightInd w:val="0"/>
        <w:snapToGrid w:val="0"/>
        <w:spacing w:line="480" w:lineRule="auto"/>
        <w:rPr>
          <w:rFonts w:ascii="宋体" w:hAnsi="宋体"/>
          <w:color w:val="auto"/>
          <w:sz w:val="24"/>
          <w:highlight w:val="none"/>
        </w:rPr>
      </w:pPr>
      <w:r>
        <w:rPr>
          <w:rFonts w:hint="eastAsia"/>
          <w:color w:val="auto"/>
          <w:sz w:val="24"/>
          <w:highlight w:val="none"/>
        </w:rPr>
        <w:t>（盖章）</w:t>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法定代表人：　　　　　　　　　　</w:t>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 xml:space="preserve">地址：　                  </w:t>
      </w:r>
    </w:p>
    <w:p>
      <w:pPr>
        <w:adjustRightInd w:val="0"/>
        <w:snapToGrid w:val="0"/>
        <w:spacing w:line="480" w:lineRule="auto"/>
        <w:rPr>
          <w:rFonts w:ascii="宋体" w:hAnsi="宋体"/>
          <w:color w:val="auto"/>
          <w:sz w:val="24"/>
          <w:highlight w:val="none"/>
        </w:rPr>
      </w:pPr>
      <w:r>
        <w:rPr>
          <w:rFonts w:hint="eastAsia" w:ascii="宋体" w:hAnsi="宋体"/>
          <w:color w:val="auto"/>
          <w:sz w:val="24"/>
          <w:highlight w:val="none"/>
        </w:rPr>
        <w:t xml:space="preserve">电话：　　　　　　　　　　 　　　　　   </w:t>
      </w:r>
    </w:p>
    <w:p>
      <w:pPr>
        <w:adjustRightInd w:val="0"/>
        <w:snapToGrid w:val="0"/>
        <w:spacing w:line="480" w:lineRule="auto"/>
        <w:rPr>
          <w:rFonts w:ascii="宋体" w:hAnsi="宋体"/>
          <w:color w:val="auto"/>
          <w:sz w:val="28"/>
          <w:szCs w:val="28"/>
          <w:highlight w:val="none"/>
        </w:rPr>
      </w:pPr>
      <w:r>
        <w:rPr>
          <w:rFonts w:hint="eastAsia" w:ascii="宋体" w:hAnsi="宋体"/>
          <w:color w:val="auto"/>
          <w:sz w:val="24"/>
          <w:highlight w:val="none"/>
        </w:rPr>
        <w:t>年  月　　日</w:t>
      </w:r>
    </w:p>
    <w:p>
      <w:pPr>
        <w:adjustRightInd w:val="0"/>
        <w:snapToGrid w:val="0"/>
        <w:spacing w:line="288" w:lineRule="auto"/>
        <w:rPr>
          <w:rFonts w:ascii="宋体" w:hAnsi="宋体"/>
          <w:bCs/>
          <w:snapToGrid w:val="0"/>
          <w:color w:val="auto"/>
          <w:kern w:val="0"/>
          <w:sz w:val="24"/>
          <w:highlight w:val="none"/>
        </w:rPr>
      </w:pPr>
      <w:r>
        <w:rPr>
          <w:rFonts w:ascii="宋体" w:hAnsi="宋体"/>
          <w:bCs/>
          <w:snapToGrid w:val="0"/>
          <w:color w:val="auto"/>
          <w:kern w:val="0"/>
          <w:sz w:val="24"/>
          <w:highlight w:val="none"/>
        </w:rPr>
        <w:br w:type="page"/>
      </w:r>
      <w:r>
        <w:rPr>
          <w:rFonts w:hint="eastAsia" w:ascii="宋体" w:hAnsi="宋体"/>
          <w:bCs/>
          <w:snapToGrid w:val="0"/>
          <w:color w:val="auto"/>
          <w:kern w:val="0"/>
          <w:sz w:val="24"/>
          <w:highlight w:val="none"/>
        </w:rPr>
        <w:t>附件2：履约银行保函（复印件）</w:t>
      </w:r>
    </w:p>
    <w:p>
      <w:pPr>
        <w:pStyle w:val="85"/>
        <w:jc w:val="center"/>
        <w:rPr>
          <w:rFonts w:ascii="宋体" w:hAnsi="宋体"/>
          <w:b/>
          <w:color w:val="auto"/>
          <w:sz w:val="28"/>
          <w:szCs w:val="28"/>
          <w:highlight w:val="none"/>
        </w:rPr>
      </w:pPr>
      <w:r>
        <w:rPr>
          <w:rFonts w:hint="eastAsia" w:ascii="宋体" w:hAnsi="宋体"/>
          <w:b/>
          <w:color w:val="auto"/>
          <w:sz w:val="28"/>
          <w:szCs w:val="28"/>
          <w:highlight w:val="none"/>
        </w:rPr>
        <w:t>履约银行保函</w:t>
      </w:r>
    </w:p>
    <w:p>
      <w:pPr>
        <w:pStyle w:val="85"/>
        <w:snapToGrid w:val="0"/>
        <w:spacing w:line="360" w:lineRule="auto"/>
        <w:ind w:left="493" w:leftChars="235" w:right="560" w:firstLine="5400" w:firstLineChars="2250"/>
        <w:rPr>
          <w:rFonts w:ascii="宋体" w:hAnsi="宋体"/>
          <w:color w:val="auto"/>
          <w:sz w:val="24"/>
          <w:highlight w:val="none"/>
        </w:rPr>
      </w:pPr>
      <w:r>
        <w:rPr>
          <w:rFonts w:hint="eastAsia" w:ascii="宋体" w:hAnsi="宋体"/>
          <w:color w:val="auto"/>
          <w:sz w:val="24"/>
          <w:highlight w:val="none"/>
        </w:rPr>
        <w:t>银行编号：</w:t>
      </w:r>
    </w:p>
    <w:p>
      <w:pPr>
        <w:pStyle w:val="85"/>
        <w:snapToGrid w:val="0"/>
        <w:spacing w:line="360" w:lineRule="auto"/>
        <w:ind w:left="495" w:hanging="495"/>
        <w:rPr>
          <w:rFonts w:ascii="宋体" w:hAnsi="宋体"/>
          <w:color w:val="auto"/>
          <w:sz w:val="24"/>
          <w:highlight w:val="none"/>
          <w:u w:val="single"/>
        </w:rPr>
      </w:pPr>
      <w:r>
        <w:rPr>
          <w:rFonts w:hint="eastAsia" w:ascii="宋体" w:hAnsi="宋体"/>
          <w:color w:val="auto"/>
          <w:sz w:val="24"/>
          <w:highlight w:val="none"/>
        </w:rPr>
        <w:t>致：（发包人）</w:t>
      </w:r>
    </w:p>
    <w:p>
      <w:pPr>
        <w:pStyle w:val="85"/>
        <w:snapToGrid w:val="0"/>
        <w:spacing w:line="360" w:lineRule="auto"/>
        <w:ind w:left="491" w:leftChars="234"/>
        <w:rPr>
          <w:rFonts w:ascii="宋体" w:hAnsi="宋体"/>
          <w:color w:val="auto"/>
          <w:sz w:val="24"/>
          <w:highlight w:val="none"/>
          <w:u w:val="single"/>
        </w:rPr>
      </w:pPr>
      <w:r>
        <w:rPr>
          <w:rFonts w:ascii="宋体" w:hAnsi="宋体"/>
          <w:color w:val="auto"/>
          <w:sz w:val="24"/>
          <w:highlight w:val="none"/>
          <w:u w:val="single"/>
        </w:rPr>
        <w:t xml:space="preserve">(地  址)                             </w:t>
      </w:r>
    </w:p>
    <w:p>
      <w:pPr>
        <w:pStyle w:val="85"/>
        <w:snapToGrid w:val="0"/>
        <w:spacing w:line="360" w:lineRule="auto"/>
        <w:ind w:left="495" w:hanging="495"/>
        <w:jc w:val="center"/>
        <w:rPr>
          <w:rFonts w:ascii="宋体" w:hAnsi="宋体"/>
          <w:color w:val="auto"/>
          <w:sz w:val="24"/>
          <w:highlight w:val="none"/>
        </w:rPr>
      </w:pPr>
    </w:p>
    <w:p>
      <w:pPr>
        <w:pStyle w:val="85"/>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鉴于</w:t>
      </w:r>
      <w:r>
        <w:rPr>
          <w:rFonts w:ascii="宋体" w:hAnsi="宋体"/>
          <w:color w:val="auto"/>
          <w:sz w:val="24"/>
          <w:highlight w:val="none"/>
        </w:rPr>
        <w:t>[承包人的名称和地址]（下称承包人）已保证按中标通知书（</w:t>
      </w:r>
      <w:r>
        <w:rPr>
          <w:rFonts w:hint="eastAsia" w:ascii="宋体" w:hAnsi="宋体"/>
          <w:color w:val="auto"/>
          <w:sz w:val="24"/>
          <w:highlight w:val="none"/>
        </w:rPr>
        <w:t>年月日签署）实施</w:t>
      </w:r>
      <w:r>
        <w:rPr>
          <w:rFonts w:ascii="宋体" w:hAnsi="宋体"/>
          <w:color w:val="auto"/>
          <w:sz w:val="24"/>
          <w:highlight w:val="none"/>
          <w:u w:val="single"/>
        </w:rPr>
        <w:t xml:space="preserve">              （工程名称）           </w:t>
      </w:r>
      <w:r>
        <w:rPr>
          <w:rFonts w:hint="eastAsia" w:ascii="宋体" w:hAnsi="宋体"/>
          <w:color w:val="auto"/>
          <w:sz w:val="24"/>
          <w:highlight w:val="none"/>
        </w:rPr>
        <w:t>，又鉴于你方在招标文件中要求承包人按规定金额提交一份已经认可的银行保函作履约担保，本行已同意为承包人出具保函。</w:t>
      </w:r>
    </w:p>
    <w:p>
      <w:pPr>
        <w:pStyle w:val="85"/>
        <w:snapToGrid w:val="0"/>
        <w:spacing w:line="360" w:lineRule="auto"/>
        <w:ind w:firstLine="480"/>
        <w:rPr>
          <w:rFonts w:ascii="宋体" w:hAnsi="宋体"/>
          <w:color w:val="auto"/>
          <w:sz w:val="24"/>
          <w:highlight w:val="none"/>
        </w:rPr>
      </w:pPr>
      <w:r>
        <w:rPr>
          <w:rFonts w:hint="eastAsia" w:ascii="宋体" w:hAnsi="宋体"/>
          <w:color w:val="auto"/>
          <w:sz w:val="24"/>
          <w:highlight w:val="none"/>
        </w:rPr>
        <w:t>本行作为保证人在此代表承包人向你方确认承担支付人民币（大写）</w:t>
      </w:r>
    </w:p>
    <w:p>
      <w:pPr>
        <w:pStyle w:val="85"/>
        <w:snapToGrid w:val="0"/>
        <w:spacing w:line="360" w:lineRule="auto"/>
        <w:rPr>
          <w:rFonts w:ascii="宋体" w:hAnsi="宋体"/>
          <w:color w:val="auto"/>
          <w:sz w:val="24"/>
          <w:highlight w:val="none"/>
        </w:rPr>
      </w:pPr>
      <w:r>
        <w:rPr>
          <w:rFonts w:hint="eastAsia" w:ascii="宋体" w:hAnsi="宋体"/>
          <w:color w:val="auto"/>
          <w:sz w:val="24"/>
          <w:highlight w:val="none"/>
        </w:rPr>
        <w:t>的责任，在收到你方第一次书面付款要求后，不挑剔、不争辩、并不要求你方出具证明或说明理由，即在上述担保金范围内向你方支付。</w:t>
      </w:r>
    </w:p>
    <w:p>
      <w:pPr>
        <w:pStyle w:val="85"/>
        <w:snapToGrid w:val="0"/>
        <w:spacing w:line="360" w:lineRule="auto"/>
        <w:ind w:firstLine="480"/>
        <w:rPr>
          <w:rFonts w:ascii="宋体" w:hAnsi="宋体"/>
          <w:color w:val="auto"/>
          <w:sz w:val="24"/>
          <w:highlight w:val="none"/>
        </w:rPr>
      </w:pPr>
      <w:r>
        <w:rPr>
          <w:rFonts w:hint="eastAsia" w:ascii="宋体" w:hAnsi="宋体"/>
          <w:color w:val="auto"/>
          <w:sz w:val="24"/>
          <w:highlight w:val="none"/>
        </w:rPr>
        <w:t>本行放弃你方应先向承包人要求索赔上述金额然后再向本行提出要求的权利。</w:t>
      </w:r>
    </w:p>
    <w:p>
      <w:pPr>
        <w:pStyle w:val="85"/>
        <w:snapToGrid w:val="0"/>
        <w:spacing w:line="360" w:lineRule="auto"/>
        <w:rPr>
          <w:rFonts w:ascii="宋体" w:hAnsi="宋体"/>
          <w:color w:val="auto"/>
          <w:sz w:val="24"/>
          <w:highlight w:val="none"/>
        </w:rPr>
      </w:pPr>
      <w:r>
        <w:rPr>
          <w:rFonts w:ascii="宋体" w:hAnsi="宋体"/>
          <w:color w:val="auto"/>
          <w:sz w:val="24"/>
          <w:highlight w:val="none"/>
        </w:rPr>
        <w:t xml:space="preserve">    本行还同意，在你方和承包人之间的合同条件发生补充或修改后，本行所承担保函的责任不变，有关补充或修改亦无须通知本行。</w:t>
      </w:r>
    </w:p>
    <w:p>
      <w:pPr>
        <w:snapToGrid w:val="0"/>
        <w:spacing w:line="360" w:lineRule="auto"/>
        <w:ind w:left="210" w:leftChars="100" w:firstLine="480"/>
        <w:rPr>
          <w:rFonts w:ascii="宋体" w:hAnsi="宋体"/>
          <w:color w:val="auto"/>
          <w:sz w:val="24"/>
          <w:highlight w:val="none"/>
        </w:rPr>
      </w:pPr>
      <w:r>
        <w:rPr>
          <w:rFonts w:hint="eastAsia" w:ascii="宋体" w:hAnsi="宋体"/>
          <w:color w:val="auto"/>
          <w:sz w:val="24"/>
          <w:highlight w:val="none"/>
        </w:rPr>
        <w:t>本保函从合同生效之日起生效，直至你方通知撤销前一直有效，但有效期最迟不超过</w:t>
      </w:r>
      <w:r>
        <w:rPr>
          <w:rFonts w:hint="eastAsia" w:ascii="宋体" w:hAnsi="宋体"/>
          <w:color w:val="auto"/>
          <w:sz w:val="24"/>
          <w:highlight w:val="none"/>
          <w:u w:val="single"/>
        </w:rPr>
        <w:t xml:space="preserve">    年  月  日</w:t>
      </w:r>
      <w:r>
        <w:rPr>
          <w:rFonts w:hint="eastAsia" w:ascii="宋体" w:hAnsi="宋体"/>
          <w:color w:val="auto"/>
          <w:sz w:val="24"/>
          <w:highlight w:val="none"/>
        </w:rPr>
        <w:t>。</w:t>
      </w:r>
    </w:p>
    <w:p>
      <w:pPr>
        <w:pStyle w:val="85"/>
        <w:snapToGrid w:val="0"/>
        <w:spacing w:line="360" w:lineRule="auto"/>
        <w:ind w:left="493" w:hanging="493"/>
        <w:rPr>
          <w:rFonts w:ascii="宋体" w:hAnsi="宋体"/>
          <w:color w:val="auto"/>
          <w:sz w:val="24"/>
          <w:highlight w:val="none"/>
        </w:rPr>
      </w:pPr>
    </w:p>
    <w:p>
      <w:pPr>
        <w:pStyle w:val="85"/>
        <w:snapToGrid w:val="0"/>
        <w:spacing w:line="360" w:lineRule="auto"/>
        <w:ind w:left="493" w:hanging="493"/>
        <w:rPr>
          <w:rFonts w:ascii="宋体" w:hAnsi="宋体"/>
          <w:color w:val="auto"/>
          <w:sz w:val="24"/>
          <w:highlight w:val="none"/>
        </w:rPr>
      </w:pPr>
    </w:p>
    <w:p>
      <w:pPr>
        <w:pStyle w:val="85"/>
        <w:snapToGrid w:val="0"/>
        <w:spacing w:line="360" w:lineRule="auto"/>
        <w:ind w:left="493" w:hanging="493"/>
        <w:rPr>
          <w:rFonts w:ascii="宋体" w:hAnsi="宋体"/>
          <w:color w:val="auto"/>
          <w:sz w:val="24"/>
          <w:highlight w:val="none"/>
        </w:rPr>
      </w:pPr>
      <w:r>
        <w:rPr>
          <w:rFonts w:hint="eastAsia" w:ascii="宋体" w:hAnsi="宋体"/>
          <w:color w:val="auto"/>
          <w:sz w:val="24"/>
          <w:highlight w:val="none"/>
        </w:rPr>
        <w:t>担保银行名称（公章）：</w:t>
      </w:r>
    </w:p>
    <w:p>
      <w:pPr>
        <w:pStyle w:val="85"/>
        <w:snapToGrid w:val="0"/>
        <w:spacing w:line="360" w:lineRule="auto"/>
        <w:ind w:left="493" w:hanging="493"/>
        <w:rPr>
          <w:rFonts w:ascii="宋体" w:hAnsi="宋体"/>
          <w:color w:val="auto"/>
          <w:sz w:val="24"/>
          <w:highlight w:val="none"/>
        </w:rPr>
      </w:pPr>
      <w:r>
        <w:rPr>
          <w:rFonts w:hint="eastAsia" w:ascii="宋体" w:hAnsi="宋体"/>
          <w:color w:val="auto"/>
          <w:sz w:val="24"/>
          <w:highlight w:val="none"/>
        </w:rPr>
        <w:t>法定代表人或其授权人（签章）：</w:t>
      </w:r>
    </w:p>
    <w:p>
      <w:pPr>
        <w:pStyle w:val="85"/>
        <w:snapToGrid w:val="0"/>
        <w:spacing w:line="360" w:lineRule="auto"/>
        <w:ind w:left="493" w:hanging="493"/>
        <w:rPr>
          <w:rFonts w:ascii="宋体" w:hAnsi="宋体"/>
          <w:color w:val="auto"/>
          <w:sz w:val="24"/>
          <w:highlight w:val="none"/>
        </w:rPr>
      </w:pPr>
      <w:r>
        <w:rPr>
          <w:rFonts w:hint="eastAsia" w:ascii="宋体" w:hAnsi="宋体"/>
          <w:color w:val="auto"/>
          <w:sz w:val="24"/>
          <w:highlight w:val="none"/>
        </w:rPr>
        <w:t>联系人：</w:t>
      </w:r>
    </w:p>
    <w:p>
      <w:pPr>
        <w:pStyle w:val="85"/>
        <w:snapToGrid w:val="0"/>
        <w:spacing w:line="360" w:lineRule="auto"/>
        <w:ind w:left="493" w:hanging="493"/>
        <w:rPr>
          <w:rFonts w:ascii="宋体" w:hAnsi="宋体"/>
          <w:color w:val="auto"/>
          <w:sz w:val="24"/>
          <w:highlight w:val="none"/>
        </w:rPr>
      </w:pPr>
      <w:r>
        <w:rPr>
          <w:rFonts w:hint="eastAsia" w:ascii="宋体" w:hAnsi="宋体"/>
          <w:color w:val="auto"/>
          <w:sz w:val="24"/>
          <w:highlight w:val="none"/>
        </w:rPr>
        <w:t>联系电话：</w:t>
      </w:r>
    </w:p>
    <w:p>
      <w:pPr>
        <w:pStyle w:val="85"/>
        <w:snapToGrid w:val="0"/>
        <w:spacing w:line="360" w:lineRule="auto"/>
        <w:ind w:left="493" w:hanging="493"/>
        <w:rPr>
          <w:rFonts w:ascii="宋体" w:hAnsi="宋体"/>
          <w:color w:val="auto"/>
          <w:sz w:val="24"/>
          <w:highlight w:val="none"/>
        </w:rPr>
      </w:pPr>
      <w:r>
        <w:rPr>
          <w:rFonts w:hint="eastAsia" w:ascii="宋体" w:hAnsi="宋体"/>
          <w:color w:val="auto"/>
          <w:sz w:val="24"/>
          <w:highlight w:val="none"/>
        </w:rPr>
        <w:t>地址：</w:t>
      </w:r>
    </w:p>
    <w:p>
      <w:pPr>
        <w:pStyle w:val="85"/>
        <w:snapToGrid w:val="0"/>
        <w:spacing w:line="360" w:lineRule="auto"/>
        <w:ind w:left="493" w:hanging="493"/>
        <w:rPr>
          <w:rFonts w:ascii="宋体" w:hAnsi="宋体"/>
          <w:color w:val="auto"/>
          <w:sz w:val="24"/>
          <w:highlight w:val="none"/>
        </w:rPr>
      </w:pPr>
      <w:r>
        <w:rPr>
          <w:rFonts w:hint="eastAsia" w:ascii="宋体" w:hAnsi="宋体"/>
          <w:color w:val="auto"/>
          <w:sz w:val="24"/>
          <w:highlight w:val="none"/>
        </w:rPr>
        <w:t>日期：</w:t>
      </w:r>
    </w:p>
    <w:p>
      <w:pPr>
        <w:adjustRightInd w:val="0"/>
        <w:snapToGrid w:val="0"/>
        <w:spacing w:line="288" w:lineRule="auto"/>
        <w:rPr>
          <w:rFonts w:ascii="宋体" w:hAnsi="宋体"/>
          <w:bCs/>
          <w:snapToGrid w:val="0"/>
          <w:color w:val="auto"/>
          <w:kern w:val="0"/>
          <w:sz w:val="24"/>
          <w:highlight w:val="none"/>
        </w:rPr>
      </w:pPr>
    </w:p>
    <w:p>
      <w:pPr>
        <w:adjustRightInd w:val="0"/>
        <w:snapToGrid w:val="0"/>
        <w:spacing w:line="360" w:lineRule="auto"/>
        <w:rPr>
          <w:rFonts w:hint="eastAsia"/>
          <w:b/>
          <w:snapToGrid w:val="0"/>
          <w:color w:val="auto"/>
          <w:kern w:val="0"/>
          <w:sz w:val="44"/>
          <w:szCs w:val="36"/>
          <w:highlight w:val="none"/>
        </w:rPr>
      </w:pPr>
    </w:p>
    <w:p>
      <w:pPr>
        <w:adjustRightInd w:val="0"/>
        <w:snapToGrid w:val="0"/>
        <w:spacing w:line="360" w:lineRule="auto"/>
        <w:rPr>
          <w:rFonts w:ascii="宋体" w:hAnsi="宋体"/>
          <w:bCs/>
          <w:snapToGrid w:val="0"/>
          <w:color w:val="auto"/>
          <w:kern w:val="0"/>
          <w:sz w:val="24"/>
          <w:highlight w:val="none"/>
        </w:rPr>
      </w:pPr>
      <w:r>
        <w:rPr>
          <w:rFonts w:hint="eastAsia" w:ascii="宋体" w:hAnsi="宋体"/>
          <w:bCs/>
          <w:snapToGrid w:val="0"/>
          <w:color w:val="auto"/>
          <w:kern w:val="0"/>
          <w:sz w:val="24"/>
          <w:highlight w:val="none"/>
        </w:rPr>
        <w:t>附件3：勘察设计费报价表</w:t>
      </w:r>
    </w:p>
    <w:p>
      <w:pPr>
        <w:rPr>
          <w:rFonts w:ascii="宋体" w:hAnsi="宋体"/>
          <w:bCs/>
          <w:snapToGrid w:val="0"/>
          <w:color w:val="auto"/>
          <w:kern w:val="0"/>
          <w:sz w:val="24"/>
          <w:highlight w:val="none"/>
        </w:rPr>
      </w:pPr>
      <w:r>
        <w:rPr>
          <w:color w:val="auto"/>
          <w:highlight w:val="none"/>
          <w:u w:val="single"/>
        </w:rPr>
        <w:br w:type="page"/>
      </w:r>
      <w:r>
        <w:rPr>
          <w:rFonts w:hint="eastAsia" w:ascii="宋体" w:hAnsi="宋体"/>
          <w:bCs/>
          <w:snapToGrid w:val="0"/>
          <w:color w:val="auto"/>
          <w:kern w:val="0"/>
          <w:sz w:val="24"/>
          <w:highlight w:val="none"/>
        </w:rPr>
        <w:t>附件4：主要勘察设计人员</w:t>
      </w:r>
    </w:p>
    <w:p>
      <w:pPr>
        <w:adjustRightInd w:val="0"/>
        <w:snapToGrid w:val="0"/>
        <w:spacing w:line="360" w:lineRule="auto"/>
        <w:ind w:firstLine="976" w:firstLineChars="407"/>
        <w:rPr>
          <w:rFonts w:ascii="宋体" w:hAnsi="宋体"/>
          <w:bCs/>
          <w:snapToGrid w:val="0"/>
          <w:color w:val="auto"/>
          <w:kern w:val="0"/>
          <w:sz w:val="24"/>
          <w:highlight w:val="none"/>
        </w:rPr>
      </w:pPr>
      <w:r>
        <w:rPr>
          <w:rFonts w:hint="eastAsia" w:ascii="宋体" w:hAnsi="宋体"/>
          <w:bCs/>
          <w:snapToGrid w:val="0"/>
          <w:color w:val="auto"/>
          <w:kern w:val="0"/>
          <w:sz w:val="24"/>
          <w:highlight w:val="none"/>
        </w:rPr>
        <w:t>表一.乙方投入人员承诺表</w:t>
      </w:r>
    </w:p>
    <w:p>
      <w:pPr>
        <w:adjustRightInd w:val="0"/>
        <w:snapToGrid w:val="0"/>
        <w:spacing w:line="360" w:lineRule="auto"/>
        <w:ind w:firstLine="976" w:firstLineChars="407"/>
        <w:rPr>
          <w:rFonts w:ascii="宋体" w:hAnsi="宋体"/>
          <w:bCs/>
          <w:snapToGrid w:val="0"/>
          <w:color w:val="auto"/>
          <w:kern w:val="0"/>
          <w:sz w:val="24"/>
          <w:highlight w:val="none"/>
        </w:rPr>
      </w:pPr>
      <w:r>
        <w:rPr>
          <w:rFonts w:hint="eastAsia" w:ascii="宋体" w:hAnsi="宋体"/>
          <w:bCs/>
          <w:snapToGrid w:val="0"/>
          <w:color w:val="auto"/>
          <w:kern w:val="0"/>
          <w:sz w:val="24"/>
          <w:highlight w:val="none"/>
        </w:rPr>
        <w:t>表二.现场指导和配合投入人员承诺表</w:t>
      </w:r>
    </w:p>
    <w:p>
      <w:pPr>
        <w:adjustRightInd w:val="0"/>
        <w:snapToGrid w:val="0"/>
        <w:spacing w:line="360" w:lineRule="auto"/>
        <w:ind w:firstLine="976" w:firstLineChars="407"/>
        <w:rPr>
          <w:rFonts w:ascii="宋体" w:hAnsi="宋体"/>
          <w:bCs/>
          <w:snapToGrid w:val="0"/>
          <w:color w:val="auto"/>
          <w:kern w:val="0"/>
          <w:sz w:val="24"/>
          <w:highlight w:val="none"/>
        </w:rPr>
      </w:pPr>
      <w:r>
        <w:rPr>
          <w:rFonts w:hint="eastAsia" w:ascii="宋体" w:hAnsi="宋体"/>
          <w:bCs/>
          <w:snapToGrid w:val="0"/>
          <w:color w:val="auto"/>
          <w:kern w:val="0"/>
          <w:sz w:val="24"/>
          <w:highlight w:val="none"/>
        </w:rPr>
        <w:t>表三.驻场服务投入人员承诺表</w:t>
      </w:r>
    </w:p>
    <w:p>
      <w:pPr>
        <w:adjustRightInd w:val="0"/>
        <w:snapToGrid w:val="0"/>
        <w:spacing w:line="460" w:lineRule="exact"/>
        <w:jc w:val="center"/>
        <w:rPr>
          <w:rFonts w:ascii="宋体" w:hAnsi="宋体"/>
          <w:b/>
          <w:color w:val="auto"/>
          <w:szCs w:val="21"/>
          <w:highlight w:val="none"/>
        </w:rPr>
      </w:pPr>
      <w:r>
        <w:rPr>
          <w:rFonts w:hint="eastAsia" w:ascii="宋体" w:hAnsi="宋体"/>
          <w:b/>
          <w:color w:val="auto"/>
          <w:szCs w:val="21"/>
          <w:highlight w:val="none"/>
        </w:rPr>
        <w:t>表一：乙方投入人员承诺表</w:t>
      </w:r>
    </w:p>
    <w:p>
      <w:pPr>
        <w:spacing w:line="480" w:lineRule="exact"/>
        <w:ind w:firstLine="560"/>
        <w:jc w:val="center"/>
        <w:rPr>
          <w:rFonts w:hint="eastAsia"/>
          <w:bCs/>
          <w:color w:val="auto"/>
          <w:sz w:val="24"/>
          <w:highlight w:val="none"/>
        </w:rPr>
      </w:pPr>
      <w:r>
        <w:rPr>
          <w:rFonts w:hint="eastAsia"/>
          <w:b/>
          <w:color w:val="auto"/>
          <w:szCs w:val="21"/>
          <w:highlight w:val="none"/>
        </w:rPr>
        <w:t>主要设计</w:t>
      </w:r>
      <w:r>
        <w:rPr>
          <w:b/>
          <w:color w:val="auto"/>
          <w:szCs w:val="21"/>
          <w:highlight w:val="none"/>
        </w:rPr>
        <w:t>人员表</w:t>
      </w:r>
    </w:p>
    <w:tbl>
      <w:tblPr>
        <w:tblStyle w:val="57"/>
        <w:tblW w:w="9072" w:type="dxa"/>
        <w:tblInd w:w="108" w:type="dxa"/>
        <w:tblLayout w:type="fixed"/>
        <w:tblCellMar>
          <w:top w:w="0" w:type="dxa"/>
          <w:left w:w="108" w:type="dxa"/>
          <w:bottom w:w="0" w:type="dxa"/>
          <w:right w:w="108" w:type="dxa"/>
        </w:tblCellMar>
      </w:tblPr>
      <w:tblGrid>
        <w:gridCol w:w="1428"/>
        <w:gridCol w:w="1374"/>
        <w:gridCol w:w="1593"/>
        <w:gridCol w:w="2268"/>
        <w:gridCol w:w="2409"/>
      </w:tblGrid>
      <w:tr>
        <w:tblPrEx>
          <w:tblCellMar>
            <w:top w:w="0" w:type="dxa"/>
            <w:left w:w="108" w:type="dxa"/>
            <w:bottom w:w="0" w:type="dxa"/>
            <w:right w:w="108" w:type="dxa"/>
          </w:tblCellMar>
        </w:tblPrEx>
        <w:trPr>
          <w:trHeight w:val="512" w:hRule="atLeast"/>
        </w:trPr>
        <w:tc>
          <w:tcPr>
            <w:tcW w:w="1428" w:type="dxa"/>
            <w:tcBorders>
              <w:top w:val="double" w:color="auto" w:sz="6"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0"/>
                <w:highlight w:val="none"/>
              </w:rPr>
            </w:pPr>
            <w:r>
              <w:rPr>
                <w:rFonts w:hint="eastAsia" w:ascii="宋体" w:hAnsi="宋体" w:cs="宋体"/>
                <w:b/>
                <w:color w:val="auto"/>
                <w:kern w:val="0"/>
                <w:sz w:val="20"/>
                <w:highlight w:val="none"/>
              </w:rPr>
              <w:t>专业名称</w:t>
            </w:r>
          </w:p>
        </w:tc>
        <w:tc>
          <w:tcPr>
            <w:tcW w:w="1374" w:type="dxa"/>
            <w:tcBorders>
              <w:top w:val="double" w:color="auto" w:sz="6"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0"/>
                <w:highlight w:val="none"/>
              </w:rPr>
            </w:pPr>
            <w:r>
              <w:rPr>
                <w:rFonts w:hint="eastAsia" w:ascii="宋体" w:hAnsi="宋体" w:cs="宋体"/>
                <w:b/>
                <w:color w:val="auto"/>
                <w:kern w:val="0"/>
                <w:sz w:val="20"/>
                <w:highlight w:val="none"/>
              </w:rPr>
              <w:t>人员分工</w:t>
            </w:r>
          </w:p>
        </w:tc>
        <w:tc>
          <w:tcPr>
            <w:tcW w:w="1593" w:type="dxa"/>
            <w:tcBorders>
              <w:top w:val="double" w:color="auto" w:sz="6"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0"/>
                <w:highlight w:val="none"/>
              </w:rPr>
            </w:pPr>
            <w:r>
              <w:rPr>
                <w:rFonts w:hint="eastAsia" w:ascii="宋体" w:hAnsi="宋体" w:cs="宋体"/>
                <w:b/>
                <w:color w:val="auto"/>
                <w:kern w:val="0"/>
                <w:sz w:val="20"/>
                <w:highlight w:val="none"/>
              </w:rPr>
              <w:t>人员安排</w:t>
            </w:r>
          </w:p>
        </w:tc>
        <w:tc>
          <w:tcPr>
            <w:tcW w:w="2268" w:type="dxa"/>
            <w:tcBorders>
              <w:top w:val="double" w:color="auto" w:sz="6"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0"/>
                <w:highlight w:val="none"/>
              </w:rPr>
            </w:pPr>
            <w:r>
              <w:rPr>
                <w:rFonts w:hint="eastAsia" w:ascii="宋体" w:hAnsi="宋体" w:cs="宋体"/>
                <w:b/>
                <w:color w:val="auto"/>
                <w:kern w:val="0"/>
                <w:sz w:val="20"/>
                <w:highlight w:val="none"/>
              </w:rPr>
              <w:t>职</w:t>
            </w:r>
            <w:r>
              <w:rPr>
                <w:b/>
                <w:color w:val="auto"/>
                <w:kern w:val="0"/>
                <w:sz w:val="20"/>
                <w:highlight w:val="none"/>
              </w:rPr>
              <w:t xml:space="preserve">    </w:t>
            </w:r>
            <w:r>
              <w:rPr>
                <w:rFonts w:hint="eastAsia" w:ascii="宋体" w:hAnsi="宋体" w:cs="宋体"/>
                <w:b/>
                <w:color w:val="auto"/>
                <w:kern w:val="0"/>
                <w:sz w:val="20"/>
                <w:highlight w:val="none"/>
              </w:rPr>
              <w:t>称</w:t>
            </w:r>
          </w:p>
        </w:tc>
        <w:tc>
          <w:tcPr>
            <w:tcW w:w="2409" w:type="dxa"/>
            <w:tcBorders>
              <w:top w:val="double" w:color="auto" w:sz="6"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b/>
                <w:color w:val="auto"/>
                <w:kern w:val="0"/>
                <w:sz w:val="20"/>
                <w:highlight w:val="none"/>
              </w:rPr>
            </w:pPr>
            <w:r>
              <w:rPr>
                <w:rFonts w:hint="eastAsia" w:ascii="宋体" w:hAnsi="宋体" w:cs="宋体"/>
                <w:b/>
                <w:color w:val="auto"/>
                <w:kern w:val="0"/>
                <w:sz w:val="20"/>
                <w:highlight w:val="none"/>
              </w:rPr>
              <w:t>联系电话</w:t>
            </w:r>
          </w:p>
        </w:tc>
      </w:tr>
      <w:tr>
        <w:tblPrEx>
          <w:tblCellMar>
            <w:top w:w="0" w:type="dxa"/>
            <w:left w:w="108" w:type="dxa"/>
            <w:bottom w:w="0" w:type="dxa"/>
            <w:right w:w="108" w:type="dxa"/>
          </w:tblCellMar>
        </w:tblPrEx>
        <w:trPr>
          <w:trHeight w:val="181" w:hRule="atLeast"/>
        </w:trPr>
        <w:tc>
          <w:tcPr>
            <w:tcW w:w="2802" w:type="dxa"/>
            <w:gridSpan w:val="2"/>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r>
              <w:rPr>
                <w:rFonts w:hint="eastAsia" w:ascii="宋体" w:hAnsi="宋体"/>
                <w:b/>
                <w:color w:val="auto"/>
                <w:highlight w:val="none"/>
                <w:u w:val="single"/>
                <w:lang w:val="en-US" w:eastAsia="zh-CN"/>
              </w:rPr>
              <w:t>总负责人</w:t>
            </w:r>
            <w:r>
              <w:rPr>
                <w:rFonts w:hint="eastAsia" w:ascii="宋体" w:hAnsi="宋体"/>
                <w:b/>
                <w:color w:val="auto"/>
                <w:highlight w:val="none"/>
                <w:u w:val="single"/>
              </w:rPr>
              <w:t>（</w:t>
            </w:r>
            <w:r>
              <w:rPr>
                <w:rFonts w:hint="eastAsia"/>
                <w:color w:val="auto"/>
                <w:szCs w:val="21"/>
                <w:highlight w:val="none"/>
                <w:u w:val="single"/>
                <w:lang w:val="zh-CN"/>
              </w:rPr>
              <w:t>为本单位副总工程师或副院长（或以上）</w:t>
            </w:r>
            <w:r>
              <w:rPr>
                <w:rFonts w:hint="eastAsia" w:ascii="宋体" w:hAnsi="宋体"/>
                <w:b/>
                <w:color w:val="auto"/>
                <w:highlight w:val="none"/>
                <w:u w:val="single"/>
              </w:rPr>
              <w:t>）</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181" w:hRule="atLeast"/>
        </w:trPr>
        <w:tc>
          <w:tcPr>
            <w:tcW w:w="2802" w:type="dxa"/>
            <w:gridSpan w:val="2"/>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w:t>
            </w:r>
            <w:r>
              <w:rPr>
                <w:rFonts w:ascii="宋体" w:hAnsi="宋体"/>
                <w:color w:val="auto"/>
                <w:kern w:val="0"/>
                <w:szCs w:val="21"/>
                <w:highlight w:val="none"/>
              </w:rPr>
              <w:t xml:space="preserve"> </w:t>
            </w:r>
            <w:r>
              <w:rPr>
                <w:rFonts w:hint="eastAsia" w:ascii="宋体" w:hAnsi="宋体" w:cs="宋体"/>
                <w:color w:val="auto"/>
                <w:kern w:val="0"/>
                <w:szCs w:val="21"/>
                <w:highlight w:val="none"/>
              </w:rPr>
              <w:t>目 负</w:t>
            </w:r>
            <w:r>
              <w:rPr>
                <w:rFonts w:ascii="宋体" w:hAnsi="宋体"/>
                <w:color w:val="auto"/>
                <w:kern w:val="0"/>
                <w:szCs w:val="21"/>
                <w:highlight w:val="none"/>
              </w:rPr>
              <w:t xml:space="preserve"> </w:t>
            </w:r>
            <w:r>
              <w:rPr>
                <w:rFonts w:hint="eastAsia" w:ascii="宋体" w:hAnsi="宋体" w:cs="宋体"/>
                <w:color w:val="auto"/>
                <w:kern w:val="0"/>
                <w:szCs w:val="21"/>
                <w:highlight w:val="none"/>
              </w:rPr>
              <w:t>责</w:t>
            </w:r>
            <w:r>
              <w:rPr>
                <w:rFonts w:ascii="宋体" w:hAnsi="宋体"/>
                <w:color w:val="auto"/>
                <w:kern w:val="0"/>
                <w:szCs w:val="21"/>
                <w:highlight w:val="none"/>
              </w:rPr>
              <w:t xml:space="preserve"> </w:t>
            </w:r>
            <w:r>
              <w:rPr>
                <w:rFonts w:hint="eastAsia" w:ascii="宋体" w:hAnsi="宋体" w:cs="宋体"/>
                <w:color w:val="auto"/>
                <w:kern w:val="0"/>
                <w:szCs w:val="21"/>
                <w:highlight w:val="none"/>
              </w:rPr>
              <w:t>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restart"/>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道路工程</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专业负责人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continue"/>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设计人员</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restart"/>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结构</w:t>
            </w:r>
            <w:r>
              <w:rPr>
                <w:rFonts w:hint="eastAsia" w:ascii="宋体" w:hAnsi="宋体" w:cs="宋体"/>
                <w:color w:val="auto"/>
                <w:kern w:val="0"/>
                <w:szCs w:val="21"/>
                <w:highlight w:val="none"/>
              </w:rPr>
              <w:t>工程</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专业负责人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continue"/>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设计人员</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restart"/>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给排水</w:t>
            </w:r>
            <w:r>
              <w:rPr>
                <w:rFonts w:hint="eastAsia" w:ascii="宋体" w:hAnsi="宋体" w:cs="宋体"/>
                <w:color w:val="auto"/>
                <w:kern w:val="0"/>
                <w:szCs w:val="21"/>
                <w:highlight w:val="none"/>
              </w:rPr>
              <w:t>工程</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专业负责人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continue"/>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设计人员</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restart"/>
            <w:tcBorders>
              <w:top w:val="single" w:color="auto" w:sz="4" w:space="0"/>
              <w:left w:val="double" w:color="auto" w:sz="6"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绿化</w:t>
            </w:r>
            <w:r>
              <w:rPr>
                <w:rFonts w:hint="eastAsia" w:ascii="宋体" w:hAnsi="宋体" w:cs="宋体"/>
                <w:color w:val="auto"/>
                <w:kern w:val="0"/>
                <w:szCs w:val="21"/>
                <w:highlight w:val="none"/>
              </w:rPr>
              <w:t>工程</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专业负责人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continue"/>
            <w:tcBorders>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设计人员</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restart"/>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工程造价</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专业负责人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continue"/>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设计人员</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restart"/>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工程勘察</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专业负责人</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227" w:hRule="atLeast"/>
        </w:trPr>
        <w:tc>
          <w:tcPr>
            <w:tcW w:w="1428" w:type="dxa"/>
            <w:vMerge w:val="continue"/>
            <w:tcBorders>
              <w:top w:val="single" w:color="auto" w:sz="4" w:space="0"/>
              <w:left w:val="double" w:color="auto" w:sz="6"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设计人员</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cs="宋体"/>
                <w:color w:val="auto"/>
                <w:kern w:val="0"/>
                <w:szCs w:val="21"/>
                <w:highlight w:val="none"/>
              </w:rPr>
            </w:pPr>
          </w:p>
        </w:tc>
        <w:tc>
          <w:tcPr>
            <w:tcW w:w="2409" w:type="dxa"/>
            <w:tcBorders>
              <w:top w:val="single" w:color="auto" w:sz="4" w:space="0"/>
              <w:left w:val="single" w:color="auto" w:sz="4" w:space="0"/>
              <w:bottom w:val="single" w:color="auto" w:sz="4" w:space="0"/>
              <w:right w:val="double" w:color="auto" w:sz="6" w:space="0"/>
            </w:tcBorders>
            <w:vAlign w:val="center"/>
          </w:tcPr>
          <w:p>
            <w:pPr>
              <w:widowControl/>
              <w:spacing w:line="240" w:lineRule="atLeast"/>
              <w:jc w:val="center"/>
              <w:rPr>
                <w:rFonts w:hint="eastAsia" w:ascii="宋体" w:hAnsi="宋体" w:cs="宋体"/>
                <w:color w:val="auto"/>
                <w:kern w:val="0"/>
                <w:szCs w:val="21"/>
                <w:highlight w:val="none"/>
              </w:rPr>
            </w:pPr>
          </w:p>
        </w:tc>
      </w:tr>
    </w:tbl>
    <w:p>
      <w:pPr>
        <w:adjustRightInd w:val="0"/>
        <w:snapToGrid w:val="0"/>
        <w:spacing w:line="460" w:lineRule="exact"/>
        <w:rPr>
          <w:rFonts w:ascii="宋体" w:hAnsi="宋体"/>
          <w:b/>
          <w:color w:val="auto"/>
          <w:szCs w:val="21"/>
          <w:highlight w:val="none"/>
        </w:rPr>
      </w:pPr>
    </w:p>
    <w:p>
      <w:pPr>
        <w:adjustRightInd w:val="0"/>
        <w:snapToGrid w:val="0"/>
        <w:spacing w:line="460" w:lineRule="exact"/>
        <w:jc w:val="center"/>
        <w:rPr>
          <w:rFonts w:ascii="宋体" w:hAnsi="宋体"/>
          <w:b/>
          <w:color w:val="auto"/>
          <w:szCs w:val="21"/>
          <w:highlight w:val="none"/>
        </w:rPr>
      </w:pPr>
      <w:r>
        <w:rPr>
          <w:rFonts w:hint="eastAsia" w:ascii="宋体" w:hAnsi="宋体"/>
          <w:b/>
          <w:color w:val="auto"/>
          <w:szCs w:val="21"/>
          <w:highlight w:val="none"/>
        </w:rPr>
        <w:t>表二：现场指导和配合投入人员承诺表</w:t>
      </w:r>
    </w:p>
    <w:tbl>
      <w:tblPr>
        <w:tblStyle w:val="57"/>
        <w:tblW w:w="76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1984"/>
        <w:gridCol w:w="170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姓 名</w:t>
            </w:r>
          </w:p>
        </w:tc>
        <w:tc>
          <w:tcPr>
            <w:tcW w:w="1984"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负责专业</w:t>
            </w:r>
          </w:p>
        </w:tc>
        <w:tc>
          <w:tcPr>
            <w:tcW w:w="1701"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职  称</w:t>
            </w:r>
          </w:p>
        </w:tc>
        <w:tc>
          <w:tcPr>
            <w:tcW w:w="1843"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top"/>
          </w:tcPr>
          <w:p>
            <w:pPr>
              <w:adjustRightInd w:val="0"/>
              <w:snapToGrid w:val="0"/>
              <w:spacing w:line="460" w:lineRule="exact"/>
              <w:jc w:val="center"/>
              <w:rPr>
                <w:rFonts w:ascii="宋体" w:hAnsi="宋体"/>
                <w:color w:val="auto"/>
                <w:szCs w:val="21"/>
                <w:highlight w:val="none"/>
              </w:rPr>
            </w:pPr>
          </w:p>
        </w:tc>
        <w:tc>
          <w:tcPr>
            <w:tcW w:w="1984" w:type="dxa"/>
            <w:vAlign w:val="top"/>
          </w:tcPr>
          <w:p>
            <w:pPr>
              <w:adjustRightInd w:val="0"/>
              <w:snapToGrid w:val="0"/>
              <w:spacing w:line="460" w:lineRule="exact"/>
              <w:jc w:val="center"/>
              <w:rPr>
                <w:rFonts w:ascii="宋体" w:hAnsi="宋体"/>
                <w:color w:val="auto"/>
                <w:szCs w:val="21"/>
                <w:highlight w:val="none"/>
              </w:rPr>
            </w:pPr>
          </w:p>
        </w:tc>
        <w:tc>
          <w:tcPr>
            <w:tcW w:w="1701" w:type="dxa"/>
            <w:vAlign w:val="center"/>
          </w:tcPr>
          <w:p>
            <w:pPr>
              <w:widowControl/>
              <w:spacing w:line="240" w:lineRule="atLeast"/>
              <w:jc w:val="center"/>
              <w:rPr>
                <w:rFonts w:hint="eastAsia" w:ascii="宋体" w:hAnsi="宋体" w:cs="宋体"/>
                <w:color w:val="auto"/>
                <w:kern w:val="0"/>
                <w:szCs w:val="21"/>
                <w:highlight w:val="none"/>
              </w:rPr>
            </w:pPr>
          </w:p>
        </w:tc>
        <w:tc>
          <w:tcPr>
            <w:tcW w:w="1843" w:type="dxa"/>
            <w:vAlign w:val="center"/>
          </w:tcPr>
          <w:p>
            <w:pPr>
              <w:widowControl/>
              <w:spacing w:line="240" w:lineRule="atLeast"/>
              <w:jc w:val="center"/>
              <w:rPr>
                <w:rFonts w:hint="eastAsia" w:ascii="宋体" w:hAnsi="宋体" w:cs="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top"/>
          </w:tcPr>
          <w:p>
            <w:pPr>
              <w:adjustRightInd w:val="0"/>
              <w:snapToGrid w:val="0"/>
              <w:spacing w:line="460" w:lineRule="exact"/>
              <w:jc w:val="center"/>
              <w:rPr>
                <w:rFonts w:ascii="宋体" w:hAnsi="宋体"/>
                <w:color w:val="auto"/>
                <w:szCs w:val="21"/>
                <w:highlight w:val="none"/>
              </w:rPr>
            </w:pPr>
          </w:p>
        </w:tc>
        <w:tc>
          <w:tcPr>
            <w:tcW w:w="1984" w:type="dxa"/>
            <w:vAlign w:val="top"/>
          </w:tcPr>
          <w:p>
            <w:pPr>
              <w:adjustRightInd w:val="0"/>
              <w:snapToGrid w:val="0"/>
              <w:spacing w:line="300" w:lineRule="exact"/>
              <w:jc w:val="center"/>
              <w:rPr>
                <w:rFonts w:ascii="宋体" w:hAnsi="宋体"/>
                <w:color w:val="auto"/>
                <w:szCs w:val="21"/>
                <w:highlight w:val="none"/>
              </w:rPr>
            </w:pPr>
          </w:p>
        </w:tc>
        <w:tc>
          <w:tcPr>
            <w:tcW w:w="1701" w:type="dxa"/>
            <w:vAlign w:val="center"/>
          </w:tcPr>
          <w:p>
            <w:pPr>
              <w:widowControl/>
              <w:jc w:val="center"/>
              <w:rPr>
                <w:rFonts w:ascii="宋体"/>
                <w:color w:val="auto"/>
                <w:kern w:val="0"/>
                <w:szCs w:val="21"/>
                <w:highlight w:val="none"/>
              </w:rPr>
            </w:pPr>
          </w:p>
        </w:tc>
        <w:tc>
          <w:tcPr>
            <w:tcW w:w="1843" w:type="dxa"/>
            <w:vAlign w:val="center"/>
          </w:tcPr>
          <w:p>
            <w:pPr>
              <w:widowControl/>
              <w:jc w:val="center"/>
              <w:rPr>
                <w:rFonts w:ascii="宋体"/>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center"/>
          </w:tcPr>
          <w:p>
            <w:pPr>
              <w:widowControl/>
              <w:spacing w:line="240" w:lineRule="atLeast"/>
              <w:jc w:val="center"/>
              <w:rPr>
                <w:rFonts w:hint="eastAsia" w:ascii="宋体" w:hAnsi="宋体" w:cs="宋体"/>
                <w:color w:val="auto"/>
                <w:kern w:val="0"/>
                <w:szCs w:val="21"/>
                <w:highlight w:val="none"/>
              </w:rPr>
            </w:pPr>
          </w:p>
        </w:tc>
        <w:tc>
          <w:tcPr>
            <w:tcW w:w="1984" w:type="dxa"/>
            <w:vAlign w:val="center"/>
          </w:tcPr>
          <w:p>
            <w:pPr>
              <w:widowControl/>
              <w:spacing w:line="240" w:lineRule="atLeast"/>
              <w:jc w:val="center"/>
              <w:rPr>
                <w:rFonts w:hint="eastAsia" w:ascii="宋体" w:hAnsi="宋体" w:cs="宋体"/>
                <w:color w:val="auto"/>
                <w:kern w:val="0"/>
                <w:szCs w:val="21"/>
                <w:highlight w:val="none"/>
              </w:rPr>
            </w:pPr>
          </w:p>
        </w:tc>
        <w:tc>
          <w:tcPr>
            <w:tcW w:w="1701" w:type="dxa"/>
            <w:vAlign w:val="center"/>
          </w:tcPr>
          <w:p>
            <w:pPr>
              <w:widowControl/>
              <w:spacing w:line="240" w:lineRule="atLeast"/>
              <w:jc w:val="center"/>
              <w:rPr>
                <w:rFonts w:hint="eastAsia" w:ascii="宋体" w:hAnsi="宋体" w:cs="宋体"/>
                <w:color w:val="auto"/>
                <w:kern w:val="0"/>
                <w:szCs w:val="21"/>
                <w:highlight w:val="none"/>
              </w:rPr>
            </w:pPr>
          </w:p>
        </w:tc>
        <w:tc>
          <w:tcPr>
            <w:tcW w:w="1843" w:type="dxa"/>
            <w:vAlign w:val="top"/>
          </w:tcPr>
          <w:p>
            <w:pPr>
              <w:adjustRightInd w:val="0"/>
              <w:snapToGrid w:val="0"/>
              <w:spacing w:line="460" w:lineRule="exact"/>
              <w:jc w:val="center"/>
              <w:rPr>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center"/>
          </w:tcPr>
          <w:p>
            <w:pPr>
              <w:widowControl/>
              <w:spacing w:line="240" w:lineRule="atLeast"/>
              <w:jc w:val="center"/>
              <w:rPr>
                <w:rFonts w:hint="eastAsia" w:ascii="宋体" w:hAnsi="宋体" w:cs="宋体"/>
                <w:color w:val="auto"/>
                <w:kern w:val="0"/>
                <w:szCs w:val="21"/>
                <w:highlight w:val="none"/>
              </w:rPr>
            </w:pPr>
          </w:p>
        </w:tc>
        <w:tc>
          <w:tcPr>
            <w:tcW w:w="1984" w:type="dxa"/>
            <w:vAlign w:val="center"/>
          </w:tcPr>
          <w:p>
            <w:pPr>
              <w:widowControl/>
              <w:spacing w:line="240" w:lineRule="atLeast"/>
              <w:jc w:val="center"/>
              <w:rPr>
                <w:rFonts w:hint="eastAsia" w:ascii="宋体" w:hAnsi="宋体" w:cs="宋体"/>
                <w:color w:val="auto"/>
                <w:kern w:val="0"/>
                <w:szCs w:val="21"/>
                <w:highlight w:val="none"/>
              </w:rPr>
            </w:pPr>
          </w:p>
        </w:tc>
        <w:tc>
          <w:tcPr>
            <w:tcW w:w="1701" w:type="dxa"/>
            <w:vAlign w:val="center"/>
          </w:tcPr>
          <w:p>
            <w:pPr>
              <w:widowControl/>
              <w:spacing w:line="240" w:lineRule="atLeast"/>
              <w:jc w:val="center"/>
              <w:rPr>
                <w:rFonts w:hint="eastAsia" w:ascii="宋体" w:hAnsi="宋体" w:cs="宋体"/>
                <w:color w:val="auto"/>
                <w:kern w:val="0"/>
                <w:szCs w:val="21"/>
                <w:highlight w:val="none"/>
              </w:rPr>
            </w:pPr>
          </w:p>
        </w:tc>
        <w:tc>
          <w:tcPr>
            <w:tcW w:w="1843" w:type="dxa"/>
            <w:vAlign w:val="top"/>
          </w:tcPr>
          <w:p>
            <w:pPr>
              <w:adjustRightInd w:val="0"/>
              <w:snapToGrid w:val="0"/>
              <w:spacing w:line="460" w:lineRule="exact"/>
              <w:jc w:val="center"/>
              <w:rPr>
                <w:rFonts w:hint="eastAsia" w:ascii="宋体" w:hAnsi="宋体" w:cs="宋体"/>
                <w:color w:val="auto"/>
                <w:kern w:val="0"/>
                <w:szCs w:val="21"/>
                <w:highlight w:val="none"/>
              </w:rPr>
            </w:pPr>
          </w:p>
        </w:tc>
      </w:tr>
    </w:tbl>
    <w:p>
      <w:pPr>
        <w:adjustRightInd w:val="0"/>
        <w:snapToGrid w:val="0"/>
        <w:spacing w:line="460" w:lineRule="exact"/>
        <w:jc w:val="center"/>
        <w:rPr>
          <w:rFonts w:ascii="宋体" w:hAnsi="宋体"/>
          <w:b/>
          <w:color w:val="auto"/>
          <w:szCs w:val="21"/>
          <w:highlight w:val="none"/>
        </w:rPr>
      </w:pPr>
    </w:p>
    <w:p>
      <w:pPr>
        <w:adjustRightInd w:val="0"/>
        <w:snapToGrid w:val="0"/>
        <w:spacing w:line="460" w:lineRule="exact"/>
        <w:jc w:val="center"/>
        <w:rPr>
          <w:rFonts w:ascii="宋体" w:hAnsi="宋体"/>
          <w:b/>
          <w:color w:val="auto"/>
          <w:szCs w:val="21"/>
          <w:highlight w:val="none"/>
        </w:rPr>
      </w:pPr>
      <w:r>
        <w:rPr>
          <w:rFonts w:hint="eastAsia" w:ascii="宋体" w:hAnsi="宋体"/>
          <w:b/>
          <w:color w:val="auto"/>
          <w:szCs w:val="21"/>
          <w:highlight w:val="none"/>
        </w:rPr>
        <w:t>表三：驻场服务投入人员承诺表</w:t>
      </w:r>
    </w:p>
    <w:tbl>
      <w:tblPr>
        <w:tblStyle w:val="57"/>
        <w:tblW w:w="70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2551"/>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35"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姓 名</w:t>
            </w:r>
          </w:p>
        </w:tc>
        <w:tc>
          <w:tcPr>
            <w:tcW w:w="2551"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职  称</w:t>
            </w:r>
          </w:p>
        </w:tc>
        <w:tc>
          <w:tcPr>
            <w:tcW w:w="2268" w:type="dxa"/>
            <w:vAlign w:val="top"/>
          </w:tcPr>
          <w:p>
            <w:pPr>
              <w:adjustRightInd w:val="0"/>
              <w:snapToGrid w:val="0"/>
              <w:spacing w:line="460" w:lineRule="exact"/>
              <w:jc w:val="center"/>
              <w:rPr>
                <w:rFonts w:ascii="宋体" w:hAnsi="宋体"/>
                <w:color w:val="auto"/>
                <w:szCs w:val="21"/>
                <w:highlight w:val="none"/>
              </w:rPr>
            </w:pPr>
            <w:r>
              <w:rPr>
                <w:rFonts w:hint="eastAsia" w:ascii="宋体" w:hAnsi="宋体"/>
                <w:color w:val="auto"/>
                <w:szCs w:val="21"/>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35" w:type="dxa"/>
            <w:vAlign w:val="top"/>
          </w:tcPr>
          <w:p>
            <w:pPr>
              <w:adjustRightInd w:val="0"/>
              <w:snapToGrid w:val="0"/>
              <w:spacing w:line="460" w:lineRule="exact"/>
              <w:jc w:val="center"/>
              <w:rPr>
                <w:rFonts w:ascii="宋体" w:hAnsi="宋体"/>
                <w:color w:val="auto"/>
                <w:szCs w:val="21"/>
                <w:highlight w:val="none"/>
              </w:rPr>
            </w:pPr>
          </w:p>
        </w:tc>
        <w:tc>
          <w:tcPr>
            <w:tcW w:w="2551" w:type="dxa"/>
            <w:vAlign w:val="top"/>
          </w:tcPr>
          <w:p>
            <w:pPr>
              <w:adjustRightInd w:val="0"/>
              <w:snapToGrid w:val="0"/>
              <w:spacing w:line="460" w:lineRule="exact"/>
              <w:jc w:val="center"/>
              <w:rPr>
                <w:rFonts w:ascii="宋体" w:hAnsi="宋体"/>
                <w:color w:val="auto"/>
                <w:szCs w:val="21"/>
                <w:highlight w:val="none"/>
              </w:rPr>
            </w:pPr>
          </w:p>
        </w:tc>
        <w:tc>
          <w:tcPr>
            <w:tcW w:w="2268" w:type="dxa"/>
            <w:vAlign w:val="top"/>
          </w:tcPr>
          <w:p>
            <w:pPr>
              <w:adjustRightInd w:val="0"/>
              <w:snapToGrid w:val="0"/>
              <w:spacing w:line="460" w:lineRule="exact"/>
              <w:jc w:val="center"/>
              <w:rPr>
                <w:rFonts w:ascii="宋体" w:hAnsi="宋体"/>
                <w:color w:val="auto"/>
                <w:szCs w:val="21"/>
                <w:highlight w:val="none"/>
              </w:rPr>
            </w:pPr>
          </w:p>
        </w:tc>
      </w:tr>
    </w:tbl>
    <w:p>
      <w:pPr>
        <w:adjustRightInd w:val="0"/>
        <w:snapToGrid w:val="0"/>
        <w:spacing w:line="360" w:lineRule="auto"/>
        <w:rPr>
          <w:rFonts w:ascii="宋体" w:hAnsi="宋体"/>
          <w:bCs/>
          <w:snapToGrid w:val="0"/>
          <w:color w:val="auto"/>
          <w:kern w:val="0"/>
          <w:sz w:val="24"/>
          <w:highlight w:val="none"/>
        </w:rPr>
      </w:pPr>
    </w:p>
    <w:p>
      <w:pPr>
        <w:adjustRightInd w:val="0"/>
        <w:snapToGrid w:val="0"/>
        <w:spacing w:line="360" w:lineRule="auto"/>
        <w:rPr>
          <w:rFonts w:ascii="宋体" w:hAnsi="宋体"/>
          <w:bCs/>
          <w:snapToGrid w:val="0"/>
          <w:color w:val="auto"/>
          <w:kern w:val="0"/>
          <w:sz w:val="24"/>
          <w:highlight w:val="none"/>
        </w:rPr>
      </w:pPr>
      <w:r>
        <w:rPr>
          <w:rFonts w:hint="eastAsia" w:ascii="宋体" w:hAnsi="宋体"/>
          <w:bCs/>
          <w:snapToGrid w:val="0"/>
          <w:color w:val="auto"/>
          <w:kern w:val="0"/>
          <w:sz w:val="24"/>
          <w:highlight w:val="none"/>
        </w:rPr>
        <w:br w:type="page"/>
      </w:r>
      <w:r>
        <w:rPr>
          <w:rFonts w:hint="eastAsia" w:ascii="宋体" w:hAnsi="宋体"/>
          <w:bCs/>
          <w:snapToGrid w:val="0"/>
          <w:color w:val="auto"/>
          <w:kern w:val="0"/>
          <w:sz w:val="24"/>
          <w:highlight w:val="none"/>
        </w:rPr>
        <w:t>附件5：中标通知书</w:t>
      </w:r>
    </w:p>
    <w:p>
      <w:pPr>
        <w:adjustRightInd w:val="0"/>
        <w:snapToGrid w:val="0"/>
        <w:spacing w:line="324" w:lineRule="auto"/>
        <w:rPr>
          <w:rFonts w:ascii="宋体" w:hAnsi="宋体"/>
          <w:bCs/>
          <w:snapToGrid w:val="0"/>
          <w:color w:val="auto"/>
          <w:kern w:val="0"/>
          <w:sz w:val="24"/>
          <w:highlight w:val="none"/>
        </w:rPr>
      </w:pPr>
    </w:p>
    <w:p>
      <w:pPr>
        <w:adjustRightInd w:val="0"/>
        <w:snapToGrid w:val="0"/>
        <w:spacing w:line="324" w:lineRule="auto"/>
        <w:rPr>
          <w:rFonts w:ascii="宋体" w:hAnsi="宋体"/>
          <w:bCs/>
          <w:snapToGrid w:val="0"/>
          <w:color w:val="auto"/>
          <w:kern w:val="0"/>
          <w:sz w:val="24"/>
          <w:highlight w:val="none"/>
        </w:rPr>
      </w:pPr>
    </w:p>
    <w:p>
      <w:pPr>
        <w:adjustRightInd w:val="0"/>
        <w:snapToGrid w:val="0"/>
        <w:spacing w:line="324" w:lineRule="auto"/>
        <w:rPr>
          <w:rFonts w:hint="eastAsia" w:ascii="宋体" w:hAnsi="宋体"/>
          <w:bCs/>
          <w:snapToGrid w:val="0"/>
          <w:color w:val="auto"/>
          <w:kern w:val="0"/>
          <w:sz w:val="24"/>
          <w:highlight w:val="none"/>
          <w:lang w:val="en-US" w:eastAsia="zh-CN"/>
        </w:rPr>
      </w:pPr>
      <w:r>
        <w:rPr>
          <w:rFonts w:hint="eastAsia" w:ascii="宋体" w:hAnsi="宋体"/>
          <w:bCs/>
          <w:snapToGrid w:val="0"/>
          <w:color w:val="auto"/>
          <w:kern w:val="0"/>
          <w:sz w:val="24"/>
          <w:highlight w:val="none"/>
        </w:rPr>
        <w:br w:type="page"/>
      </w:r>
      <w:r>
        <w:rPr>
          <w:rFonts w:hint="eastAsia" w:ascii="宋体" w:hAnsi="宋体"/>
          <w:bCs/>
          <w:snapToGrid w:val="0"/>
          <w:color w:val="auto"/>
          <w:kern w:val="0"/>
          <w:sz w:val="24"/>
          <w:highlight w:val="none"/>
          <w:lang w:eastAsia="zh-CN"/>
        </w:rPr>
        <w:t>附件</w:t>
      </w:r>
      <w:r>
        <w:rPr>
          <w:rFonts w:hint="eastAsia" w:ascii="宋体" w:hAnsi="宋体"/>
          <w:bCs/>
          <w:snapToGrid w:val="0"/>
          <w:color w:val="auto"/>
          <w:kern w:val="0"/>
          <w:sz w:val="24"/>
          <w:highlight w:val="none"/>
          <w:lang w:val="en-US" w:eastAsia="zh-CN"/>
        </w:rPr>
        <w:t>6：法定代表人授权书</w:t>
      </w:r>
    </w:p>
    <w:p>
      <w:pPr>
        <w:spacing w:before="312" w:beforeLines="100" w:after="312" w:afterLines="100" w:line="360" w:lineRule="auto"/>
        <w:jc w:val="center"/>
        <w:rPr>
          <w:rFonts w:ascii="宋体" w:hAnsi="宋体"/>
          <w:b/>
          <w:color w:val="auto"/>
          <w:sz w:val="44"/>
          <w:szCs w:val="44"/>
          <w:highlight w:val="none"/>
        </w:rPr>
      </w:pPr>
      <w:r>
        <w:rPr>
          <w:rFonts w:hint="eastAsia" w:ascii="宋体" w:hAnsi="宋体"/>
          <w:b/>
          <w:color w:val="auto"/>
          <w:sz w:val="44"/>
          <w:szCs w:val="44"/>
          <w:highlight w:val="none"/>
        </w:rPr>
        <w:t>法定代表人授权书</w:t>
      </w:r>
    </w:p>
    <w:p>
      <w:pPr>
        <w:spacing w:before="468" w:beforeLines="150" w:line="360" w:lineRule="auto"/>
        <w:ind w:firstLine="420" w:firstLineChars="150"/>
        <w:rPr>
          <w:rFonts w:ascii="宋体" w:hAnsi="宋体"/>
          <w:color w:val="auto"/>
          <w:sz w:val="28"/>
          <w:highlight w:val="none"/>
        </w:rPr>
      </w:pPr>
      <w:r>
        <w:rPr>
          <w:rFonts w:hint="eastAsia" w:ascii="宋体" w:hAnsi="宋体"/>
          <w:color w:val="auto"/>
          <w:sz w:val="28"/>
          <w:highlight w:val="none"/>
        </w:rPr>
        <w:t>兹授权我</w:t>
      </w:r>
      <w:r>
        <w:rPr>
          <w:rFonts w:hint="eastAsia" w:ascii="宋体" w:hAnsi="宋体"/>
          <w:color w:val="auto"/>
          <w:sz w:val="28"/>
          <w:szCs w:val="28"/>
          <w:highlight w:val="none"/>
        </w:rPr>
        <w:t>单位</w:t>
      </w:r>
      <w:r>
        <w:rPr>
          <w:rFonts w:hint="eastAsia" w:ascii="宋体" w:hAnsi="宋体" w:cs="宋体"/>
          <w:color w:val="auto"/>
          <w:kern w:val="0"/>
          <w:sz w:val="28"/>
          <w:szCs w:val="28"/>
          <w:highlight w:val="none"/>
          <w:u w:val="single"/>
        </w:rPr>
        <w:t xml:space="preserve">     </w:t>
      </w:r>
      <w:r>
        <w:rPr>
          <w:rFonts w:hint="eastAsia" w:ascii="宋体" w:hAnsi="宋体"/>
          <w:color w:val="auto"/>
          <w:sz w:val="28"/>
          <w:szCs w:val="28"/>
          <w:highlight w:val="none"/>
        </w:rPr>
        <w:t>担</w:t>
      </w:r>
      <w:r>
        <w:rPr>
          <w:rFonts w:hint="eastAsia" w:ascii="宋体" w:hAnsi="宋体"/>
          <w:color w:val="auto"/>
          <w:sz w:val="28"/>
          <w:highlight w:val="none"/>
        </w:rPr>
        <w:t>任工程</w:t>
      </w:r>
      <w:r>
        <w:rPr>
          <w:rFonts w:hint="eastAsia" w:ascii="宋体" w:hAnsi="宋体"/>
          <w:b w:val="0"/>
          <w:color w:val="auto"/>
          <w:sz w:val="28"/>
          <w:szCs w:val="28"/>
          <w:highlight w:val="none"/>
          <w:u w:val="single"/>
          <w:lang w:val="en-US" w:eastAsia="zh-CN"/>
        </w:rPr>
        <w:t>广东空天科技研究院风洞项目土地平整工程</w:t>
      </w:r>
      <w:r>
        <w:rPr>
          <w:rFonts w:hint="eastAsia" w:ascii="宋体" w:hAnsi="宋体"/>
          <w:color w:val="auto"/>
          <w:sz w:val="28"/>
          <w:highlight w:val="none"/>
        </w:rPr>
        <w:t>项目的勘察</w:t>
      </w:r>
      <w:r>
        <w:rPr>
          <w:rFonts w:hint="eastAsia" w:ascii="宋体" w:hAnsi="宋体"/>
          <w:color w:val="auto"/>
          <w:sz w:val="28"/>
          <w:highlight w:val="none"/>
          <w:lang w:val="en-US" w:eastAsia="zh-CN"/>
        </w:rPr>
        <w:t>及初步</w:t>
      </w:r>
      <w:r>
        <w:rPr>
          <w:rFonts w:hint="eastAsia" w:ascii="宋体" w:hAnsi="宋体"/>
          <w:color w:val="auto"/>
          <w:sz w:val="28"/>
          <w:highlight w:val="none"/>
        </w:rPr>
        <w:t>设计项目负责人，对该工程项目的勘察设计工作实施组织管理，依据国家有关法律法规及标准规范履行职责，并依法对设计使用年限内的工程质量承担相应终身责任。</w:t>
      </w:r>
    </w:p>
    <w:p>
      <w:pPr>
        <w:spacing w:line="360" w:lineRule="auto"/>
        <w:ind w:firstLine="560" w:firstLineChars="200"/>
        <w:rPr>
          <w:rFonts w:ascii="宋体" w:hAnsi="宋体"/>
          <w:color w:val="auto"/>
          <w:sz w:val="28"/>
          <w:highlight w:val="none"/>
        </w:rPr>
      </w:pPr>
      <w:r>
        <w:rPr>
          <w:rFonts w:hint="eastAsia" w:ascii="宋体" w:hAnsi="宋体"/>
          <w:color w:val="auto"/>
          <w:sz w:val="28"/>
          <w:highlight w:val="none"/>
        </w:rPr>
        <w:t>本授权书自授权之日起生效。</w:t>
      </w:r>
    </w:p>
    <w:p>
      <w:pPr>
        <w:spacing w:line="360" w:lineRule="auto"/>
        <w:ind w:firstLine="720" w:firstLineChars="200"/>
        <w:rPr>
          <w:rFonts w:ascii="宋体" w:hAnsi="宋体"/>
          <w:color w:val="auto"/>
          <w:sz w:val="36"/>
          <w:szCs w:val="32"/>
          <w:highlight w:val="none"/>
        </w:rPr>
      </w:pPr>
    </w:p>
    <w:tbl>
      <w:tblPr>
        <w:tblStyle w:val="5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90"/>
        <w:gridCol w:w="1921"/>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522" w:type="dxa"/>
            <w:gridSpan w:val="4"/>
            <w:vAlign w:val="center"/>
          </w:tcPr>
          <w:p>
            <w:pPr>
              <w:spacing w:line="360" w:lineRule="auto"/>
              <w:jc w:val="center"/>
              <w:rPr>
                <w:rFonts w:ascii="宋体" w:hAnsi="宋体"/>
                <w:color w:val="auto"/>
                <w:sz w:val="24"/>
                <w:szCs w:val="28"/>
                <w:highlight w:val="none"/>
              </w:rPr>
            </w:pPr>
            <w:r>
              <w:rPr>
                <w:rFonts w:hint="eastAsia" w:ascii="宋体" w:hAnsi="宋体"/>
                <w:b/>
                <w:bCs/>
                <w:color w:val="auto"/>
                <w:sz w:val="24"/>
                <w:highlight w:val="none"/>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951" w:type="dxa"/>
            <w:vAlign w:val="center"/>
          </w:tcPr>
          <w:p>
            <w:pPr>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姓  名</w:t>
            </w:r>
          </w:p>
        </w:tc>
        <w:tc>
          <w:tcPr>
            <w:tcW w:w="2190" w:type="dxa"/>
            <w:vAlign w:val="center"/>
          </w:tcPr>
          <w:p>
            <w:pPr>
              <w:spacing w:line="360" w:lineRule="auto"/>
              <w:jc w:val="center"/>
              <w:rPr>
                <w:rFonts w:ascii="宋体" w:hAnsi="宋体"/>
                <w:color w:val="auto"/>
                <w:sz w:val="24"/>
                <w:highlight w:val="none"/>
              </w:rPr>
            </w:pPr>
          </w:p>
        </w:tc>
        <w:tc>
          <w:tcPr>
            <w:tcW w:w="1921" w:type="dxa"/>
            <w:vAlign w:val="center"/>
          </w:tcPr>
          <w:p>
            <w:pPr>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身份证号</w:t>
            </w:r>
          </w:p>
        </w:tc>
        <w:tc>
          <w:tcPr>
            <w:tcW w:w="2460" w:type="dxa"/>
            <w:vAlign w:val="center"/>
          </w:tcPr>
          <w:p>
            <w:pPr>
              <w:spacing w:line="360" w:lineRule="auto"/>
              <w:jc w:val="center"/>
              <w:rPr>
                <w:rFonts w:ascii="宋体" w:hAnsi="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951" w:type="dxa"/>
            <w:vAlign w:val="center"/>
          </w:tcPr>
          <w:p>
            <w:pPr>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注册执业资格</w:t>
            </w:r>
          </w:p>
        </w:tc>
        <w:tc>
          <w:tcPr>
            <w:tcW w:w="2190" w:type="dxa"/>
            <w:vAlign w:val="center"/>
          </w:tcPr>
          <w:p>
            <w:pPr>
              <w:spacing w:line="300" w:lineRule="exact"/>
              <w:jc w:val="left"/>
              <w:rPr>
                <w:rFonts w:ascii="宋体" w:hAnsi="宋体"/>
                <w:color w:val="auto"/>
                <w:sz w:val="24"/>
                <w:szCs w:val="28"/>
                <w:highlight w:val="none"/>
              </w:rPr>
            </w:pPr>
          </w:p>
        </w:tc>
        <w:tc>
          <w:tcPr>
            <w:tcW w:w="1921" w:type="dxa"/>
            <w:vAlign w:val="center"/>
          </w:tcPr>
          <w:p>
            <w:pPr>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注册执业证号</w:t>
            </w:r>
          </w:p>
        </w:tc>
        <w:tc>
          <w:tcPr>
            <w:tcW w:w="2460" w:type="dxa"/>
            <w:vAlign w:val="center"/>
          </w:tcPr>
          <w:p>
            <w:pPr>
              <w:spacing w:line="300" w:lineRule="exact"/>
              <w:jc w:val="center"/>
              <w:rPr>
                <w:rFonts w:ascii="宋体" w:hAnsi="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22" w:type="dxa"/>
            <w:gridSpan w:val="4"/>
            <w:vAlign w:val="center"/>
          </w:tcPr>
          <w:p>
            <w:pPr>
              <w:spacing w:line="360" w:lineRule="auto"/>
              <w:jc w:val="center"/>
              <w:rPr>
                <w:rFonts w:ascii="宋体" w:hAnsi="宋体"/>
                <w:color w:val="auto"/>
                <w:sz w:val="24"/>
                <w:szCs w:val="28"/>
                <w:highlight w:val="none"/>
              </w:rPr>
            </w:pPr>
            <w:r>
              <w:rPr>
                <w:rFonts w:hint="eastAsia" w:ascii="宋体" w:hAnsi="宋体"/>
                <w:color w:val="auto"/>
                <w:sz w:val="24"/>
                <w:szCs w:val="28"/>
                <w:highlight w:val="none"/>
              </w:rPr>
              <w:t>被授权人签字：</w:t>
            </w:r>
          </w:p>
        </w:tc>
      </w:tr>
    </w:tbl>
    <w:p>
      <w:pPr>
        <w:spacing w:line="360" w:lineRule="auto"/>
        <w:ind w:firstLine="720" w:firstLineChars="200"/>
        <w:rPr>
          <w:rFonts w:hint="eastAsia" w:ascii="宋体" w:hAnsi="宋体"/>
          <w:color w:val="auto"/>
          <w:sz w:val="36"/>
          <w:szCs w:val="32"/>
          <w:highlight w:val="none"/>
        </w:rPr>
      </w:pPr>
    </w:p>
    <w:p>
      <w:pPr>
        <w:spacing w:line="360" w:lineRule="auto"/>
        <w:ind w:firstLine="720" w:firstLineChars="200"/>
        <w:rPr>
          <w:rFonts w:ascii="宋体" w:hAnsi="宋体"/>
          <w:color w:val="auto"/>
          <w:sz w:val="36"/>
          <w:szCs w:val="32"/>
          <w:highlight w:val="none"/>
        </w:rPr>
      </w:pPr>
    </w:p>
    <w:p>
      <w:pPr>
        <w:spacing w:line="360" w:lineRule="auto"/>
        <w:ind w:firstLine="560" w:firstLineChars="200"/>
        <w:rPr>
          <w:rFonts w:ascii="宋体" w:hAnsi="宋体"/>
          <w:color w:val="auto"/>
          <w:sz w:val="28"/>
          <w:highlight w:val="none"/>
          <w:u w:val="single"/>
        </w:rPr>
      </w:pPr>
      <w:r>
        <w:rPr>
          <w:rFonts w:hint="eastAsia" w:ascii="宋体" w:hAnsi="宋体"/>
          <w:color w:val="auto"/>
          <w:sz w:val="28"/>
          <w:highlight w:val="none"/>
        </w:rPr>
        <w:t xml:space="preserve"> 授权单位（盖章）：_____________</w:t>
      </w:r>
    </w:p>
    <w:p>
      <w:pPr>
        <w:spacing w:line="360" w:lineRule="auto"/>
        <w:ind w:firstLine="560" w:firstLineChars="200"/>
        <w:rPr>
          <w:rFonts w:ascii="宋体" w:hAnsi="宋体"/>
          <w:color w:val="auto"/>
          <w:sz w:val="28"/>
          <w:highlight w:val="none"/>
          <w:u w:val="single"/>
        </w:rPr>
      </w:pPr>
      <w:r>
        <w:rPr>
          <w:rFonts w:hint="eastAsia" w:ascii="宋体" w:hAnsi="宋体"/>
          <w:color w:val="auto"/>
          <w:sz w:val="28"/>
          <w:highlight w:val="none"/>
        </w:rPr>
        <w:t xml:space="preserve"> 法定代表人（签字）：</w:t>
      </w:r>
    </w:p>
    <w:p>
      <w:pPr>
        <w:spacing w:line="360" w:lineRule="auto"/>
        <w:ind w:firstLine="644" w:firstLineChars="200"/>
        <w:rPr>
          <w:rFonts w:ascii="宋体" w:hAnsi="宋体"/>
          <w:color w:val="auto"/>
          <w:sz w:val="36"/>
          <w:szCs w:val="32"/>
          <w:highlight w:val="none"/>
        </w:rPr>
      </w:pPr>
      <w:r>
        <w:rPr>
          <w:rFonts w:hint="eastAsia" w:ascii="宋体" w:hAnsi="宋体"/>
          <w:color w:val="auto"/>
          <w:spacing w:val="21"/>
          <w:sz w:val="28"/>
          <w:highlight w:val="none"/>
        </w:rPr>
        <w:t xml:space="preserve">授权日期：  </w:t>
      </w:r>
      <w:r>
        <w:rPr>
          <w:rFonts w:hint="eastAsia" w:ascii="宋体" w:hAnsi="宋体"/>
          <w:color w:val="auto"/>
          <w:sz w:val="28"/>
          <w:highlight w:val="none"/>
        </w:rPr>
        <w:t>年   月    日</w:t>
      </w:r>
    </w:p>
    <w:p>
      <w:pPr>
        <w:adjustRightInd w:val="0"/>
        <w:snapToGrid w:val="0"/>
        <w:spacing w:line="324" w:lineRule="auto"/>
        <w:rPr>
          <w:rFonts w:ascii="宋体" w:hAnsi="宋体"/>
          <w:bCs/>
          <w:snapToGrid w:val="0"/>
          <w:color w:val="auto"/>
          <w:kern w:val="0"/>
          <w:sz w:val="24"/>
          <w:highlight w:val="none"/>
        </w:rPr>
      </w:pPr>
      <w:r>
        <w:rPr>
          <w:rFonts w:hint="eastAsia" w:ascii="宋体" w:hAnsi="宋体"/>
          <w:bCs/>
          <w:snapToGrid w:val="0"/>
          <w:color w:val="auto"/>
          <w:kern w:val="0"/>
          <w:sz w:val="24"/>
          <w:highlight w:val="none"/>
        </w:rPr>
        <w:br w:type="page"/>
      </w:r>
      <w:r>
        <w:rPr>
          <w:rFonts w:hint="eastAsia" w:ascii="宋体" w:hAnsi="宋体"/>
          <w:bCs/>
          <w:snapToGrid w:val="0"/>
          <w:color w:val="auto"/>
          <w:kern w:val="0"/>
          <w:sz w:val="24"/>
          <w:highlight w:val="none"/>
        </w:rPr>
        <w:t>附件</w:t>
      </w:r>
      <w:r>
        <w:rPr>
          <w:rFonts w:hint="eastAsia" w:ascii="宋体" w:hAnsi="宋体"/>
          <w:bCs/>
          <w:snapToGrid w:val="0"/>
          <w:color w:val="auto"/>
          <w:kern w:val="0"/>
          <w:sz w:val="24"/>
          <w:highlight w:val="none"/>
          <w:lang w:val="en-US" w:eastAsia="zh-CN"/>
        </w:rPr>
        <w:t>7</w:t>
      </w:r>
      <w:r>
        <w:rPr>
          <w:rFonts w:hint="eastAsia" w:ascii="宋体" w:hAnsi="宋体"/>
          <w:bCs/>
          <w:snapToGrid w:val="0"/>
          <w:color w:val="auto"/>
          <w:kern w:val="0"/>
          <w:sz w:val="24"/>
          <w:highlight w:val="none"/>
        </w:rPr>
        <w:t>：工程质量终身责任承诺书</w:t>
      </w:r>
    </w:p>
    <w:p>
      <w:pPr>
        <w:spacing w:before="312" w:beforeLines="100" w:after="312" w:afterLines="100" w:line="360" w:lineRule="auto"/>
        <w:jc w:val="center"/>
        <w:rPr>
          <w:rFonts w:hint="eastAsia" w:ascii="宋体" w:hAnsi="宋体"/>
          <w:b/>
          <w:color w:val="auto"/>
          <w:sz w:val="44"/>
          <w:szCs w:val="44"/>
          <w:highlight w:val="none"/>
        </w:rPr>
      </w:pPr>
    </w:p>
    <w:p>
      <w:pPr>
        <w:spacing w:before="312" w:beforeLines="100" w:after="312" w:afterLines="100" w:line="360" w:lineRule="auto"/>
        <w:jc w:val="center"/>
        <w:rPr>
          <w:rFonts w:ascii="宋体" w:hAnsi="宋体"/>
          <w:b/>
          <w:color w:val="auto"/>
          <w:sz w:val="44"/>
          <w:szCs w:val="44"/>
          <w:highlight w:val="none"/>
        </w:rPr>
      </w:pPr>
      <w:r>
        <w:rPr>
          <w:rFonts w:hint="eastAsia" w:ascii="宋体" w:hAnsi="宋体"/>
          <w:b/>
          <w:color w:val="auto"/>
          <w:sz w:val="44"/>
          <w:szCs w:val="44"/>
          <w:highlight w:val="none"/>
        </w:rPr>
        <w:t>工程质量终身责任承诺书</w:t>
      </w:r>
    </w:p>
    <w:p>
      <w:pPr>
        <w:spacing w:before="468" w:beforeLines="150"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本人受法定代表人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授权，担任</w:t>
      </w:r>
      <w:r>
        <w:rPr>
          <w:rFonts w:hint="eastAsia" w:ascii="宋体" w:hAnsi="宋体"/>
          <w:b w:val="0"/>
          <w:color w:val="auto"/>
          <w:sz w:val="28"/>
          <w:szCs w:val="28"/>
          <w:highlight w:val="none"/>
          <w:u w:val="single"/>
          <w:lang w:val="en-US" w:eastAsia="zh-CN"/>
        </w:rPr>
        <w:t>广东空天科技研究院风洞项目土地平整工程</w:t>
      </w:r>
      <w:r>
        <w:rPr>
          <w:rFonts w:hint="eastAsia" w:ascii="宋体" w:hAnsi="宋体"/>
          <w:color w:val="auto"/>
          <w:sz w:val="28"/>
          <w:szCs w:val="28"/>
          <w:highlight w:val="none"/>
        </w:rPr>
        <w:t>项目的勘察</w:t>
      </w:r>
      <w:r>
        <w:rPr>
          <w:rFonts w:hint="eastAsia" w:ascii="宋体" w:hAnsi="宋体"/>
          <w:color w:val="auto"/>
          <w:sz w:val="28"/>
          <w:szCs w:val="28"/>
          <w:highlight w:val="none"/>
          <w:lang w:val="en-US" w:eastAsia="zh-CN"/>
        </w:rPr>
        <w:t>及初步</w:t>
      </w:r>
      <w:r>
        <w:rPr>
          <w:rFonts w:hint="eastAsia" w:ascii="宋体" w:hAnsi="宋体"/>
          <w:color w:val="auto"/>
          <w:sz w:val="28"/>
          <w:szCs w:val="28"/>
          <w:highlight w:val="none"/>
        </w:rPr>
        <w:t>设计项目负责人，对该工程项目的勘察设计工作实施组织管理。本人承诺严格依据国家有关法律法规及标准规范履行职责，并对设计使用年限内的工程质量承担相应终身责任。</w:t>
      </w:r>
    </w:p>
    <w:p>
      <w:pPr>
        <w:spacing w:line="360" w:lineRule="auto"/>
        <w:rPr>
          <w:rFonts w:ascii="宋体" w:hAnsi="宋体"/>
          <w:color w:val="auto"/>
          <w:sz w:val="28"/>
          <w:szCs w:val="28"/>
          <w:highlight w:val="none"/>
        </w:rPr>
      </w:pPr>
    </w:p>
    <w:p>
      <w:pPr>
        <w:spacing w:line="360" w:lineRule="auto"/>
        <w:ind w:firstLine="680" w:firstLineChars="200"/>
        <w:rPr>
          <w:rFonts w:ascii="宋体" w:hAnsi="宋体"/>
          <w:color w:val="auto"/>
          <w:sz w:val="28"/>
          <w:szCs w:val="28"/>
          <w:highlight w:val="none"/>
          <w:u w:val="single"/>
        </w:rPr>
      </w:pPr>
      <w:r>
        <w:rPr>
          <w:rFonts w:hint="eastAsia" w:ascii="宋体" w:hAnsi="宋体"/>
          <w:color w:val="auto"/>
          <w:spacing w:val="30"/>
          <w:sz w:val="28"/>
          <w:szCs w:val="28"/>
          <w:highlight w:val="none"/>
        </w:rPr>
        <w:t>承诺人签字</w:t>
      </w:r>
      <w:r>
        <w:rPr>
          <w:rFonts w:hint="eastAsia" w:ascii="宋体" w:hAnsi="宋体"/>
          <w:color w:val="auto"/>
          <w:sz w:val="28"/>
          <w:szCs w:val="28"/>
          <w:highlight w:val="none"/>
        </w:rPr>
        <w:t>：</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                 身 份 证 号：        </w:t>
      </w:r>
    </w:p>
    <w:p>
      <w:pPr>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                 注册执业资格：           </w:t>
      </w:r>
    </w:p>
    <w:p>
      <w:pPr>
        <w:spacing w:line="360" w:lineRule="auto"/>
        <w:ind w:left="5881" w:leftChars="267" w:hanging="5320" w:hangingChars="1900"/>
        <w:rPr>
          <w:rFonts w:ascii="宋体" w:hAnsi="宋体"/>
          <w:color w:val="auto"/>
          <w:sz w:val="28"/>
          <w:szCs w:val="28"/>
          <w:highlight w:val="none"/>
        </w:rPr>
      </w:pPr>
      <w:r>
        <w:rPr>
          <w:rFonts w:hint="eastAsia" w:ascii="宋体" w:hAnsi="宋体"/>
          <w:color w:val="auto"/>
          <w:sz w:val="28"/>
          <w:szCs w:val="28"/>
          <w:highlight w:val="none"/>
        </w:rPr>
        <w:t xml:space="preserve">                 注册执业证号：             </w:t>
      </w:r>
    </w:p>
    <w:p>
      <w:pPr>
        <w:spacing w:line="360" w:lineRule="auto"/>
        <w:ind w:firstLine="560" w:firstLineChars="200"/>
        <w:rPr>
          <w:rFonts w:ascii="宋体" w:hAnsi="宋体"/>
          <w:color w:val="auto"/>
          <w:sz w:val="28"/>
          <w:szCs w:val="28"/>
          <w:highlight w:val="none"/>
        </w:rPr>
      </w:pPr>
    </w:p>
    <w:p>
      <w:pPr>
        <w:spacing w:line="360" w:lineRule="auto"/>
        <w:ind w:firstLine="560" w:firstLineChars="200"/>
        <w:rPr>
          <w:rFonts w:ascii="宋体" w:hAnsi="宋体"/>
          <w:color w:val="auto"/>
          <w:sz w:val="28"/>
          <w:szCs w:val="28"/>
          <w:highlight w:val="none"/>
        </w:rPr>
      </w:pP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签 字 日 期：    年   月   日</w:t>
      </w:r>
    </w:p>
    <w:p>
      <w:pPr>
        <w:spacing w:line="360" w:lineRule="auto"/>
        <w:ind w:firstLine="560" w:firstLineChars="200"/>
        <w:rPr>
          <w:rFonts w:hint="eastAsia" w:ascii="宋体" w:hAnsi="宋体"/>
          <w:color w:val="auto"/>
          <w:sz w:val="28"/>
          <w:szCs w:val="28"/>
          <w:highlight w:val="none"/>
        </w:rPr>
      </w:pPr>
    </w:p>
    <w:p>
      <w:pPr>
        <w:spacing w:before="312" w:beforeLines="100" w:after="312" w:afterLines="100" w:line="360" w:lineRule="auto"/>
        <w:jc w:val="center"/>
        <w:rPr>
          <w:rFonts w:hint="eastAsia" w:ascii="宋体" w:hAnsi="宋体"/>
          <w:b/>
          <w:color w:val="auto"/>
          <w:sz w:val="44"/>
          <w:szCs w:val="44"/>
          <w:highlight w:val="none"/>
        </w:rPr>
      </w:pPr>
    </w:p>
    <w:p>
      <w:pPr>
        <w:spacing w:before="312" w:beforeLines="100" w:after="312" w:afterLines="100" w:line="360" w:lineRule="auto"/>
        <w:jc w:val="center"/>
        <w:rPr>
          <w:rFonts w:hint="eastAsia" w:ascii="宋体" w:hAnsi="宋体"/>
          <w:b/>
          <w:color w:val="auto"/>
          <w:sz w:val="44"/>
          <w:szCs w:val="44"/>
          <w:highlight w:val="none"/>
        </w:rPr>
      </w:pPr>
    </w:p>
    <w:p>
      <w:pPr>
        <w:widowControl/>
        <w:ind w:firstLine="420" w:firstLineChars="150"/>
        <w:jc w:val="left"/>
        <w:rPr>
          <w:rFonts w:hint="eastAsia" w:ascii="宋体" w:hAnsi="宋体"/>
          <w:color w:val="auto"/>
          <w:sz w:val="24"/>
          <w:highlight w:val="none"/>
        </w:rPr>
      </w:pPr>
      <w:bookmarkStart w:id="66" w:name="_Toc415840318"/>
      <w:r>
        <w:rPr>
          <w:rFonts w:ascii="宋体" w:hAnsi="宋体"/>
          <w:color w:val="auto"/>
          <w:sz w:val="28"/>
          <w:szCs w:val="28"/>
          <w:highlight w:val="none"/>
        </w:rPr>
        <w:br w:type="page"/>
      </w:r>
      <w:r>
        <w:rPr>
          <w:rFonts w:hint="eastAsia" w:ascii="宋体" w:hAnsi="宋体"/>
          <w:color w:val="auto"/>
          <w:sz w:val="24"/>
          <w:highlight w:val="none"/>
        </w:rPr>
        <w:t>附件</w:t>
      </w:r>
      <w:r>
        <w:rPr>
          <w:rFonts w:hint="eastAsia" w:ascii="宋体" w:hAnsi="宋体"/>
          <w:color w:val="auto"/>
          <w:sz w:val="24"/>
          <w:highlight w:val="none"/>
          <w:lang w:val="en-US" w:eastAsia="zh-CN"/>
        </w:rPr>
        <w:t>8：</w:t>
      </w:r>
    </w:p>
    <w:p>
      <w:pPr>
        <w:spacing w:after="312" w:afterLines="100" w:line="440" w:lineRule="exact"/>
        <w:jc w:val="center"/>
        <w:rPr>
          <w:rFonts w:ascii="方正小标宋简体" w:hAnsi="宋体" w:eastAsia="方正小标宋简体"/>
          <w:b/>
          <w:color w:val="auto"/>
          <w:sz w:val="48"/>
          <w:szCs w:val="48"/>
          <w:highlight w:val="none"/>
        </w:rPr>
      </w:pPr>
    </w:p>
    <w:p>
      <w:pPr>
        <w:jc w:val="center"/>
        <w:rPr>
          <w:rFonts w:hint="eastAsia" w:ascii="方正小标宋简体" w:hAnsi="黑体" w:eastAsia="方正小标宋简体"/>
          <w:b/>
          <w:color w:val="auto"/>
          <w:sz w:val="44"/>
          <w:highlight w:val="none"/>
        </w:rPr>
      </w:pPr>
      <w:bookmarkStart w:id="67" w:name="_Toc362792451"/>
      <w:bookmarkStart w:id="68" w:name="_Toc363136512"/>
      <w:bookmarkStart w:id="69" w:name="_Toc362791433"/>
      <w:bookmarkStart w:id="70" w:name="_Toc363157369"/>
      <w:bookmarkStart w:id="71" w:name="_Toc379876648"/>
      <w:bookmarkStart w:id="72" w:name="_Toc363136282"/>
      <w:bookmarkStart w:id="73" w:name="_Toc363139717"/>
      <w:bookmarkStart w:id="74" w:name="_Toc363111354"/>
      <w:r>
        <w:rPr>
          <w:rFonts w:hint="eastAsia" w:ascii="方正小标宋简体" w:hAnsi="黑体" w:eastAsia="方正小标宋简体"/>
          <w:b/>
          <w:color w:val="auto"/>
          <w:sz w:val="44"/>
          <w:szCs w:val="24"/>
          <w:highlight w:val="none"/>
          <w:u w:val="none"/>
          <w:lang w:val="en-US" w:eastAsia="zh-CN"/>
        </w:rPr>
        <w:t>广东空天科技研究院风洞项目土地平整工程勘察及初步</w:t>
      </w:r>
      <w:r>
        <w:rPr>
          <w:rFonts w:hint="eastAsia" w:ascii="方正小标宋简体" w:hAnsi="黑体" w:eastAsia="方正小标宋简体"/>
          <w:b/>
          <w:color w:val="auto"/>
          <w:sz w:val="44"/>
          <w:highlight w:val="none"/>
        </w:rPr>
        <w:t>设计</w:t>
      </w:r>
      <w:bookmarkEnd w:id="67"/>
      <w:bookmarkEnd w:id="68"/>
      <w:bookmarkEnd w:id="69"/>
      <w:bookmarkEnd w:id="70"/>
      <w:bookmarkEnd w:id="71"/>
      <w:bookmarkEnd w:id="72"/>
      <w:bookmarkEnd w:id="73"/>
      <w:bookmarkEnd w:id="74"/>
      <w:r>
        <w:rPr>
          <w:rFonts w:hint="eastAsia" w:ascii="方正小标宋简体" w:hAnsi="黑体" w:eastAsia="方正小标宋简体"/>
          <w:b/>
          <w:color w:val="auto"/>
          <w:sz w:val="44"/>
          <w:highlight w:val="none"/>
        </w:rPr>
        <w:t>任务书</w:t>
      </w:r>
    </w:p>
    <w:p>
      <w:pPr>
        <w:jc w:val="center"/>
        <w:rPr>
          <w:rFonts w:hint="eastAsia" w:ascii="宋体" w:hAnsi="宋体"/>
          <w:bCs/>
          <w:color w:val="auto"/>
          <w:sz w:val="32"/>
          <w:highlight w:val="none"/>
        </w:rPr>
      </w:pPr>
      <w:r>
        <w:rPr>
          <w:rFonts w:hint="eastAsia" w:ascii="方正小标宋简体" w:hAnsi="黑体" w:eastAsia="方正小标宋简体"/>
          <w:b/>
          <w:color w:val="auto"/>
          <w:sz w:val="44"/>
          <w:highlight w:val="none"/>
        </w:rPr>
        <w:t>（另册）</w:t>
      </w:r>
      <w:r>
        <w:rPr>
          <w:rFonts w:hint="eastAsia" w:ascii="宋体" w:hAnsi="宋体"/>
          <w:bCs/>
          <w:color w:val="auto"/>
          <w:sz w:val="32"/>
          <w:highlight w:val="none"/>
        </w:rPr>
        <w:t xml:space="preserve"> </w:t>
      </w:r>
    </w:p>
    <w:bookmarkEnd w:id="66"/>
    <w:p>
      <w:pPr>
        <w:jc w:val="center"/>
        <w:rPr>
          <w:rFonts w:hint="eastAsia" w:ascii="宋体" w:hAnsi="宋体"/>
          <w:bCs/>
          <w:color w:val="auto"/>
          <w:sz w:val="32"/>
          <w:highlight w:val="none"/>
        </w:rPr>
      </w:pPr>
    </w:p>
    <w:bookmarkEnd w:id="75"/>
    <w:sectPr>
      <w:headerReference r:id="rId3" w:type="default"/>
      <w:footerReference r:id="rId4" w:type="default"/>
      <w:footerReference r:id="rId5" w:type="even"/>
      <w:pgSz w:w="11906" w:h="16838"/>
      <w:pgMar w:top="1440" w:right="1797" w:bottom="1440"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Cambria">
    <w:panose1 w:val="02040503050406030204"/>
    <w:charset w:val="00"/>
    <w:family w:val="modern"/>
    <w:pitch w:val="default"/>
    <w:sig w:usb0="E00002FF" w:usb1="400004FF" w:usb2="00000000" w:usb3="00000000" w:csb0="2000019F" w:csb1="00000000"/>
  </w:font>
  <w:font w:name="MS UI Gothic">
    <w:panose1 w:val="020B0600070205080204"/>
    <w:charset w:val="80"/>
    <w:family w:val="roman"/>
    <w:pitch w:val="default"/>
    <w:sig w:usb0="E00002FF" w:usb1="6AC7FDFB" w:usb2="00000012" w:usb3="00000000" w:csb0="4002009F" w:csb1="DFD70000"/>
  </w:font>
  <w:font w:name="楷体_GB2312">
    <w:altName w:val="楷体"/>
    <w:panose1 w:val="02010609030101010101"/>
    <w:charset w:val="86"/>
    <w:family w:val="decorative"/>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swiss"/>
    <w:pitch w:val="default"/>
    <w:sig w:usb0="00000000" w:usb1="00000000" w:usb2="00000000" w:usb3="00000000" w:csb0="80000000" w:csb1="00000000"/>
  </w:font>
  <w:font w:name="MS Mincho">
    <w:panose1 w:val="02020609040205080304"/>
    <w:charset w:val="80"/>
    <w:family w:val="decorative"/>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rPr>
        <w:rStyle w:val="61"/>
      </w:rPr>
      <w:t>38</w:t>
    </w:r>
    <w: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0DE45"/>
    <w:multiLevelType w:val="singleLevel"/>
    <w:tmpl w:val="D740DE45"/>
    <w:lvl w:ilvl="0" w:tentative="0">
      <w:start w:val="1"/>
      <w:numFmt w:val="decimal"/>
      <w:suff w:val="nothing"/>
      <w:lvlText w:val="（%1）"/>
      <w:lvlJc w:val="left"/>
    </w:lvl>
  </w:abstractNum>
  <w:abstractNum w:abstractNumId="1">
    <w:nsid w:val="2C7B23F0"/>
    <w:multiLevelType w:val="multilevel"/>
    <w:tmpl w:val="2C7B23F0"/>
    <w:lvl w:ilvl="0" w:tentative="0">
      <w:start w:val="1"/>
      <w:numFmt w:val="japaneseCounting"/>
      <w:lvlText w:val="第%1条"/>
      <w:lvlJc w:val="left"/>
      <w:pPr>
        <w:tabs>
          <w:tab w:val="left" w:pos="1680"/>
        </w:tabs>
        <w:ind w:left="1680" w:hanging="120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36"/>
    <w:rsid w:val="00000E3F"/>
    <w:rsid w:val="00010430"/>
    <w:rsid w:val="000118E7"/>
    <w:rsid w:val="00014765"/>
    <w:rsid w:val="00017E8D"/>
    <w:rsid w:val="00020880"/>
    <w:rsid w:val="00023CD3"/>
    <w:rsid w:val="00024232"/>
    <w:rsid w:val="0002473A"/>
    <w:rsid w:val="00026650"/>
    <w:rsid w:val="00035625"/>
    <w:rsid w:val="00037FF6"/>
    <w:rsid w:val="00040900"/>
    <w:rsid w:val="0004202B"/>
    <w:rsid w:val="00045A7B"/>
    <w:rsid w:val="000518DA"/>
    <w:rsid w:val="00056E96"/>
    <w:rsid w:val="000662CA"/>
    <w:rsid w:val="000700DB"/>
    <w:rsid w:val="00070BAA"/>
    <w:rsid w:val="0007146E"/>
    <w:rsid w:val="00072E29"/>
    <w:rsid w:val="0007430C"/>
    <w:rsid w:val="0007448E"/>
    <w:rsid w:val="000744BB"/>
    <w:rsid w:val="00076134"/>
    <w:rsid w:val="00080D69"/>
    <w:rsid w:val="00081D96"/>
    <w:rsid w:val="000864F4"/>
    <w:rsid w:val="0008798F"/>
    <w:rsid w:val="00090089"/>
    <w:rsid w:val="0009624E"/>
    <w:rsid w:val="000A0B35"/>
    <w:rsid w:val="000A6436"/>
    <w:rsid w:val="000B1C5F"/>
    <w:rsid w:val="000B1C73"/>
    <w:rsid w:val="000B362A"/>
    <w:rsid w:val="000B47C9"/>
    <w:rsid w:val="000B6FCB"/>
    <w:rsid w:val="000B74F3"/>
    <w:rsid w:val="000C3897"/>
    <w:rsid w:val="000C7F7E"/>
    <w:rsid w:val="000D076C"/>
    <w:rsid w:val="000D11BB"/>
    <w:rsid w:val="000D4C38"/>
    <w:rsid w:val="000D4E7C"/>
    <w:rsid w:val="000E0E97"/>
    <w:rsid w:val="000E3A0B"/>
    <w:rsid w:val="000E40A1"/>
    <w:rsid w:val="000E5547"/>
    <w:rsid w:val="000F1329"/>
    <w:rsid w:val="000F290C"/>
    <w:rsid w:val="000F4E67"/>
    <w:rsid w:val="000F6F1E"/>
    <w:rsid w:val="00101C32"/>
    <w:rsid w:val="00103E66"/>
    <w:rsid w:val="00106196"/>
    <w:rsid w:val="00111A18"/>
    <w:rsid w:val="001155C3"/>
    <w:rsid w:val="00117689"/>
    <w:rsid w:val="00124A71"/>
    <w:rsid w:val="0013316E"/>
    <w:rsid w:val="001338C0"/>
    <w:rsid w:val="00135E10"/>
    <w:rsid w:val="0014081D"/>
    <w:rsid w:val="00140D5B"/>
    <w:rsid w:val="001410D6"/>
    <w:rsid w:val="00144767"/>
    <w:rsid w:val="00146052"/>
    <w:rsid w:val="001473BE"/>
    <w:rsid w:val="001474B0"/>
    <w:rsid w:val="00147ABB"/>
    <w:rsid w:val="00156F7B"/>
    <w:rsid w:val="00160694"/>
    <w:rsid w:val="001609BF"/>
    <w:rsid w:val="0016393F"/>
    <w:rsid w:val="001678A0"/>
    <w:rsid w:val="00170A3C"/>
    <w:rsid w:val="00170DD2"/>
    <w:rsid w:val="001726BF"/>
    <w:rsid w:val="00172A27"/>
    <w:rsid w:val="001769C6"/>
    <w:rsid w:val="001773F0"/>
    <w:rsid w:val="00177A6A"/>
    <w:rsid w:val="001808AD"/>
    <w:rsid w:val="001812E1"/>
    <w:rsid w:val="00181D7A"/>
    <w:rsid w:val="001846D1"/>
    <w:rsid w:val="001851A3"/>
    <w:rsid w:val="001856BE"/>
    <w:rsid w:val="00185DC5"/>
    <w:rsid w:val="001860A3"/>
    <w:rsid w:val="0019398A"/>
    <w:rsid w:val="00196203"/>
    <w:rsid w:val="00197089"/>
    <w:rsid w:val="001A1738"/>
    <w:rsid w:val="001A39EC"/>
    <w:rsid w:val="001A4E6F"/>
    <w:rsid w:val="001A5972"/>
    <w:rsid w:val="001A6637"/>
    <w:rsid w:val="001B1E03"/>
    <w:rsid w:val="001B3185"/>
    <w:rsid w:val="001B7727"/>
    <w:rsid w:val="001B773E"/>
    <w:rsid w:val="001B7FA1"/>
    <w:rsid w:val="001C0B66"/>
    <w:rsid w:val="001C258F"/>
    <w:rsid w:val="001C47D0"/>
    <w:rsid w:val="001D059A"/>
    <w:rsid w:val="001D0E18"/>
    <w:rsid w:val="001D2386"/>
    <w:rsid w:val="001E03A8"/>
    <w:rsid w:val="001E12C2"/>
    <w:rsid w:val="001E2F1E"/>
    <w:rsid w:val="001F1098"/>
    <w:rsid w:val="001F3347"/>
    <w:rsid w:val="001F62E0"/>
    <w:rsid w:val="001F7B79"/>
    <w:rsid w:val="001F7E50"/>
    <w:rsid w:val="00201100"/>
    <w:rsid w:val="00201A3E"/>
    <w:rsid w:val="0020223D"/>
    <w:rsid w:val="002023B4"/>
    <w:rsid w:val="00203780"/>
    <w:rsid w:val="00203B0F"/>
    <w:rsid w:val="002159D3"/>
    <w:rsid w:val="00227062"/>
    <w:rsid w:val="002279B3"/>
    <w:rsid w:val="00231763"/>
    <w:rsid w:val="002378BB"/>
    <w:rsid w:val="00237CB3"/>
    <w:rsid w:val="00237DDF"/>
    <w:rsid w:val="002410A1"/>
    <w:rsid w:val="002410BB"/>
    <w:rsid w:val="00250877"/>
    <w:rsid w:val="00250DE7"/>
    <w:rsid w:val="00252423"/>
    <w:rsid w:val="002653F3"/>
    <w:rsid w:val="00267E32"/>
    <w:rsid w:val="002768D3"/>
    <w:rsid w:val="0028248B"/>
    <w:rsid w:val="00283A0B"/>
    <w:rsid w:val="0028435E"/>
    <w:rsid w:val="0028608D"/>
    <w:rsid w:val="0028611B"/>
    <w:rsid w:val="00286917"/>
    <w:rsid w:val="0028748D"/>
    <w:rsid w:val="00291978"/>
    <w:rsid w:val="00294D03"/>
    <w:rsid w:val="002A20CD"/>
    <w:rsid w:val="002A2F88"/>
    <w:rsid w:val="002A38CB"/>
    <w:rsid w:val="002A3C5C"/>
    <w:rsid w:val="002A3FE7"/>
    <w:rsid w:val="002A62DE"/>
    <w:rsid w:val="002B340C"/>
    <w:rsid w:val="002B451F"/>
    <w:rsid w:val="002B5270"/>
    <w:rsid w:val="002B6631"/>
    <w:rsid w:val="002B6FCA"/>
    <w:rsid w:val="002C0420"/>
    <w:rsid w:val="002C52F1"/>
    <w:rsid w:val="002C557E"/>
    <w:rsid w:val="002C6486"/>
    <w:rsid w:val="002C67AD"/>
    <w:rsid w:val="002C67D6"/>
    <w:rsid w:val="002D23F0"/>
    <w:rsid w:val="002D375C"/>
    <w:rsid w:val="002E2547"/>
    <w:rsid w:val="002F0976"/>
    <w:rsid w:val="002F304E"/>
    <w:rsid w:val="002F3603"/>
    <w:rsid w:val="002F371D"/>
    <w:rsid w:val="002F523C"/>
    <w:rsid w:val="002F7BA2"/>
    <w:rsid w:val="0030003C"/>
    <w:rsid w:val="00302B91"/>
    <w:rsid w:val="00303360"/>
    <w:rsid w:val="00307A96"/>
    <w:rsid w:val="003103A5"/>
    <w:rsid w:val="0031202C"/>
    <w:rsid w:val="003146BE"/>
    <w:rsid w:val="0032059B"/>
    <w:rsid w:val="003226E8"/>
    <w:rsid w:val="003243BD"/>
    <w:rsid w:val="003268A5"/>
    <w:rsid w:val="00327E51"/>
    <w:rsid w:val="003319EC"/>
    <w:rsid w:val="003327E9"/>
    <w:rsid w:val="003336AC"/>
    <w:rsid w:val="0034209A"/>
    <w:rsid w:val="00351998"/>
    <w:rsid w:val="003609CB"/>
    <w:rsid w:val="0036108C"/>
    <w:rsid w:val="003620F9"/>
    <w:rsid w:val="00365E7D"/>
    <w:rsid w:val="00366D46"/>
    <w:rsid w:val="003716BA"/>
    <w:rsid w:val="003722A4"/>
    <w:rsid w:val="0037350F"/>
    <w:rsid w:val="00377271"/>
    <w:rsid w:val="0038219F"/>
    <w:rsid w:val="00383DC4"/>
    <w:rsid w:val="00384A71"/>
    <w:rsid w:val="003903FB"/>
    <w:rsid w:val="00390615"/>
    <w:rsid w:val="00394436"/>
    <w:rsid w:val="00396CA7"/>
    <w:rsid w:val="003A2759"/>
    <w:rsid w:val="003A356C"/>
    <w:rsid w:val="003B500A"/>
    <w:rsid w:val="003B58FD"/>
    <w:rsid w:val="003B73BF"/>
    <w:rsid w:val="003B74BA"/>
    <w:rsid w:val="003C1114"/>
    <w:rsid w:val="003C56AD"/>
    <w:rsid w:val="003C7510"/>
    <w:rsid w:val="003C7789"/>
    <w:rsid w:val="003C7B2C"/>
    <w:rsid w:val="003D193A"/>
    <w:rsid w:val="003D34FE"/>
    <w:rsid w:val="003D3863"/>
    <w:rsid w:val="003D4635"/>
    <w:rsid w:val="003D7942"/>
    <w:rsid w:val="003D7A39"/>
    <w:rsid w:val="003D7F1B"/>
    <w:rsid w:val="003E365D"/>
    <w:rsid w:val="003E3AC4"/>
    <w:rsid w:val="003E4E7F"/>
    <w:rsid w:val="003E6B99"/>
    <w:rsid w:val="003E6BE7"/>
    <w:rsid w:val="003F07D0"/>
    <w:rsid w:val="003F1BA9"/>
    <w:rsid w:val="003F1C02"/>
    <w:rsid w:val="003F20BC"/>
    <w:rsid w:val="003F2543"/>
    <w:rsid w:val="003F30C7"/>
    <w:rsid w:val="003F3582"/>
    <w:rsid w:val="003F629D"/>
    <w:rsid w:val="004013A4"/>
    <w:rsid w:val="00403D6C"/>
    <w:rsid w:val="004054FE"/>
    <w:rsid w:val="00410839"/>
    <w:rsid w:val="00411001"/>
    <w:rsid w:val="00414892"/>
    <w:rsid w:val="0041751F"/>
    <w:rsid w:val="00420020"/>
    <w:rsid w:val="00422F04"/>
    <w:rsid w:val="00423CE7"/>
    <w:rsid w:val="0042535C"/>
    <w:rsid w:val="004318AB"/>
    <w:rsid w:val="004323AF"/>
    <w:rsid w:val="00432EE5"/>
    <w:rsid w:val="004427B0"/>
    <w:rsid w:val="00443102"/>
    <w:rsid w:val="00443DFE"/>
    <w:rsid w:val="00443EE8"/>
    <w:rsid w:val="004505A6"/>
    <w:rsid w:val="004522A4"/>
    <w:rsid w:val="004523C6"/>
    <w:rsid w:val="00453EB0"/>
    <w:rsid w:val="00457B17"/>
    <w:rsid w:val="00460D9A"/>
    <w:rsid w:val="004622D8"/>
    <w:rsid w:val="00465096"/>
    <w:rsid w:val="004658C5"/>
    <w:rsid w:val="004669D2"/>
    <w:rsid w:val="00467F55"/>
    <w:rsid w:val="004702CC"/>
    <w:rsid w:val="00471FFE"/>
    <w:rsid w:val="00476A7C"/>
    <w:rsid w:val="00487583"/>
    <w:rsid w:val="00493135"/>
    <w:rsid w:val="004934E0"/>
    <w:rsid w:val="004938AA"/>
    <w:rsid w:val="004A0864"/>
    <w:rsid w:val="004A1CF5"/>
    <w:rsid w:val="004A24D3"/>
    <w:rsid w:val="004A25FD"/>
    <w:rsid w:val="004A2D1A"/>
    <w:rsid w:val="004A4269"/>
    <w:rsid w:val="004B08F9"/>
    <w:rsid w:val="004B0ACF"/>
    <w:rsid w:val="004B31C0"/>
    <w:rsid w:val="004B4223"/>
    <w:rsid w:val="004C55D4"/>
    <w:rsid w:val="004C5A82"/>
    <w:rsid w:val="004C6852"/>
    <w:rsid w:val="004D0DE0"/>
    <w:rsid w:val="004D4A30"/>
    <w:rsid w:val="004D4F7F"/>
    <w:rsid w:val="004D724E"/>
    <w:rsid w:val="004E0A8E"/>
    <w:rsid w:val="004E45B1"/>
    <w:rsid w:val="004E7488"/>
    <w:rsid w:val="004F4757"/>
    <w:rsid w:val="004F71BB"/>
    <w:rsid w:val="005009B9"/>
    <w:rsid w:val="00507A1A"/>
    <w:rsid w:val="0051020C"/>
    <w:rsid w:val="00510A4D"/>
    <w:rsid w:val="00512364"/>
    <w:rsid w:val="00514736"/>
    <w:rsid w:val="00514A36"/>
    <w:rsid w:val="005163E8"/>
    <w:rsid w:val="00520714"/>
    <w:rsid w:val="00522D7A"/>
    <w:rsid w:val="00523970"/>
    <w:rsid w:val="005241F3"/>
    <w:rsid w:val="005269EF"/>
    <w:rsid w:val="00530451"/>
    <w:rsid w:val="00531638"/>
    <w:rsid w:val="005318CD"/>
    <w:rsid w:val="00531A17"/>
    <w:rsid w:val="005358EA"/>
    <w:rsid w:val="00536A25"/>
    <w:rsid w:val="00540CA0"/>
    <w:rsid w:val="00543048"/>
    <w:rsid w:val="00544542"/>
    <w:rsid w:val="00547AC8"/>
    <w:rsid w:val="005510C2"/>
    <w:rsid w:val="00552D19"/>
    <w:rsid w:val="00557E06"/>
    <w:rsid w:val="00562DB5"/>
    <w:rsid w:val="00567E4B"/>
    <w:rsid w:val="005704F1"/>
    <w:rsid w:val="00571575"/>
    <w:rsid w:val="00572A76"/>
    <w:rsid w:val="005730C4"/>
    <w:rsid w:val="00580616"/>
    <w:rsid w:val="00580E25"/>
    <w:rsid w:val="0058258A"/>
    <w:rsid w:val="005849BA"/>
    <w:rsid w:val="00585C3C"/>
    <w:rsid w:val="00585E70"/>
    <w:rsid w:val="005913CE"/>
    <w:rsid w:val="005A0341"/>
    <w:rsid w:val="005A14A2"/>
    <w:rsid w:val="005A3420"/>
    <w:rsid w:val="005A72B2"/>
    <w:rsid w:val="005B1D2F"/>
    <w:rsid w:val="005B2C98"/>
    <w:rsid w:val="005B386F"/>
    <w:rsid w:val="005B3FC5"/>
    <w:rsid w:val="005B56E4"/>
    <w:rsid w:val="005B5A27"/>
    <w:rsid w:val="005B66C6"/>
    <w:rsid w:val="005B6BA4"/>
    <w:rsid w:val="005B744F"/>
    <w:rsid w:val="005B7E79"/>
    <w:rsid w:val="005C14F2"/>
    <w:rsid w:val="005C1597"/>
    <w:rsid w:val="005C7A34"/>
    <w:rsid w:val="005D00A0"/>
    <w:rsid w:val="005D18D9"/>
    <w:rsid w:val="005D33EB"/>
    <w:rsid w:val="005E7B6D"/>
    <w:rsid w:val="005F3D2A"/>
    <w:rsid w:val="005F4D9F"/>
    <w:rsid w:val="00600534"/>
    <w:rsid w:val="00601D34"/>
    <w:rsid w:val="00602C33"/>
    <w:rsid w:val="0060336E"/>
    <w:rsid w:val="0060373E"/>
    <w:rsid w:val="00603977"/>
    <w:rsid w:val="006040E1"/>
    <w:rsid w:val="006052EC"/>
    <w:rsid w:val="0060725F"/>
    <w:rsid w:val="00607E1C"/>
    <w:rsid w:val="00611655"/>
    <w:rsid w:val="00612F42"/>
    <w:rsid w:val="00616D9D"/>
    <w:rsid w:val="006214C5"/>
    <w:rsid w:val="00631090"/>
    <w:rsid w:val="00632735"/>
    <w:rsid w:val="006328DF"/>
    <w:rsid w:val="00632C0C"/>
    <w:rsid w:val="0063639C"/>
    <w:rsid w:val="00643A69"/>
    <w:rsid w:val="00651002"/>
    <w:rsid w:val="00652264"/>
    <w:rsid w:val="00653536"/>
    <w:rsid w:val="00656F41"/>
    <w:rsid w:val="0066334E"/>
    <w:rsid w:val="00663C73"/>
    <w:rsid w:val="00673140"/>
    <w:rsid w:val="00675774"/>
    <w:rsid w:val="00676009"/>
    <w:rsid w:val="0068173F"/>
    <w:rsid w:val="00681E1C"/>
    <w:rsid w:val="00684AE5"/>
    <w:rsid w:val="0069323A"/>
    <w:rsid w:val="006959C7"/>
    <w:rsid w:val="00695D45"/>
    <w:rsid w:val="006978A4"/>
    <w:rsid w:val="006A0A6C"/>
    <w:rsid w:val="006A3D9A"/>
    <w:rsid w:val="006A519C"/>
    <w:rsid w:val="006B4864"/>
    <w:rsid w:val="006B7110"/>
    <w:rsid w:val="006C09D6"/>
    <w:rsid w:val="006C2E5C"/>
    <w:rsid w:val="006D0AEB"/>
    <w:rsid w:val="006D151D"/>
    <w:rsid w:val="006D1906"/>
    <w:rsid w:val="006D6F64"/>
    <w:rsid w:val="006E3A37"/>
    <w:rsid w:val="006E5899"/>
    <w:rsid w:val="006E5F73"/>
    <w:rsid w:val="006F1E83"/>
    <w:rsid w:val="006F3511"/>
    <w:rsid w:val="006F389E"/>
    <w:rsid w:val="006F3B61"/>
    <w:rsid w:val="006F6497"/>
    <w:rsid w:val="006F6B04"/>
    <w:rsid w:val="00701481"/>
    <w:rsid w:val="00701557"/>
    <w:rsid w:val="007110C5"/>
    <w:rsid w:val="00713CE8"/>
    <w:rsid w:val="00716501"/>
    <w:rsid w:val="00720A13"/>
    <w:rsid w:val="00722106"/>
    <w:rsid w:val="007235BF"/>
    <w:rsid w:val="00723AA2"/>
    <w:rsid w:val="007244FD"/>
    <w:rsid w:val="00726FAF"/>
    <w:rsid w:val="00730B2B"/>
    <w:rsid w:val="0073588B"/>
    <w:rsid w:val="007358D4"/>
    <w:rsid w:val="00743F7A"/>
    <w:rsid w:val="007510E6"/>
    <w:rsid w:val="00752710"/>
    <w:rsid w:val="0075572D"/>
    <w:rsid w:val="007617E5"/>
    <w:rsid w:val="007628E5"/>
    <w:rsid w:val="00763B28"/>
    <w:rsid w:val="00765076"/>
    <w:rsid w:val="00767C82"/>
    <w:rsid w:val="00767E14"/>
    <w:rsid w:val="00767F7F"/>
    <w:rsid w:val="007729B5"/>
    <w:rsid w:val="00772A1F"/>
    <w:rsid w:val="00777279"/>
    <w:rsid w:val="007801D3"/>
    <w:rsid w:val="00781E3B"/>
    <w:rsid w:val="0078567F"/>
    <w:rsid w:val="00785E68"/>
    <w:rsid w:val="00787C6C"/>
    <w:rsid w:val="007956F0"/>
    <w:rsid w:val="007959D9"/>
    <w:rsid w:val="00796516"/>
    <w:rsid w:val="007A24DA"/>
    <w:rsid w:val="007A7CB8"/>
    <w:rsid w:val="007B681F"/>
    <w:rsid w:val="007C0BE1"/>
    <w:rsid w:val="007C10C8"/>
    <w:rsid w:val="007C239C"/>
    <w:rsid w:val="007C2614"/>
    <w:rsid w:val="007C291A"/>
    <w:rsid w:val="007C3A72"/>
    <w:rsid w:val="007C5E00"/>
    <w:rsid w:val="007C65C3"/>
    <w:rsid w:val="007D2260"/>
    <w:rsid w:val="007D2956"/>
    <w:rsid w:val="007D2EA5"/>
    <w:rsid w:val="007D3CB5"/>
    <w:rsid w:val="007D4F13"/>
    <w:rsid w:val="007D58B6"/>
    <w:rsid w:val="007D6AEC"/>
    <w:rsid w:val="007E01CF"/>
    <w:rsid w:val="007E2F2F"/>
    <w:rsid w:val="007E6759"/>
    <w:rsid w:val="007F1AD0"/>
    <w:rsid w:val="007F3744"/>
    <w:rsid w:val="007F43D4"/>
    <w:rsid w:val="007F7891"/>
    <w:rsid w:val="007F7BCB"/>
    <w:rsid w:val="00804ECB"/>
    <w:rsid w:val="008103A9"/>
    <w:rsid w:val="0081101C"/>
    <w:rsid w:val="008112A0"/>
    <w:rsid w:val="00811902"/>
    <w:rsid w:val="00814A6E"/>
    <w:rsid w:val="00816147"/>
    <w:rsid w:val="00821E66"/>
    <w:rsid w:val="0082407B"/>
    <w:rsid w:val="0082478D"/>
    <w:rsid w:val="00825670"/>
    <w:rsid w:val="00830642"/>
    <w:rsid w:val="0083139F"/>
    <w:rsid w:val="008327F3"/>
    <w:rsid w:val="00837705"/>
    <w:rsid w:val="00842E88"/>
    <w:rsid w:val="00843987"/>
    <w:rsid w:val="00852C92"/>
    <w:rsid w:val="00852EA3"/>
    <w:rsid w:val="0085384A"/>
    <w:rsid w:val="00854CB0"/>
    <w:rsid w:val="00863EF1"/>
    <w:rsid w:val="008675F9"/>
    <w:rsid w:val="00867C78"/>
    <w:rsid w:val="00874035"/>
    <w:rsid w:val="00880561"/>
    <w:rsid w:val="00886D67"/>
    <w:rsid w:val="00887BEA"/>
    <w:rsid w:val="00891009"/>
    <w:rsid w:val="00892BD4"/>
    <w:rsid w:val="00895966"/>
    <w:rsid w:val="008A0917"/>
    <w:rsid w:val="008A18E6"/>
    <w:rsid w:val="008A2507"/>
    <w:rsid w:val="008A436D"/>
    <w:rsid w:val="008A4BCC"/>
    <w:rsid w:val="008B255D"/>
    <w:rsid w:val="008B7B1A"/>
    <w:rsid w:val="008C3217"/>
    <w:rsid w:val="008C3688"/>
    <w:rsid w:val="008C3C19"/>
    <w:rsid w:val="008C56C3"/>
    <w:rsid w:val="008D36A8"/>
    <w:rsid w:val="008D55F0"/>
    <w:rsid w:val="008D5E1E"/>
    <w:rsid w:val="008D6639"/>
    <w:rsid w:val="008D697B"/>
    <w:rsid w:val="008E2337"/>
    <w:rsid w:val="008E32EC"/>
    <w:rsid w:val="008F415A"/>
    <w:rsid w:val="009030EC"/>
    <w:rsid w:val="0090377B"/>
    <w:rsid w:val="00903D75"/>
    <w:rsid w:val="0090481D"/>
    <w:rsid w:val="0090489D"/>
    <w:rsid w:val="009052E8"/>
    <w:rsid w:val="00905342"/>
    <w:rsid w:val="00907F9B"/>
    <w:rsid w:val="00911047"/>
    <w:rsid w:val="00912589"/>
    <w:rsid w:val="00915770"/>
    <w:rsid w:val="00917182"/>
    <w:rsid w:val="009218F5"/>
    <w:rsid w:val="00921E69"/>
    <w:rsid w:val="00923F90"/>
    <w:rsid w:val="00925E91"/>
    <w:rsid w:val="009269C5"/>
    <w:rsid w:val="00933AD5"/>
    <w:rsid w:val="0093697B"/>
    <w:rsid w:val="00937F82"/>
    <w:rsid w:val="009423CA"/>
    <w:rsid w:val="00942976"/>
    <w:rsid w:val="00942D1F"/>
    <w:rsid w:val="00951562"/>
    <w:rsid w:val="00951A8E"/>
    <w:rsid w:val="009531D1"/>
    <w:rsid w:val="00956081"/>
    <w:rsid w:val="00957D59"/>
    <w:rsid w:val="009635F9"/>
    <w:rsid w:val="00965599"/>
    <w:rsid w:val="00965849"/>
    <w:rsid w:val="009663AC"/>
    <w:rsid w:val="009749BA"/>
    <w:rsid w:val="00987DA8"/>
    <w:rsid w:val="009908DB"/>
    <w:rsid w:val="00995D95"/>
    <w:rsid w:val="00996831"/>
    <w:rsid w:val="009A1AB7"/>
    <w:rsid w:val="009A5BB8"/>
    <w:rsid w:val="009A7395"/>
    <w:rsid w:val="009B32A3"/>
    <w:rsid w:val="009B4FEE"/>
    <w:rsid w:val="009C07FD"/>
    <w:rsid w:val="009C16FA"/>
    <w:rsid w:val="009C4560"/>
    <w:rsid w:val="009C6CA9"/>
    <w:rsid w:val="009D0383"/>
    <w:rsid w:val="009D03E3"/>
    <w:rsid w:val="009D2DDC"/>
    <w:rsid w:val="009D5434"/>
    <w:rsid w:val="009D546C"/>
    <w:rsid w:val="009D6871"/>
    <w:rsid w:val="009D70CE"/>
    <w:rsid w:val="009E0CC5"/>
    <w:rsid w:val="009E1F53"/>
    <w:rsid w:val="009E4B23"/>
    <w:rsid w:val="009E5168"/>
    <w:rsid w:val="009E5A79"/>
    <w:rsid w:val="009E6CE2"/>
    <w:rsid w:val="009F29DC"/>
    <w:rsid w:val="009F50AD"/>
    <w:rsid w:val="009F5377"/>
    <w:rsid w:val="009F5804"/>
    <w:rsid w:val="009F7268"/>
    <w:rsid w:val="009F7C86"/>
    <w:rsid w:val="00A00435"/>
    <w:rsid w:val="00A024DF"/>
    <w:rsid w:val="00A046D3"/>
    <w:rsid w:val="00A067EC"/>
    <w:rsid w:val="00A1170B"/>
    <w:rsid w:val="00A125A8"/>
    <w:rsid w:val="00A13803"/>
    <w:rsid w:val="00A13886"/>
    <w:rsid w:val="00A14471"/>
    <w:rsid w:val="00A17B67"/>
    <w:rsid w:val="00A2335A"/>
    <w:rsid w:val="00A27AAD"/>
    <w:rsid w:val="00A3117B"/>
    <w:rsid w:val="00A311C7"/>
    <w:rsid w:val="00A32EA9"/>
    <w:rsid w:val="00A35F0B"/>
    <w:rsid w:val="00A365BA"/>
    <w:rsid w:val="00A40151"/>
    <w:rsid w:val="00A41B44"/>
    <w:rsid w:val="00A46CBE"/>
    <w:rsid w:val="00A47A1C"/>
    <w:rsid w:val="00A504F6"/>
    <w:rsid w:val="00A544CC"/>
    <w:rsid w:val="00A55EB6"/>
    <w:rsid w:val="00A56AFB"/>
    <w:rsid w:val="00A601B9"/>
    <w:rsid w:val="00A62FFF"/>
    <w:rsid w:val="00A631BB"/>
    <w:rsid w:val="00A63ECF"/>
    <w:rsid w:val="00A67655"/>
    <w:rsid w:val="00A67B3B"/>
    <w:rsid w:val="00A70078"/>
    <w:rsid w:val="00A76F81"/>
    <w:rsid w:val="00A81099"/>
    <w:rsid w:val="00A8150B"/>
    <w:rsid w:val="00A81D6C"/>
    <w:rsid w:val="00A82411"/>
    <w:rsid w:val="00A83AC2"/>
    <w:rsid w:val="00A843FE"/>
    <w:rsid w:val="00A84E14"/>
    <w:rsid w:val="00A86C68"/>
    <w:rsid w:val="00A94241"/>
    <w:rsid w:val="00A94FA7"/>
    <w:rsid w:val="00A95965"/>
    <w:rsid w:val="00AA2116"/>
    <w:rsid w:val="00AA237E"/>
    <w:rsid w:val="00AA24F8"/>
    <w:rsid w:val="00AB3242"/>
    <w:rsid w:val="00AB632E"/>
    <w:rsid w:val="00AB66C9"/>
    <w:rsid w:val="00AB77A3"/>
    <w:rsid w:val="00AB7A56"/>
    <w:rsid w:val="00AC0F90"/>
    <w:rsid w:val="00AC3F51"/>
    <w:rsid w:val="00AC4273"/>
    <w:rsid w:val="00AC4540"/>
    <w:rsid w:val="00AC4784"/>
    <w:rsid w:val="00AC6E92"/>
    <w:rsid w:val="00AD3E8A"/>
    <w:rsid w:val="00AD4D3C"/>
    <w:rsid w:val="00AD70E5"/>
    <w:rsid w:val="00AE36A1"/>
    <w:rsid w:val="00AE4CB2"/>
    <w:rsid w:val="00AE4CC3"/>
    <w:rsid w:val="00AE5A7A"/>
    <w:rsid w:val="00AF1C92"/>
    <w:rsid w:val="00AF43F9"/>
    <w:rsid w:val="00AF5144"/>
    <w:rsid w:val="00AF7261"/>
    <w:rsid w:val="00B03B6B"/>
    <w:rsid w:val="00B05A33"/>
    <w:rsid w:val="00B0682F"/>
    <w:rsid w:val="00B06F5D"/>
    <w:rsid w:val="00B10B61"/>
    <w:rsid w:val="00B10CC7"/>
    <w:rsid w:val="00B11C70"/>
    <w:rsid w:val="00B1286C"/>
    <w:rsid w:val="00B13E02"/>
    <w:rsid w:val="00B14CE8"/>
    <w:rsid w:val="00B15F80"/>
    <w:rsid w:val="00B1621A"/>
    <w:rsid w:val="00B16888"/>
    <w:rsid w:val="00B16EEB"/>
    <w:rsid w:val="00B17833"/>
    <w:rsid w:val="00B20997"/>
    <w:rsid w:val="00B21308"/>
    <w:rsid w:val="00B21DD3"/>
    <w:rsid w:val="00B23007"/>
    <w:rsid w:val="00B24C49"/>
    <w:rsid w:val="00B304C6"/>
    <w:rsid w:val="00B33994"/>
    <w:rsid w:val="00B339EE"/>
    <w:rsid w:val="00B3752D"/>
    <w:rsid w:val="00B417FD"/>
    <w:rsid w:val="00B45E07"/>
    <w:rsid w:val="00B5271A"/>
    <w:rsid w:val="00B53D5F"/>
    <w:rsid w:val="00B541E9"/>
    <w:rsid w:val="00B55A0C"/>
    <w:rsid w:val="00B55BCA"/>
    <w:rsid w:val="00B56BAF"/>
    <w:rsid w:val="00B64DEC"/>
    <w:rsid w:val="00B656A8"/>
    <w:rsid w:val="00B65CE6"/>
    <w:rsid w:val="00B701A0"/>
    <w:rsid w:val="00B70227"/>
    <w:rsid w:val="00B70AEA"/>
    <w:rsid w:val="00B7235B"/>
    <w:rsid w:val="00B73CC9"/>
    <w:rsid w:val="00B800F7"/>
    <w:rsid w:val="00B80DC9"/>
    <w:rsid w:val="00B81A21"/>
    <w:rsid w:val="00B81C48"/>
    <w:rsid w:val="00B92896"/>
    <w:rsid w:val="00B94303"/>
    <w:rsid w:val="00B9449D"/>
    <w:rsid w:val="00B95A51"/>
    <w:rsid w:val="00B95E03"/>
    <w:rsid w:val="00B96551"/>
    <w:rsid w:val="00BA0AF5"/>
    <w:rsid w:val="00BA348A"/>
    <w:rsid w:val="00BA4E97"/>
    <w:rsid w:val="00BA5C71"/>
    <w:rsid w:val="00BB0624"/>
    <w:rsid w:val="00BB28D0"/>
    <w:rsid w:val="00BB3553"/>
    <w:rsid w:val="00BB5D8C"/>
    <w:rsid w:val="00BB6004"/>
    <w:rsid w:val="00BC072D"/>
    <w:rsid w:val="00BC0A3E"/>
    <w:rsid w:val="00BC1AE7"/>
    <w:rsid w:val="00BC7984"/>
    <w:rsid w:val="00BD573D"/>
    <w:rsid w:val="00BD5F16"/>
    <w:rsid w:val="00BE654D"/>
    <w:rsid w:val="00BE7552"/>
    <w:rsid w:val="00BF023B"/>
    <w:rsid w:val="00BF175D"/>
    <w:rsid w:val="00BF2CB8"/>
    <w:rsid w:val="00BF38E6"/>
    <w:rsid w:val="00BF3B87"/>
    <w:rsid w:val="00C01B85"/>
    <w:rsid w:val="00C035ED"/>
    <w:rsid w:val="00C06537"/>
    <w:rsid w:val="00C0699C"/>
    <w:rsid w:val="00C12816"/>
    <w:rsid w:val="00C16B18"/>
    <w:rsid w:val="00C16CD9"/>
    <w:rsid w:val="00C21272"/>
    <w:rsid w:val="00C2151E"/>
    <w:rsid w:val="00C24690"/>
    <w:rsid w:val="00C249FB"/>
    <w:rsid w:val="00C30012"/>
    <w:rsid w:val="00C306D8"/>
    <w:rsid w:val="00C30EBB"/>
    <w:rsid w:val="00C315AF"/>
    <w:rsid w:val="00C31DD0"/>
    <w:rsid w:val="00C31FC0"/>
    <w:rsid w:val="00C426AA"/>
    <w:rsid w:val="00C42BA0"/>
    <w:rsid w:val="00C4313D"/>
    <w:rsid w:val="00C47A2B"/>
    <w:rsid w:val="00C50214"/>
    <w:rsid w:val="00C55D0C"/>
    <w:rsid w:val="00C62EDE"/>
    <w:rsid w:val="00C64D6A"/>
    <w:rsid w:val="00C64EF3"/>
    <w:rsid w:val="00C71499"/>
    <w:rsid w:val="00C72D6C"/>
    <w:rsid w:val="00C74F24"/>
    <w:rsid w:val="00C846A3"/>
    <w:rsid w:val="00C848C8"/>
    <w:rsid w:val="00C8649D"/>
    <w:rsid w:val="00C878ED"/>
    <w:rsid w:val="00C92B8F"/>
    <w:rsid w:val="00C9309D"/>
    <w:rsid w:val="00C93FEF"/>
    <w:rsid w:val="00C94E46"/>
    <w:rsid w:val="00C95C41"/>
    <w:rsid w:val="00CA02F0"/>
    <w:rsid w:val="00CA0B92"/>
    <w:rsid w:val="00CA0FDF"/>
    <w:rsid w:val="00CA1C95"/>
    <w:rsid w:val="00CA2A01"/>
    <w:rsid w:val="00CA2E5B"/>
    <w:rsid w:val="00CA3C28"/>
    <w:rsid w:val="00CA6279"/>
    <w:rsid w:val="00CB0AC0"/>
    <w:rsid w:val="00CC23A1"/>
    <w:rsid w:val="00CC4DC3"/>
    <w:rsid w:val="00CD0C50"/>
    <w:rsid w:val="00CD11AF"/>
    <w:rsid w:val="00CD49B4"/>
    <w:rsid w:val="00CD581C"/>
    <w:rsid w:val="00CD6DE4"/>
    <w:rsid w:val="00CE1372"/>
    <w:rsid w:val="00CE1A88"/>
    <w:rsid w:val="00CE4234"/>
    <w:rsid w:val="00CE5D4B"/>
    <w:rsid w:val="00CE62D5"/>
    <w:rsid w:val="00CF088B"/>
    <w:rsid w:val="00CF10CA"/>
    <w:rsid w:val="00CF1BE5"/>
    <w:rsid w:val="00CF6F1B"/>
    <w:rsid w:val="00CF752C"/>
    <w:rsid w:val="00D00E03"/>
    <w:rsid w:val="00D0168A"/>
    <w:rsid w:val="00D03C67"/>
    <w:rsid w:val="00D04ADF"/>
    <w:rsid w:val="00D100A2"/>
    <w:rsid w:val="00D10267"/>
    <w:rsid w:val="00D1160F"/>
    <w:rsid w:val="00D131DD"/>
    <w:rsid w:val="00D136D9"/>
    <w:rsid w:val="00D138AA"/>
    <w:rsid w:val="00D1712F"/>
    <w:rsid w:val="00D2189E"/>
    <w:rsid w:val="00D21BA2"/>
    <w:rsid w:val="00D2226C"/>
    <w:rsid w:val="00D25A82"/>
    <w:rsid w:val="00D30514"/>
    <w:rsid w:val="00D3302B"/>
    <w:rsid w:val="00D340D9"/>
    <w:rsid w:val="00D342E5"/>
    <w:rsid w:val="00D371FA"/>
    <w:rsid w:val="00D40793"/>
    <w:rsid w:val="00D44085"/>
    <w:rsid w:val="00D44C2B"/>
    <w:rsid w:val="00D455E1"/>
    <w:rsid w:val="00D457B8"/>
    <w:rsid w:val="00D51142"/>
    <w:rsid w:val="00D5283A"/>
    <w:rsid w:val="00D556DC"/>
    <w:rsid w:val="00D57F7E"/>
    <w:rsid w:val="00D628E6"/>
    <w:rsid w:val="00D6386F"/>
    <w:rsid w:val="00D642AA"/>
    <w:rsid w:val="00D64B11"/>
    <w:rsid w:val="00D6772D"/>
    <w:rsid w:val="00D73E19"/>
    <w:rsid w:val="00D77D18"/>
    <w:rsid w:val="00D842B4"/>
    <w:rsid w:val="00D86225"/>
    <w:rsid w:val="00D87F33"/>
    <w:rsid w:val="00D90186"/>
    <w:rsid w:val="00D90462"/>
    <w:rsid w:val="00D90B40"/>
    <w:rsid w:val="00D95B00"/>
    <w:rsid w:val="00D97AF9"/>
    <w:rsid w:val="00DA12F2"/>
    <w:rsid w:val="00DA3C3E"/>
    <w:rsid w:val="00DA4371"/>
    <w:rsid w:val="00DB0AA2"/>
    <w:rsid w:val="00DB1D37"/>
    <w:rsid w:val="00DB6063"/>
    <w:rsid w:val="00DB6EAE"/>
    <w:rsid w:val="00DB7325"/>
    <w:rsid w:val="00DC2491"/>
    <w:rsid w:val="00DC33A2"/>
    <w:rsid w:val="00DC377C"/>
    <w:rsid w:val="00DC52BD"/>
    <w:rsid w:val="00DC778F"/>
    <w:rsid w:val="00DD470C"/>
    <w:rsid w:val="00DD495E"/>
    <w:rsid w:val="00DD7A26"/>
    <w:rsid w:val="00DE1D07"/>
    <w:rsid w:val="00DE419A"/>
    <w:rsid w:val="00DE5271"/>
    <w:rsid w:val="00DE7874"/>
    <w:rsid w:val="00DF1015"/>
    <w:rsid w:val="00DF4DEA"/>
    <w:rsid w:val="00DF7FD6"/>
    <w:rsid w:val="00E0180F"/>
    <w:rsid w:val="00E03399"/>
    <w:rsid w:val="00E04AA3"/>
    <w:rsid w:val="00E04D43"/>
    <w:rsid w:val="00E07A30"/>
    <w:rsid w:val="00E136D5"/>
    <w:rsid w:val="00E16162"/>
    <w:rsid w:val="00E20AF1"/>
    <w:rsid w:val="00E2176E"/>
    <w:rsid w:val="00E25CA6"/>
    <w:rsid w:val="00E27EB2"/>
    <w:rsid w:val="00E3066B"/>
    <w:rsid w:val="00E31287"/>
    <w:rsid w:val="00E330DE"/>
    <w:rsid w:val="00E40CE0"/>
    <w:rsid w:val="00E42DA8"/>
    <w:rsid w:val="00E43884"/>
    <w:rsid w:val="00E452BA"/>
    <w:rsid w:val="00E51CDE"/>
    <w:rsid w:val="00E521BE"/>
    <w:rsid w:val="00E55BAF"/>
    <w:rsid w:val="00E55DAA"/>
    <w:rsid w:val="00E56E42"/>
    <w:rsid w:val="00E6002D"/>
    <w:rsid w:val="00E71890"/>
    <w:rsid w:val="00E72B76"/>
    <w:rsid w:val="00E74DD1"/>
    <w:rsid w:val="00E7775C"/>
    <w:rsid w:val="00E81D1F"/>
    <w:rsid w:val="00E8339D"/>
    <w:rsid w:val="00E86675"/>
    <w:rsid w:val="00E871D7"/>
    <w:rsid w:val="00E90431"/>
    <w:rsid w:val="00E91586"/>
    <w:rsid w:val="00E93E9C"/>
    <w:rsid w:val="00E95BE6"/>
    <w:rsid w:val="00EA1EE8"/>
    <w:rsid w:val="00EA3283"/>
    <w:rsid w:val="00EA719F"/>
    <w:rsid w:val="00EB0C12"/>
    <w:rsid w:val="00EB4A40"/>
    <w:rsid w:val="00EB6104"/>
    <w:rsid w:val="00EB7BAA"/>
    <w:rsid w:val="00EC0B47"/>
    <w:rsid w:val="00EC1A40"/>
    <w:rsid w:val="00ED5B5D"/>
    <w:rsid w:val="00ED6BF8"/>
    <w:rsid w:val="00ED720E"/>
    <w:rsid w:val="00EE0A8C"/>
    <w:rsid w:val="00EE3876"/>
    <w:rsid w:val="00EE3F08"/>
    <w:rsid w:val="00EE42A0"/>
    <w:rsid w:val="00EE5112"/>
    <w:rsid w:val="00EE7E50"/>
    <w:rsid w:val="00EF398C"/>
    <w:rsid w:val="00EF457B"/>
    <w:rsid w:val="00EF7B35"/>
    <w:rsid w:val="00F024E9"/>
    <w:rsid w:val="00F03CFC"/>
    <w:rsid w:val="00F046A8"/>
    <w:rsid w:val="00F05B9A"/>
    <w:rsid w:val="00F05ED8"/>
    <w:rsid w:val="00F11975"/>
    <w:rsid w:val="00F12D5C"/>
    <w:rsid w:val="00F1340A"/>
    <w:rsid w:val="00F2214A"/>
    <w:rsid w:val="00F228BE"/>
    <w:rsid w:val="00F309FE"/>
    <w:rsid w:val="00F33B8F"/>
    <w:rsid w:val="00F355A4"/>
    <w:rsid w:val="00F426DC"/>
    <w:rsid w:val="00F4450D"/>
    <w:rsid w:val="00F5080E"/>
    <w:rsid w:val="00F53B9B"/>
    <w:rsid w:val="00F54078"/>
    <w:rsid w:val="00F563AC"/>
    <w:rsid w:val="00F630E0"/>
    <w:rsid w:val="00F6749D"/>
    <w:rsid w:val="00F72485"/>
    <w:rsid w:val="00F73E20"/>
    <w:rsid w:val="00F7719A"/>
    <w:rsid w:val="00F80A6C"/>
    <w:rsid w:val="00F80AA3"/>
    <w:rsid w:val="00F84716"/>
    <w:rsid w:val="00F86D51"/>
    <w:rsid w:val="00F9295E"/>
    <w:rsid w:val="00F92C29"/>
    <w:rsid w:val="00F94A4C"/>
    <w:rsid w:val="00FA05DE"/>
    <w:rsid w:val="00FA06E9"/>
    <w:rsid w:val="00FA10DC"/>
    <w:rsid w:val="00FA56EA"/>
    <w:rsid w:val="00FA6C62"/>
    <w:rsid w:val="00FA6CEE"/>
    <w:rsid w:val="00FA7EDF"/>
    <w:rsid w:val="00FB4C1D"/>
    <w:rsid w:val="00FB738E"/>
    <w:rsid w:val="00FC02F7"/>
    <w:rsid w:val="00FC676A"/>
    <w:rsid w:val="00FD1076"/>
    <w:rsid w:val="00FD23AD"/>
    <w:rsid w:val="00FD2B5A"/>
    <w:rsid w:val="00FD33A4"/>
    <w:rsid w:val="00FD67DF"/>
    <w:rsid w:val="00FD7E09"/>
    <w:rsid w:val="00FE1226"/>
    <w:rsid w:val="00FE13F5"/>
    <w:rsid w:val="00FE25F1"/>
    <w:rsid w:val="00FE584F"/>
    <w:rsid w:val="00FE6CBF"/>
    <w:rsid w:val="00FE71F1"/>
    <w:rsid w:val="00FE74EA"/>
    <w:rsid w:val="00FF17A4"/>
    <w:rsid w:val="00FF2C89"/>
    <w:rsid w:val="00FF43F6"/>
    <w:rsid w:val="00FF53D9"/>
    <w:rsid w:val="01597A48"/>
    <w:rsid w:val="033102B8"/>
    <w:rsid w:val="0B042BC7"/>
    <w:rsid w:val="10755B71"/>
    <w:rsid w:val="1231536C"/>
    <w:rsid w:val="129A45AD"/>
    <w:rsid w:val="131E3B0C"/>
    <w:rsid w:val="13D87E8D"/>
    <w:rsid w:val="14AA7F94"/>
    <w:rsid w:val="14FD41EC"/>
    <w:rsid w:val="15816742"/>
    <w:rsid w:val="174D5639"/>
    <w:rsid w:val="174E14C0"/>
    <w:rsid w:val="17ED72ED"/>
    <w:rsid w:val="1B3E247A"/>
    <w:rsid w:val="1C314A07"/>
    <w:rsid w:val="1C996483"/>
    <w:rsid w:val="1CE50396"/>
    <w:rsid w:val="1ECE4890"/>
    <w:rsid w:val="211015F9"/>
    <w:rsid w:val="21185758"/>
    <w:rsid w:val="22620BBD"/>
    <w:rsid w:val="227B087D"/>
    <w:rsid w:val="23BC619C"/>
    <w:rsid w:val="24692CEB"/>
    <w:rsid w:val="24E3296B"/>
    <w:rsid w:val="25663EA8"/>
    <w:rsid w:val="26011BD7"/>
    <w:rsid w:val="287F7254"/>
    <w:rsid w:val="29514B40"/>
    <w:rsid w:val="2A9F23F0"/>
    <w:rsid w:val="2AD16605"/>
    <w:rsid w:val="2B5074D3"/>
    <w:rsid w:val="2B706E60"/>
    <w:rsid w:val="2C0C18D6"/>
    <w:rsid w:val="2E5B0CC0"/>
    <w:rsid w:val="2FFE5881"/>
    <w:rsid w:val="31360064"/>
    <w:rsid w:val="324C362A"/>
    <w:rsid w:val="36344012"/>
    <w:rsid w:val="36FB41F3"/>
    <w:rsid w:val="3753377C"/>
    <w:rsid w:val="3A1A0460"/>
    <w:rsid w:val="3C2E2FF5"/>
    <w:rsid w:val="3CA4210A"/>
    <w:rsid w:val="3DE20F27"/>
    <w:rsid w:val="40335A09"/>
    <w:rsid w:val="41D7662D"/>
    <w:rsid w:val="43D04CCE"/>
    <w:rsid w:val="449756DC"/>
    <w:rsid w:val="482F6EE4"/>
    <w:rsid w:val="48542288"/>
    <w:rsid w:val="4B22428A"/>
    <w:rsid w:val="51F25703"/>
    <w:rsid w:val="5331080E"/>
    <w:rsid w:val="55680AED"/>
    <w:rsid w:val="55E654CE"/>
    <w:rsid w:val="56224C5E"/>
    <w:rsid w:val="598C4E06"/>
    <w:rsid w:val="59AB5753"/>
    <w:rsid w:val="5AA9017E"/>
    <w:rsid w:val="60270590"/>
    <w:rsid w:val="62EE0A00"/>
    <w:rsid w:val="65A7019D"/>
    <w:rsid w:val="670D08CE"/>
    <w:rsid w:val="67604DFB"/>
    <w:rsid w:val="6E004704"/>
    <w:rsid w:val="6E2E0EA0"/>
    <w:rsid w:val="6E840C0C"/>
    <w:rsid w:val="70574222"/>
    <w:rsid w:val="7127177E"/>
    <w:rsid w:val="748F5133"/>
    <w:rsid w:val="78503FD3"/>
    <w:rsid w:val="78DD4827"/>
    <w:rsid w:val="791D1CCC"/>
    <w:rsid w:val="7A212727"/>
    <w:rsid w:val="7A630BF3"/>
    <w:rsid w:val="7B1F71B8"/>
    <w:rsid w:val="7BEF4950"/>
    <w:rsid w:val="7C417CC3"/>
    <w:rsid w:val="7DEA3493"/>
    <w:rsid w:val="7E4C6C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4"/>
    <w:qFormat/>
    <w:uiPriority w:val="0"/>
    <w:pPr>
      <w:widowControl/>
      <w:spacing w:before="284" w:line="360" w:lineRule="auto"/>
      <w:jc w:val="center"/>
      <w:outlineLvl w:val="0"/>
    </w:pPr>
    <w:rPr>
      <w:rFonts w:ascii="宋体" w:hAnsi="宋体"/>
      <w:b/>
      <w:bCs/>
      <w:kern w:val="36"/>
      <w:sz w:val="48"/>
      <w:szCs w:val="48"/>
    </w:rPr>
  </w:style>
  <w:style w:type="paragraph" w:styleId="4">
    <w:name w:val="heading 2"/>
    <w:basedOn w:val="1"/>
    <w:next w:val="5"/>
    <w:link w:val="162"/>
    <w:qFormat/>
    <w:uiPriority w:val="0"/>
    <w:pPr>
      <w:keepNext/>
      <w:adjustRightInd w:val="0"/>
      <w:snapToGrid w:val="0"/>
      <w:spacing w:line="360" w:lineRule="auto"/>
      <w:outlineLvl w:val="1"/>
    </w:pPr>
    <w:rPr>
      <w:rFonts w:ascii="宋体" w:hAnsi="宋体"/>
      <w:b/>
      <w:bCs/>
      <w:kern w:val="0"/>
      <w:sz w:val="24"/>
      <w:szCs w:val="28"/>
    </w:rPr>
  </w:style>
  <w:style w:type="paragraph" w:styleId="6">
    <w:name w:val="heading 3"/>
    <w:basedOn w:val="1"/>
    <w:next w:val="1"/>
    <w:link w:val="127"/>
    <w:qFormat/>
    <w:uiPriority w:val="0"/>
    <w:pPr>
      <w:keepNext/>
      <w:keepLines/>
      <w:spacing w:before="260" w:after="260" w:line="413" w:lineRule="auto"/>
      <w:outlineLvl w:val="2"/>
    </w:pPr>
    <w:rPr>
      <w:b/>
      <w:bCs/>
      <w:sz w:val="32"/>
      <w:szCs w:val="32"/>
    </w:rPr>
  </w:style>
  <w:style w:type="paragraph" w:styleId="7">
    <w:name w:val="heading 4"/>
    <w:basedOn w:val="1"/>
    <w:next w:val="1"/>
    <w:link w:val="197"/>
    <w:qFormat/>
    <w:uiPriority w:val="0"/>
    <w:pPr>
      <w:keepNext/>
      <w:keepLines/>
      <w:tabs>
        <w:tab w:val="right" w:pos="7974"/>
      </w:tabs>
      <w:spacing w:before="280" w:after="290" w:line="372" w:lineRule="auto"/>
      <w:outlineLvl w:val="3"/>
    </w:pPr>
    <w:rPr>
      <w:bCs/>
      <w:sz w:val="28"/>
      <w:szCs w:val="28"/>
    </w:rPr>
  </w:style>
  <w:style w:type="paragraph" w:styleId="8">
    <w:name w:val="heading 5"/>
    <w:basedOn w:val="1"/>
    <w:next w:val="1"/>
    <w:link w:val="128"/>
    <w:qFormat/>
    <w:uiPriority w:val="0"/>
    <w:pPr>
      <w:keepNext/>
      <w:keepLines/>
      <w:tabs>
        <w:tab w:val="right" w:pos="7974"/>
      </w:tabs>
      <w:spacing w:before="280" w:after="290" w:line="372" w:lineRule="auto"/>
      <w:outlineLvl w:val="4"/>
    </w:pPr>
    <w:rPr>
      <w:bCs/>
      <w:sz w:val="28"/>
      <w:szCs w:val="28"/>
    </w:rPr>
  </w:style>
  <w:style w:type="paragraph" w:styleId="9">
    <w:name w:val="heading 6"/>
    <w:basedOn w:val="1"/>
    <w:next w:val="1"/>
    <w:link w:val="193"/>
    <w:qFormat/>
    <w:uiPriority w:val="0"/>
    <w:pPr>
      <w:keepNext/>
      <w:keepLines/>
      <w:tabs>
        <w:tab w:val="right" w:pos="7974"/>
      </w:tabs>
      <w:spacing w:before="240" w:after="64" w:line="317" w:lineRule="auto"/>
      <w:outlineLvl w:val="5"/>
    </w:pPr>
    <w:rPr>
      <w:bCs/>
      <w:sz w:val="24"/>
    </w:rPr>
  </w:style>
  <w:style w:type="paragraph" w:styleId="10">
    <w:name w:val="heading 7"/>
    <w:basedOn w:val="1"/>
    <w:next w:val="1"/>
    <w:link w:val="192"/>
    <w:qFormat/>
    <w:uiPriority w:val="0"/>
    <w:pPr>
      <w:keepNext/>
      <w:keepLines/>
      <w:tabs>
        <w:tab w:val="left" w:pos="1296"/>
      </w:tabs>
      <w:spacing w:before="240" w:after="64" w:line="320" w:lineRule="auto"/>
      <w:ind w:left="1296" w:hanging="1296"/>
      <w:jc w:val="left"/>
      <w:outlineLvl w:val="6"/>
    </w:pPr>
    <w:rPr>
      <w:rFonts w:eastAsia="仿宋"/>
      <w:b/>
      <w:bCs/>
      <w:kern w:val="0"/>
      <w:sz w:val="24"/>
    </w:rPr>
  </w:style>
  <w:style w:type="paragraph" w:styleId="11">
    <w:name w:val="heading 8"/>
    <w:basedOn w:val="1"/>
    <w:next w:val="1"/>
    <w:link w:val="188"/>
    <w:qFormat/>
    <w:uiPriority w:val="0"/>
    <w:pPr>
      <w:keepNext/>
      <w:keepLines/>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184"/>
    <w:qFormat/>
    <w:uiPriority w:val="0"/>
    <w:pPr>
      <w:keepNext/>
      <w:keepLines/>
      <w:tabs>
        <w:tab w:val="left" w:pos="1584"/>
      </w:tabs>
      <w:spacing w:before="240" w:after="64" w:line="320" w:lineRule="auto"/>
      <w:ind w:left="1584" w:hanging="1584"/>
      <w:jc w:val="left"/>
      <w:outlineLvl w:val="8"/>
    </w:pPr>
    <w:rPr>
      <w:rFonts w:ascii="Arial" w:hAnsi="Arial" w:eastAsia="黑体"/>
      <w:kern w:val="0"/>
      <w:sz w:val="20"/>
      <w:szCs w:val="21"/>
    </w:rPr>
  </w:style>
  <w:style w:type="character" w:default="1" w:styleId="59">
    <w:name w:val="Default Paragraph Font"/>
    <w:unhideWhenUsed/>
    <w:qFormat/>
    <w:uiPriority w:val="1"/>
  </w:style>
  <w:style w:type="table" w:default="1" w:styleId="57">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 w:type="paragraph" w:styleId="5">
    <w:name w:val="Normal Indent"/>
    <w:basedOn w:val="1"/>
    <w:link w:val="186"/>
    <w:qFormat/>
    <w:uiPriority w:val="0"/>
    <w:pPr>
      <w:spacing w:line="276" w:lineRule="auto"/>
      <w:ind w:firstLine="420" w:firstLineChars="200"/>
      <w:jc w:val="left"/>
    </w:pPr>
    <w:rPr>
      <w:kern w:val="0"/>
      <w:sz w:val="20"/>
    </w:rPr>
  </w:style>
  <w:style w:type="paragraph" w:styleId="13">
    <w:name w:val="List 3"/>
    <w:basedOn w:val="1"/>
    <w:uiPriority w:val="0"/>
    <w:pPr>
      <w:spacing w:line="276" w:lineRule="auto"/>
      <w:ind w:left="100" w:leftChars="400" w:hanging="200" w:hangingChars="200"/>
      <w:jc w:val="left"/>
    </w:pPr>
    <w:rPr>
      <w:rFonts w:eastAsia="仿宋"/>
      <w:sz w:val="24"/>
    </w:rPr>
  </w:style>
  <w:style w:type="paragraph" w:styleId="14">
    <w:name w:val="toc 7"/>
    <w:basedOn w:val="1"/>
    <w:next w:val="1"/>
    <w:unhideWhenUsed/>
    <w:qFormat/>
    <w:uiPriority w:val="39"/>
    <w:pPr>
      <w:spacing w:line="276" w:lineRule="auto"/>
      <w:ind w:left="1260"/>
      <w:jc w:val="left"/>
    </w:pPr>
    <w:rPr>
      <w:rFonts w:ascii="Calibri" w:hAnsi="Calibri" w:eastAsia="仿宋" w:cs="Calibri"/>
      <w:sz w:val="18"/>
      <w:szCs w:val="18"/>
    </w:rPr>
  </w:style>
  <w:style w:type="paragraph" w:styleId="15">
    <w:name w:val="index 8"/>
    <w:basedOn w:val="1"/>
    <w:next w:val="1"/>
    <w:qFormat/>
    <w:uiPriority w:val="0"/>
    <w:pPr>
      <w:ind w:left="1680" w:hanging="210"/>
      <w:jc w:val="left"/>
    </w:pPr>
    <w:rPr>
      <w:sz w:val="18"/>
      <w:szCs w:val="18"/>
    </w:rPr>
  </w:style>
  <w:style w:type="paragraph" w:styleId="16">
    <w:name w:val="caption"/>
    <w:basedOn w:val="1"/>
    <w:next w:val="1"/>
    <w:qFormat/>
    <w:uiPriority w:val="0"/>
    <w:pPr>
      <w:spacing w:line="276" w:lineRule="auto"/>
      <w:jc w:val="left"/>
    </w:pPr>
    <w:rPr>
      <w:rFonts w:ascii="Arial" w:hAnsi="Arial" w:eastAsia="黑体" w:cs="Arial"/>
      <w:sz w:val="20"/>
      <w:szCs w:val="20"/>
    </w:rPr>
  </w:style>
  <w:style w:type="paragraph" w:styleId="17">
    <w:name w:val="index 5"/>
    <w:basedOn w:val="1"/>
    <w:next w:val="1"/>
    <w:qFormat/>
    <w:uiPriority w:val="0"/>
    <w:pPr>
      <w:ind w:left="1050" w:hanging="210"/>
      <w:jc w:val="left"/>
    </w:pPr>
    <w:rPr>
      <w:sz w:val="18"/>
      <w:szCs w:val="18"/>
    </w:rPr>
  </w:style>
  <w:style w:type="paragraph" w:styleId="18">
    <w:name w:val="Document Map"/>
    <w:basedOn w:val="1"/>
    <w:link w:val="140"/>
    <w:qFormat/>
    <w:uiPriority w:val="0"/>
    <w:pPr>
      <w:shd w:val="clear" w:color="auto" w:fill="000080"/>
    </w:pPr>
  </w:style>
  <w:style w:type="paragraph" w:styleId="19">
    <w:name w:val="annotation text"/>
    <w:basedOn w:val="1"/>
    <w:link w:val="157"/>
    <w:qFormat/>
    <w:uiPriority w:val="99"/>
    <w:pPr>
      <w:jc w:val="left"/>
    </w:pPr>
  </w:style>
  <w:style w:type="paragraph" w:styleId="20">
    <w:name w:val="index 6"/>
    <w:basedOn w:val="1"/>
    <w:next w:val="1"/>
    <w:qFormat/>
    <w:uiPriority w:val="0"/>
    <w:pPr>
      <w:ind w:left="1260" w:hanging="210"/>
      <w:jc w:val="left"/>
    </w:pPr>
    <w:rPr>
      <w:sz w:val="18"/>
      <w:szCs w:val="18"/>
    </w:rPr>
  </w:style>
  <w:style w:type="paragraph" w:styleId="21">
    <w:name w:val="Salutation"/>
    <w:basedOn w:val="1"/>
    <w:next w:val="1"/>
    <w:link w:val="121"/>
    <w:qFormat/>
    <w:uiPriority w:val="0"/>
    <w:pPr>
      <w:spacing w:line="276" w:lineRule="auto"/>
      <w:jc w:val="left"/>
    </w:pPr>
    <w:rPr>
      <w:kern w:val="0"/>
      <w:sz w:val="32"/>
    </w:rPr>
  </w:style>
  <w:style w:type="paragraph" w:styleId="22">
    <w:name w:val="Body Text 3"/>
    <w:basedOn w:val="1"/>
    <w:link w:val="165"/>
    <w:qFormat/>
    <w:uiPriority w:val="0"/>
    <w:pPr>
      <w:spacing w:after="120" w:line="276" w:lineRule="auto"/>
      <w:jc w:val="left"/>
    </w:pPr>
    <w:rPr>
      <w:kern w:val="0"/>
      <w:sz w:val="16"/>
      <w:szCs w:val="16"/>
    </w:rPr>
  </w:style>
  <w:style w:type="paragraph" w:styleId="23">
    <w:name w:val="Body Text"/>
    <w:basedOn w:val="1"/>
    <w:link w:val="148"/>
    <w:qFormat/>
    <w:uiPriority w:val="99"/>
    <w:pPr>
      <w:spacing w:after="120"/>
    </w:pPr>
  </w:style>
  <w:style w:type="paragraph" w:styleId="24">
    <w:name w:val="Body Text Indent"/>
    <w:basedOn w:val="1"/>
    <w:link w:val="185"/>
    <w:qFormat/>
    <w:uiPriority w:val="0"/>
    <w:pPr>
      <w:ind w:firstLine="560" w:firstLineChars="200"/>
    </w:pPr>
    <w:rPr>
      <w:sz w:val="28"/>
    </w:rPr>
  </w:style>
  <w:style w:type="paragraph" w:styleId="25">
    <w:name w:val="List 2"/>
    <w:basedOn w:val="1"/>
    <w:qFormat/>
    <w:uiPriority w:val="0"/>
    <w:pPr>
      <w:spacing w:line="360" w:lineRule="auto"/>
      <w:ind w:left="100" w:leftChars="200" w:hanging="200" w:hangingChars="200"/>
    </w:pPr>
    <w:rPr>
      <w:rFonts w:ascii="Tahoma" w:hAnsi="Tahoma"/>
      <w:sz w:val="24"/>
    </w:rPr>
  </w:style>
  <w:style w:type="paragraph" w:styleId="26">
    <w:name w:val="index 4"/>
    <w:basedOn w:val="1"/>
    <w:next w:val="1"/>
    <w:qFormat/>
    <w:uiPriority w:val="0"/>
    <w:pPr>
      <w:ind w:left="840" w:hanging="210"/>
      <w:jc w:val="left"/>
    </w:pPr>
    <w:rPr>
      <w:sz w:val="18"/>
      <w:szCs w:val="18"/>
    </w:rPr>
  </w:style>
  <w:style w:type="paragraph" w:styleId="27">
    <w:name w:val="toc 5"/>
    <w:basedOn w:val="1"/>
    <w:next w:val="1"/>
    <w:unhideWhenUsed/>
    <w:qFormat/>
    <w:uiPriority w:val="39"/>
    <w:pPr>
      <w:spacing w:line="276" w:lineRule="auto"/>
      <w:ind w:left="840"/>
      <w:jc w:val="left"/>
    </w:pPr>
    <w:rPr>
      <w:rFonts w:ascii="Calibri" w:hAnsi="Calibri" w:eastAsia="仿宋" w:cs="Calibri"/>
      <w:sz w:val="18"/>
      <w:szCs w:val="18"/>
    </w:rPr>
  </w:style>
  <w:style w:type="paragraph" w:styleId="28">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29">
    <w:name w:val="Plain Text"/>
    <w:basedOn w:val="1"/>
    <w:link w:val="117"/>
    <w:qFormat/>
    <w:uiPriority w:val="0"/>
    <w:rPr>
      <w:rFonts w:ascii="宋体" w:hAnsi="Courier New"/>
      <w:szCs w:val="20"/>
    </w:rPr>
  </w:style>
  <w:style w:type="paragraph" w:styleId="30">
    <w:name w:val="toc 8"/>
    <w:basedOn w:val="1"/>
    <w:next w:val="1"/>
    <w:unhideWhenUsed/>
    <w:qFormat/>
    <w:uiPriority w:val="39"/>
    <w:pPr>
      <w:spacing w:line="276" w:lineRule="auto"/>
      <w:ind w:left="1470"/>
      <w:jc w:val="left"/>
    </w:pPr>
    <w:rPr>
      <w:rFonts w:ascii="Calibri" w:hAnsi="Calibri" w:eastAsia="仿宋" w:cs="Calibri"/>
      <w:sz w:val="18"/>
      <w:szCs w:val="18"/>
    </w:rPr>
  </w:style>
  <w:style w:type="paragraph" w:styleId="31">
    <w:name w:val="index 3"/>
    <w:basedOn w:val="1"/>
    <w:next w:val="1"/>
    <w:qFormat/>
    <w:uiPriority w:val="0"/>
    <w:pPr>
      <w:ind w:left="630" w:hanging="210"/>
      <w:jc w:val="left"/>
    </w:pPr>
    <w:rPr>
      <w:sz w:val="18"/>
      <w:szCs w:val="18"/>
    </w:rPr>
  </w:style>
  <w:style w:type="paragraph" w:styleId="32">
    <w:name w:val="Date"/>
    <w:basedOn w:val="1"/>
    <w:next w:val="1"/>
    <w:link w:val="169"/>
    <w:qFormat/>
    <w:uiPriority w:val="0"/>
    <w:pPr>
      <w:ind w:left="100" w:leftChars="2500"/>
    </w:pPr>
  </w:style>
  <w:style w:type="paragraph" w:styleId="33">
    <w:name w:val="Body Text Indent 2"/>
    <w:basedOn w:val="1"/>
    <w:link w:val="143"/>
    <w:qFormat/>
    <w:uiPriority w:val="0"/>
    <w:pPr>
      <w:adjustRightInd w:val="0"/>
      <w:snapToGrid w:val="0"/>
      <w:spacing w:line="360" w:lineRule="auto"/>
      <w:ind w:firstLine="482" w:firstLineChars="200"/>
    </w:pPr>
    <w:rPr>
      <w:rFonts w:ascii="宋体" w:hAnsi="宋体"/>
      <w:b/>
      <w:bCs/>
      <w:kern w:val="0"/>
      <w:sz w:val="24"/>
    </w:rPr>
  </w:style>
  <w:style w:type="paragraph" w:styleId="34">
    <w:name w:val="Balloon Text"/>
    <w:basedOn w:val="1"/>
    <w:link w:val="132"/>
    <w:qFormat/>
    <w:uiPriority w:val="0"/>
    <w:rPr>
      <w:sz w:val="18"/>
      <w:szCs w:val="18"/>
    </w:rPr>
  </w:style>
  <w:style w:type="paragraph" w:styleId="35">
    <w:name w:val="footer"/>
    <w:basedOn w:val="1"/>
    <w:link w:val="179"/>
    <w:qFormat/>
    <w:uiPriority w:val="99"/>
    <w:pPr>
      <w:tabs>
        <w:tab w:val="center" w:pos="4153"/>
        <w:tab w:val="right" w:pos="8306"/>
      </w:tabs>
      <w:snapToGrid w:val="0"/>
      <w:jc w:val="left"/>
    </w:pPr>
    <w:rPr>
      <w:sz w:val="18"/>
      <w:szCs w:val="18"/>
    </w:rPr>
  </w:style>
  <w:style w:type="paragraph" w:styleId="36">
    <w:name w:val="header"/>
    <w:basedOn w:val="1"/>
    <w:link w:val="178"/>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38">
    <w:name w:val="toc 4"/>
    <w:basedOn w:val="1"/>
    <w:next w:val="1"/>
    <w:unhideWhenUsed/>
    <w:qFormat/>
    <w:uiPriority w:val="39"/>
    <w:pPr>
      <w:spacing w:line="276" w:lineRule="auto"/>
      <w:ind w:left="630"/>
      <w:jc w:val="left"/>
    </w:pPr>
    <w:rPr>
      <w:rFonts w:ascii="Calibri" w:hAnsi="Calibri" w:eastAsia="仿宋" w:cs="Calibri"/>
      <w:sz w:val="18"/>
      <w:szCs w:val="18"/>
    </w:rPr>
  </w:style>
  <w:style w:type="paragraph" w:styleId="39">
    <w:name w:val="index heading"/>
    <w:basedOn w:val="1"/>
    <w:next w:val="40"/>
    <w:qFormat/>
    <w:uiPriority w:val="0"/>
    <w:pPr>
      <w:spacing w:before="240" w:after="120"/>
      <w:jc w:val="center"/>
    </w:pPr>
    <w:rPr>
      <w:b/>
      <w:bCs/>
      <w:sz w:val="26"/>
      <w:szCs w:val="26"/>
    </w:rPr>
  </w:style>
  <w:style w:type="paragraph" w:styleId="40">
    <w:name w:val="index 1"/>
    <w:basedOn w:val="1"/>
    <w:next w:val="1"/>
    <w:qFormat/>
    <w:uiPriority w:val="0"/>
    <w:pPr>
      <w:ind w:left="210" w:hanging="210"/>
      <w:jc w:val="left"/>
    </w:pPr>
    <w:rPr>
      <w:sz w:val="18"/>
      <w:szCs w:val="18"/>
    </w:rPr>
  </w:style>
  <w:style w:type="paragraph" w:styleId="41">
    <w:name w:val="footnote text"/>
    <w:basedOn w:val="1"/>
    <w:link w:val="205"/>
    <w:qFormat/>
    <w:uiPriority w:val="0"/>
    <w:pPr>
      <w:snapToGrid w:val="0"/>
      <w:jc w:val="left"/>
    </w:pPr>
    <w:rPr>
      <w:sz w:val="18"/>
      <w:szCs w:val="18"/>
    </w:rPr>
  </w:style>
  <w:style w:type="paragraph" w:styleId="42">
    <w:name w:val="toc 6"/>
    <w:basedOn w:val="1"/>
    <w:next w:val="1"/>
    <w:qFormat/>
    <w:uiPriority w:val="39"/>
    <w:pPr>
      <w:ind w:left="2100"/>
    </w:pPr>
  </w:style>
  <w:style w:type="paragraph" w:styleId="43">
    <w:name w:val="Body Text Indent 3"/>
    <w:basedOn w:val="1"/>
    <w:link w:val="182"/>
    <w:qFormat/>
    <w:uiPriority w:val="0"/>
    <w:pPr>
      <w:spacing w:after="120"/>
      <w:ind w:left="420" w:leftChars="200"/>
    </w:pPr>
    <w:rPr>
      <w:sz w:val="16"/>
      <w:szCs w:val="16"/>
    </w:rPr>
  </w:style>
  <w:style w:type="paragraph" w:styleId="44">
    <w:name w:val="index 7"/>
    <w:basedOn w:val="1"/>
    <w:next w:val="1"/>
    <w:qFormat/>
    <w:uiPriority w:val="0"/>
    <w:pPr>
      <w:ind w:left="1470" w:hanging="210"/>
      <w:jc w:val="left"/>
    </w:pPr>
    <w:rPr>
      <w:sz w:val="18"/>
      <w:szCs w:val="18"/>
    </w:rPr>
  </w:style>
  <w:style w:type="paragraph" w:styleId="45">
    <w:name w:val="index 9"/>
    <w:basedOn w:val="1"/>
    <w:next w:val="1"/>
    <w:qFormat/>
    <w:uiPriority w:val="0"/>
    <w:pPr>
      <w:ind w:left="1890" w:hanging="210"/>
      <w:jc w:val="left"/>
    </w:pPr>
    <w:rPr>
      <w:sz w:val="18"/>
      <w:szCs w:val="18"/>
    </w:rPr>
  </w:style>
  <w:style w:type="paragraph" w:styleId="46">
    <w:name w:val="table of figures"/>
    <w:basedOn w:val="1"/>
    <w:next w:val="1"/>
    <w:qFormat/>
    <w:uiPriority w:val="0"/>
    <w:pPr>
      <w:ind w:left="200" w:leftChars="200" w:hanging="200" w:hangingChars="200"/>
    </w:pPr>
  </w:style>
  <w:style w:type="paragraph" w:styleId="47">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48">
    <w:name w:val="toc 9"/>
    <w:basedOn w:val="1"/>
    <w:next w:val="1"/>
    <w:unhideWhenUsed/>
    <w:qFormat/>
    <w:uiPriority w:val="39"/>
    <w:pPr>
      <w:spacing w:line="276" w:lineRule="auto"/>
      <w:ind w:left="1680"/>
      <w:jc w:val="left"/>
    </w:pPr>
    <w:rPr>
      <w:rFonts w:ascii="Calibri" w:hAnsi="Calibri" w:eastAsia="仿宋" w:cs="Calibri"/>
      <w:sz w:val="18"/>
      <w:szCs w:val="18"/>
    </w:rPr>
  </w:style>
  <w:style w:type="paragraph" w:styleId="49">
    <w:name w:val="Body Text 2"/>
    <w:basedOn w:val="1"/>
    <w:link w:val="166"/>
    <w:qFormat/>
    <w:uiPriority w:val="0"/>
    <w:pPr>
      <w:spacing w:after="120" w:line="480" w:lineRule="auto"/>
      <w:jc w:val="left"/>
    </w:pPr>
    <w:rPr>
      <w:kern w:val="0"/>
      <w:sz w:val="20"/>
    </w:rPr>
  </w:style>
  <w:style w:type="paragraph" w:styleId="50">
    <w:name w:val="HTML Preformatted"/>
    <w:basedOn w:val="1"/>
    <w:link w:val="1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kern w:val="0"/>
      <w:sz w:val="20"/>
      <w:szCs w:val="21"/>
    </w:rPr>
  </w:style>
  <w:style w:type="paragraph" w:styleId="51">
    <w:name w:val="Normal (Web)"/>
    <w:basedOn w:val="1"/>
    <w:qFormat/>
    <w:uiPriority w:val="99"/>
    <w:pPr>
      <w:widowControl/>
      <w:spacing w:before="100" w:beforeAutospacing="1" w:after="100" w:afterAutospacing="1"/>
      <w:jc w:val="left"/>
    </w:pPr>
    <w:rPr>
      <w:rFonts w:ascii="宋体" w:hAnsi="宋体"/>
      <w:kern w:val="0"/>
      <w:sz w:val="24"/>
    </w:rPr>
  </w:style>
  <w:style w:type="paragraph" w:styleId="52">
    <w:name w:val="index 2"/>
    <w:basedOn w:val="1"/>
    <w:next w:val="1"/>
    <w:qFormat/>
    <w:uiPriority w:val="0"/>
    <w:pPr>
      <w:ind w:left="420" w:hanging="210"/>
      <w:jc w:val="left"/>
    </w:pPr>
    <w:rPr>
      <w:sz w:val="18"/>
      <w:szCs w:val="18"/>
    </w:rPr>
  </w:style>
  <w:style w:type="paragraph" w:styleId="53">
    <w:name w:val="Title"/>
    <w:basedOn w:val="1"/>
    <w:next w:val="1"/>
    <w:link w:val="196"/>
    <w:qFormat/>
    <w:uiPriority w:val="0"/>
    <w:pPr>
      <w:spacing w:before="240" w:after="60" w:line="276" w:lineRule="auto"/>
      <w:jc w:val="center"/>
      <w:outlineLvl w:val="0"/>
    </w:pPr>
    <w:rPr>
      <w:rFonts w:ascii="Arial" w:hAnsi="Arial"/>
      <w:b/>
      <w:bCs/>
      <w:kern w:val="0"/>
      <w:sz w:val="32"/>
      <w:szCs w:val="32"/>
    </w:rPr>
  </w:style>
  <w:style w:type="paragraph" w:styleId="54">
    <w:name w:val="annotation subject"/>
    <w:basedOn w:val="19"/>
    <w:next w:val="19"/>
    <w:link w:val="123"/>
    <w:qFormat/>
    <w:uiPriority w:val="0"/>
    <w:rPr>
      <w:b/>
      <w:bCs/>
    </w:rPr>
  </w:style>
  <w:style w:type="paragraph" w:styleId="55">
    <w:name w:val="Body Text First Indent"/>
    <w:basedOn w:val="23"/>
    <w:link w:val="177"/>
    <w:uiPriority w:val="0"/>
    <w:pPr>
      <w:spacing w:line="276" w:lineRule="auto"/>
      <w:ind w:firstLine="420" w:firstLineChars="100"/>
      <w:jc w:val="left"/>
    </w:pPr>
    <w:rPr>
      <w:kern w:val="0"/>
      <w:sz w:val="20"/>
      <w:szCs w:val="20"/>
    </w:rPr>
  </w:style>
  <w:style w:type="paragraph" w:styleId="56">
    <w:name w:val="Body Text First Indent 2"/>
    <w:basedOn w:val="24"/>
    <w:link w:val="158"/>
    <w:qFormat/>
    <w:uiPriority w:val="0"/>
    <w:pPr>
      <w:spacing w:after="120" w:line="276" w:lineRule="auto"/>
      <w:ind w:left="420" w:leftChars="200" w:firstLine="420"/>
      <w:jc w:val="left"/>
    </w:pPr>
    <w:rPr>
      <w:kern w:val="0"/>
      <w:sz w:val="20"/>
      <w:szCs w:val="20"/>
    </w:rPr>
  </w:style>
  <w:style w:type="table" w:styleId="58">
    <w:name w:val="Table Grid"/>
    <w:basedOn w:val="5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0">
    <w:name w:val="Strong"/>
    <w:qFormat/>
    <w:uiPriority w:val="22"/>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20"/>
    <w:rPr>
      <w:i/>
      <w:iCs/>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vertAlign w:val="superscript"/>
    </w:rPr>
  </w:style>
  <w:style w:type="paragraph" w:customStyle="1" w:styleId="67">
    <w:name w:val="Char Char Char1 Char Char Char Char Char Char Char Char Char Char Char Char Char"/>
    <w:basedOn w:val="18"/>
    <w:qFormat/>
    <w:uiPriority w:val="0"/>
    <w:rPr>
      <w:rFonts w:ascii="Tahoma" w:hAnsi="Tahoma"/>
      <w:sz w:val="24"/>
    </w:rPr>
  </w:style>
  <w:style w:type="paragraph" w:customStyle="1" w:styleId="68">
    <w:name w:val="List Paragraph"/>
    <w:basedOn w:val="1"/>
    <w:qFormat/>
    <w:uiPriority w:val="34"/>
    <w:pPr>
      <w:spacing w:line="276" w:lineRule="auto"/>
      <w:ind w:firstLine="420" w:firstLineChars="200"/>
      <w:jc w:val="left"/>
    </w:pPr>
    <w:rPr>
      <w:rFonts w:ascii="Calibri" w:hAnsi="Calibri" w:eastAsia="仿宋"/>
      <w:sz w:val="24"/>
      <w:szCs w:val="22"/>
    </w:rPr>
  </w:style>
  <w:style w:type="paragraph" w:customStyle="1" w:styleId="69">
    <w:name w:val="标题3"/>
    <w:basedOn w:val="6"/>
    <w:link w:val="135"/>
    <w:qFormat/>
    <w:uiPriority w:val="0"/>
    <w:pPr>
      <w:numPr>
        <w:ilvl w:val="2"/>
        <w:numId w:val="0"/>
      </w:numPr>
      <w:spacing w:line="276" w:lineRule="auto"/>
      <w:jc w:val="left"/>
    </w:pPr>
    <w:rPr>
      <w:rFonts w:ascii="仿宋" w:hAnsi="仿宋" w:eastAsia="仿宋"/>
      <w:kern w:val="0"/>
      <w:sz w:val="24"/>
      <w:szCs w:val="24"/>
    </w:rPr>
  </w:style>
  <w:style w:type="paragraph" w:customStyle="1" w:styleId="70">
    <w:name w:val="附件"/>
    <w:basedOn w:val="1"/>
    <w:link w:val="164"/>
    <w:qFormat/>
    <w:uiPriority w:val="0"/>
    <w:pPr>
      <w:outlineLvl w:val="0"/>
    </w:pPr>
    <w:rPr>
      <w:rFonts w:ascii="宋体" w:hAnsi="宋体" w:eastAsia="黑体"/>
      <w:sz w:val="30"/>
      <w:szCs w:val="30"/>
    </w:rPr>
  </w:style>
  <w:style w:type="paragraph" w:customStyle="1" w:styleId="71">
    <w:name w:val="标题4"/>
    <w:basedOn w:val="7"/>
    <w:qFormat/>
    <w:uiPriority w:val="0"/>
    <w:pPr>
      <w:tabs>
        <w:tab w:val="clear" w:pos="7974"/>
      </w:tabs>
      <w:spacing w:before="100" w:beforeAutospacing="1" w:after="100" w:afterAutospacing="1" w:line="360" w:lineRule="auto"/>
    </w:pPr>
    <w:rPr>
      <w:rFonts w:ascii="宋体" w:hAnsi="宋体"/>
      <w:sz w:val="24"/>
      <w:szCs w:val="24"/>
    </w:rPr>
  </w:style>
  <w:style w:type="paragraph" w:customStyle="1" w:styleId="72">
    <w:name w:val="标题 40"/>
    <w:basedOn w:val="7"/>
    <w:qFormat/>
    <w:uiPriority w:val="0"/>
    <w:pPr>
      <w:tabs>
        <w:tab w:val="clear" w:pos="7974"/>
      </w:tabs>
      <w:spacing w:before="100" w:beforeAutospacing="1" w:after="100" w:afterAutospacing="1" w:line="240" w:lineRule="auto"/>
    </w:pPr>
    <w:rPr>
      <w:rFonts w:ascii="宋体" w:hAnsi="宋体"/>
      <w:sz w:val="24"/>
      <w:szCs w:val="24"/>
    </w:rPr>
  </w:style>
  <w:style w:type="paragraph" w:customStyle="1" w:styleId="73">
    <w:name w:val="_Style 71"/>
    <w:basedOn w:val="3"/>
    <w:next w:val="1"/>
    <w:qFormat/>
    <w:uiPriority w:val="39"/>
    <w:pPr>
      <w:keepNext/>
      <w:keepLines/>
      <w:spacing w:before="480" w:line="276" w:lineRule="auto"/>
      <w:jc w:val="left"/>
      <w:outlineLvl w:val="9"/>
    </w:pPr>
    <w:rPr>
      <w:rFonts w:ascii="Cambria" w:hAnsi="Cambria" w:eastAsia="宋体" w:cs="Times New Roman"/>
      <w:color w:val="365F91"/>
      <w:kern w:val="0"/>
      <w:sz w:val="28"/>
      <w:szCs w:val="28"/>
    </w:rPr>
  </w:style>
  <w:style w:type="paragraph" w:customStyle="1" w:styleId="74">
    <w:name w:val="珠江控规正文"/>
    <w:basedOn w:val="1"/>
    <w:qFormat/>
    <w:uiPriority w:val="0"/>
    <w:pPr>
      <w:widowControl/>
      <w:spacing w:before="156"/>
      <w:ind w:right="210" w:firstLine="420" w:firstLineChars="200"/>
    </w:pPr>
    <w:rPr>
      <w:rFonts w:ascii="宋体" w:hAnsi="宋体" w:cs="宋体"/>
      <w:bCs/>
      <w:kern w:val="0"/>
      <w:szCs w:val="20"/>
    </w:rPr>
  </w:style>
  <w:style w:type="paragraph" w:customStyle="1" w:styleId="75">
    <w:name w:val="qptext"/>
    <w:basedOn w:val="1"/>
    <w:qFormat/>
    <w:uiPriority w:val="0"/>
    <w:pPr>
      <w:adjustRightInd w:val="0"/>
      <w:snapToGrid w:val="0"/>
      <w:spacing w:line="360" w:lineRule="auto"/>
      <w:ind w:right="-153" w:firstLine="480" w:firstLineChars="200"/>
    </w:pPr>
    <w:rPr>
      <w:rFonts w:ascii="宋体" w:hAnsi="宋体"/>
      <w:snapToGrid w:val="0"/>
      <w:color w:val="000000"/>
      <w:kern w:val="0"/>
      <w:sz w:val="24"/>
      <w:szCs w:val="20"/>
    </w:rPr>
  </w:style>
  <w:style w:type="paragraph" w:customStyle="1" w:styleId="76">
    <w:name w:val="图"/>
    <w:basedOn w:val="1"/>
    <w:link w:val="129"/>
    <w:qFormat/>
    <w:uiPriority w:val="0"/>
    <w:pPr>
      <w:jc w:val="center"/>
    </w:pPr>
    <w:rPr>
      <w:b/>
      <w:kern w:val="0"/>
      <w:sz w:val="24"/>
      <w:szCs w:val="20"/>
    </w:rPr>
  </w:style>
  <w:style w:type="paragraph" w:customStyle="1" w:styleId="77">
    <w:name w:val="图名"/>
    <w:basedOn w:val="1"/>
    <w:link w:val="180"/>
    <w:qFormat/>
    <w:uiPriority w:val="0"/>
    <w:pPr>
      <w:spacing w:before="120" w:after="120"/>
      <w:jc w:val="center"/>
    </w:pPr>
    <w:rPr>
      <w:rFonts w:ascii="黑体" w:eastAsia="黑体"/>
      <w:kern w:val="0"/>
      <w:sz w:val="20"/>
      <w:szCs w:val="21"/>
    </w:rPr>
  </w:style>
  <w:style w:type="paragraph" w:customStyle="1" w:styleId="78">
    <w:name w:val="一级标题"/>
    <w:basedOn w:val="1"/>
    <w:link w:val="174"/>
    <w:qFormat/>
    <w:uiPriority w:val="0"/>
    <w:pPr>
      <w:spacing w:line="360" w:lineRule="auto"/>
      <w:jc w:val="left"/>
      <w:outlineLvl w:val="0"/>
    </w:pPr>
    <w:rPr>
      <w:b/>
      <w:kern w:val="0"/>
      <w:sz w:val="30"/>
      <w:szCs w:val="30"/>
    </w:rPr>
  </w:style>
  <w:style w:type="paragraph" w:customStyle="1" w:styleId="79">
    <w:name w:val="纯文本1"/>
    <w:basedOn w:val="1"/>
    <w:qFormat/>
    <w:uiPriority w:val="0"/>
    <w:pPr>
      <w:autoSpaceDE w:val="0"/>
      <w:autoSpaceDN w:val="0"/>
      <w:adjustRightInd w:val="0"/>
      <w:spacing w:line="312" w:lineRule="atLeast"/>
      <w:textAlignment w:val="baseline"/>
    </w:pPr>
    <w:rPr>
      <w:rFonts w:ascii="宋体"/>
      <w:kern w:val="0"/>
      <w:szCs w:val="20"/>
    </w:rPr>
  </w:style>
  <w:style w:type="paragraph" w:customStyle="1" w:styleId="80">
    <w:name w:val="1"/>
    <w:basedOn w:val="1"/>
    <w:next w:val="24"/>
    <w:qFormat/>
    <w:uiPriority w:val="0"/>
    <w:pPr>
      <w:snapToGrid w:val="0"/>
      <w:spacing w:after="120" w:line="360" w:lineRule="auto"/>
      <w:ind w:firstLine="630"/>
    </w:pPr>
    <w:rPr>
      <w:sz w:val="28"/>
      <w:szCs w:val="20"/>
    </w:rPr>
  </w:style>
  <w:style w:type="paragraph" w:customStyle="1" w:styleId="81">
    <w:name w:val="默认段落字体 Para Char"/>
    <w:basedOn w:val="1"/>
    <w:qFormat/>
    <w:uiPriority w:val="0"/>
    <w:rPr>
      <w:sz w:val="30"/>
    </w:rPr>
  </w:style>
  <w:style w:type="paragraph" w:customStyle="1" w:styleId="82">
    <w:name w:val="1eee"/>
    <w:basedOn w:val="3"/>
    <w:qFormat/>
    <w:uiPriority w:val="0"/>
    <w:pPr>
      <w:keepNext/>
      <w:keepLines/>
      <w:widowControl w:val="0"/>
      <w:spacing w:before="340" w:after="330" w:line="578" w:lineRule="auto"/>
      <w:ind w:left="432" w:hanging="432"/>
    </w:pPr>
    <w:rPr>
      <w:rFonts w:ascii="Times New Roman" w:hAnsi="Times New Roman" w:eastAsia="黑体" w:cs="宋体"/>
      <w:b w:val="0"/>
      <w:kern w:val="44"/>
      <w:sz w:val="30"/>
      <w:szCs w:val="44"/>
    </w:rPr>
  </w:style>
  <w:style w:type="paragraph" w:customStyle="1" w:styleId="83">
    <w:name w:val="_Style 81"/>
    <w:unhideWhenUsed/>
    <w:qFormat/>
    <w:uiPriority w:val="99"/>
    <w:rPr>
      <w:rFonts w:ascii="Times New Roman" w:hAnsi="Times New Roman" w:eastAsia="宋体" w:cs="Times New Roman"/>
      <w:kern w:val="2"/>
      <w:sz w:val="21"/>
      <w:szCs w:val="24"/>
      <w:lang w:val="en-US" w:eastAsia="zh-CN" w:bidi="ar-SA"/>
    </w:rPr>
  </w:style>
  <w:style w:type="paragraph" w:customStyle="1" w:styleId="84">
    <w:name w:val="条文"/>
    <w:basedOn w:val="3"/>
    <w:qFormat/>
    <w:uiPriority w:val="0"/>
    <w:pPr>
      <w:widowControl w:val="0"/>
      <w:tabs>
        <w:tab w:val="left" w:pos="3590"/>
      </w:tabs>
      <w:spacing w:before="0"/>
      <w:ind w:left="2870"/>
    </w:pPr>
    <w:rPr>
      <w:rFonts w:ascii="Tahoma" w:hAnsi="Tahoma" w:eastAsia="黑体"/>
      <w:kern w:val="44"/>
      <w:sz w:val="28"/>
      <w:szCs w:val="44"/>
    </w:rPr>
  </w:style>
  <w:style w:type="paragraph" w:customStyle="1" w:styleId="85">
    <w:name w:val="正文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6">
    <w:name w:val="No Spacing"/>
    <w:link w:val="155"/>
    <w:qFormat/>
    <w:uiPriority w:val="0"/>
    <w:pPr>
      <w:widowControl w:val="0"/>
      <w:jc w:val="both"/>
    </w:pPr>
    <w:rPr>
      <w:rFonts w:ascii="Times New Roman" w:hAnsi="Times New Roman" w:eastAsia="Times New Roman" w:cs="Times New Roman"/>
      <w:kern w:val="2"/>
      <w:sz w:val="24"/>
      <w:szCs w:val="24"/>
      <w:lang w:val="en-US" w:eastAsia="zh-CN" w:bidi="ar-SA"/>
    </w:rPr>
  </w:style>
  <w:style w:type="paragraph" w:customStyle="1" w:styleId="87">
    <w:name w:val="Char Char Char1 Char"/>
    <w:basedOn w:val="1"/>
    <w:qFormat/>
    <w:uiPriority w:val="0"/>
    <w:rPr>
      <w:szCs w:val="20"/>
    </w:rPr>
  </w:style>
  <w:style w:type="paragraph" w:customStyle="1" w:styleId="88">
    <w:name w:val="p0"/>
    <w:basedOn w:val="1"/>
    <w:qFormat/>
    <w:uiPriority w:val="0"/>
    <w:pPr>
      <w:widowControl/>
    </w:pPr>
    <w:rPr>
      <w:rFonts w:hint="eastAsia" w:ascii="Calibri" w:hAnsi="Calibri"/>
      <w:szCs w:val="22"/>
    </w:rPr>
  </w:style>
  <w:style w:type="paragraph" w:customStyle="1" w:styleId="89">
    <w:name w:val="样式2"/>
    <w:basedOn w:val="23"/>
    <w:next w:val="23"/>
    <w:qFormat/>
    <w:uiPriority w:val="0"/>
    <w:pPr>
      <w:adjustRightInd w:val="0"/>
      <w:snapToGrid w:val="0"/>
      <w:spacing w:after="0" w:line="360" w:lineRule="auto"/>
    </w:pPr>
    <w:rPr>
      <w:rFonts w:ascii="宋体" w:hAnsi="宋体"/>
      <w:color w:val="FF0000"/>
      <w:sz w:val="24"/>
    </w:rPr>
  </w:style>
  <w:style w:type="paragraph" w:customStyle="1" w:styleId="90">
    <w:name w:val="正文图标题"/>
    <w:next w:val="1"/>
    <w:qFormat/>
    <w:uiPriority w:val="0"/>
    <w:pPr>
      <w:jc w:val="center"/>
    </w:pPr>
    <w:rPr>
      <w:rFonts w:ascii="黑体" w:hAnsi="Times New Roman" w:eastAsia="黑体" w:cs="Times New Roman"/>
      <w:sz w:val="21"/>
      <w:lang w:val="en-US" w:eastAsia="zh-CN" w:bidi="ar-SA"/>
    </w:rPr>
  </w:style>
  <w:style w:type="paragraph" w:customStyle="1" w:styleId="9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2">
    <w:name w:val="3eee"/>
    <w:basedOn w:val="1"/>
    <w:link w:val="120"/>
    <w:qFormat/>
    <w:uiPriority w:val="0"/>
    <w:pPr>
      <w:spacing w:line="440" w:lineRule="exact"/>
      <w:ind w:firstLine="480" w:firstLineChars="200"/>
      <w:jc w:val="left"/>
    </w:pPr>
    <w:rPr>
      <w:rFonts w:ascii="Courier New" w:hAnsi="Courier New" w:eastAsia="Courier New"/>
      <w:kern w:val="0"/>
      <w:sz w:val="24"/>
    </w:rPr>
  </w:style>
  <w:style w:type="paragraph" w:customStyle="1" w:styleId="9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94">
    <w:name w:val="_Style 59"/>
    <w:qFormat/>
    <w:uiPriority w:val="0"/>
    <w:pPr>
      <w:spacing w:after="160" w:line="240" w:lineRule="exact"/>
    </w:pPr>
    <w:rPr>
      <w:rFonts w:ascii="Times New Roman" w:hAnsi="Times New Roman" w:eastAsia="宋体" w:cs="Times New Roman"/>
      <w:lang w:val="en-US" w:eastAsia="zh-CN" w:bidi="ar-SA"/>
    </w:rPr>
  </w:style>
  <w:style w:type="paragraph" w:customStyle="1" w:styleId="95">
    <w:name w:val="样式 标题 2 + 宋体"/>
    <w:basedOn w:val="4"/>
    <w:qFormat/>
    <w:uiPriority w:val="0"/>
    <w:pPr>
      <w:keepLines/>
      <w:numPr>
        <w:ilvl w:val="1"/>
        <w:numId w:val="0"/>
      </w:numPr>
      <w:tabs>
        <w:tab w:val="left" w:pos="567"/>
      </w:tabs>
      <w:adjustRightInd/>
      <w:snapToGrid/>
      <w:spacing w:before="100" w:beforeAutospacing="1" w:after="100" w:afterAutospacing="1"/>
      <w:jc w:val="left"/>
    </w:pPr>
    <w:rPr>
      <w:kern w:val="2"/>
      <w:sz w:val="30"/>
      <w:szCs w:val="24"/>
    </w:rPr>
  </w:style>
  <w:style w:type="paragraph" w:customStyle="1" w:styleId="96">
    <w:name w:val="珠江控规"/>
    <w:basedOn w:val="33"/>
    <w:next w:val="74"/>
    <w:link w:val="168"/>
    <w:qFormat/>
    <w:uiPriority w:val="0"/>
    <w:pPr>
      <w:tabs>
        <w:tab w:val="left" w:pos="1260"/>
      </w:tabs>
      <w:adjustRightInd/>
      <w:snapToGrid/>
      <w:spacing w:before="156" w:after="120" w:line="240" w:lineRule="auto"/>
      <w:ind w:hanging="420" w:firstLineChars="0"/>
    </w:pPr>
    <w:rPr>
      <w:rFonts w:ascii="Times New Roman" w:hAnsi="Times New Roman"/>
      <w:bCs w:val="0"/>
      <w:snapToGrid/>
      <w:sz w:val="21"/>
      <w:szCs w:val="21"/>
    </w:rPr>
  </w:style>
  <w:style w:type="paragraph" w:customStyle="1" w:styleId="97">
    <w:name w:val="样式 宋体 小四"/>
    <w:basedOn w:val="1"/>
    <w:link w:val="201"/>
    <w:qFormat/>
    <w:uiPriority w:val="0"/>
    <w:pPr>
      <w:adjustRightInd w:val="0"/>
      <w:snapToGrid w:val="0"/>
      <w:spacing w:line="480" w:lineRule="exact"/>
      <w:ind w:firstLine="200" w:firstLineChars="200"/>
      <w:jc w:val="left"/>
    </w:pPr>
    <w:rPr>
      <w:rFonts w:ascii="Courier New" w:hAnsi="Courier New" w:eastAsia="Courier New"/>
      <w:kern w:val="0"/>
      <w:sz w:val="24"/>
      <w:szCs w:val="20"/>
    </w:rPr>
  </w:style>
  <w:style w:type="paragraph" w:customStyle="1" w:styleId="98">
    <w:name w:val="文一"/>
    <w:basedOn w:val="1"/>
    <w:link w:val="13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99">
    <w:name w:val="插图名称"/>
    <w:link w:val="183"/>
    <w:qFormat/>
    <w:uiPriority w:val="0"/>
    <w:pPr>
      <w:jc w:val="center"/>
      <w:outlineLvl w:val="8"/>
    </w:pPr>
    <w:rPr>
      <w:rFonts w:ascii="Times New Roman" w:hAnsi="Times New Roman" w:eastAsia="Times New Roman" w:cs="Times New Roman"/>
      <w:kern w:val="2"/>
      <w:sz w:val="21"/>
      <w:szCs w:val="24"/>
      <w:lang w:val="en-US" w:eastAsia="zh-CN" w:bidi="ar-SA"/>
    </w:rPr>
  </w:style>
  <w:style w:type="paragraph" w:customStyle="1" w:styleId="100">
    <w:name w:val="列出段落1"/>
    <w:basedOn w:val="1"/>
    <w:qFormat/>
    <w:uiPriority w:val="34"/>
    <w:pPr>
      <w:ind w:firstLine="420" w:firstLineChars="200"/>
    </w:pPr>
  </w:style>
  <w:style w:type="paragraph" w:customStyle="1" w:styleId="101">
    <w:name w:val="条文1"/>
    <w:basedOn w:val="1"/>
    <w:qFormat/>
    <w:uiPriority w:val="0"/>
    <w:pPr>
      <w:tabs>
        <w:tab w:val="left" w:pos="425"/>
      </w:tabs>
      <w:spacing w:line="360" w:lineRule="auto"/>
      <w:ind w:left="425" w:hanging="425"/>
    </w:pPr>
    <w:rPr>
      <w:rFonts w:ascii="MS UI Gothic" w:hAnsi="MS UI Gothic"/>
      <w:bCs/>
      <w:kern w:val="44"/>
      <w:sz w:val="24"/>
      <w:szCs w:val="44"/>
    </w:rPr>
  </w:style>
  <w:style w:type="paragraph" w:customStyle="1" w:styleId="102">
    <w:name w:val="样式 小四 首行缩进:  0.85 厘米 行距: 1.5 倍行距"/>
    <w:basedOn w:val="1"/>
    <w:next w:val="1"/>
    <w:link w:val="119"/>
    <w:qFormat/>
    <w:uiPriority w:val="0"/>
    <w:pPr>
      <w:spacing w:line="360" w:lineRule="auto"/>
      <w:ind w:firstLine="480"/>
      <w:jc w:val="left"/>
    </w:pPr>
    <w:rPr>
      <w:rFonts w:ascii="Courier New" w:hAnsi="Courier New" w:eastAsia="Courier New"/>
      <w:bCs/>
      <w:kern w:val="0"/>
      <w:sz w:val="24"/>
      <w:szCs w:val="28"/>
    </w:rPr>
  </w:style>
  <w:style w:type="paragraph" w:customStyle="1" w:styleId="103">
    <w:name w:val="样式 楷体_GB2312 四号 加粗 首行缩进:  0.85 厘米 行距: 1.5 倍行距"/>
    <w:basedOn w:val="1"/>
    <w:qFormat/>
    <w:uiPriority w:val="0"/>
    <w:pPr>
      <w:spacing w:line="360" w:lineRule="auto"/>
      <w:ind w:firstLine="480"/>
    </w:pPr>
    <w:rPr>
      <w:rFonts w:ascii="楷体_GB2312" w:eastAsia="楷体_GB2312" w:cs="楷体_GB2312"/>
      <w:b/>
      <w:bCs/>
      <w:sz w:val="28"/>
      <w:szCs w:val="28"/>
    </w:rPr>
  </w:style>
  <w:style w:type="paragraph" w:customStyle="1" w:styleId="104">
    <w:name w:val="表格00"/>
    <w:link w:val="118"/>
    <w:qFormat/>
    <w:uiPriority w:val="0"/>
    <w:pPr>
      <w:widowControl w:val="0"/>
      <w:adjustRightInd w:val="0"/>
      <w:spacing w:line="140" w:lineRule="atLeast"/>
      <w:jc w:val="center"/>
      <w:outlineLvl w:val="8"/>
    </w:pPr>
    <w:rPr>
      <w:rFonts w:ascii="Times New Roman" w:hAnsi="Times New Roman" w:eastAsia="Times New Roman" w:cs="Times New Roman"/>
      <w:kern w:val="2"/>
      <w:sz w:val="21"/>
      <w:szCs w:val="21"/>
      <w:lang w:val="en-US" w:eastAsia="zh-CN" w:bidi="ar-SA"/>
    </w:rPr>
  </w:style>
  <w:style w:type="paragraph" w:customStyle="1" w:styleId="105">
    <w:name w:val="Char"/>
    <w:basedOn w:val="1"/>
    <w:qFormat/>
    <w:uiPriority w:val="0"/>
  </w:style>
  <w:style w:type="paragraph" w:customStyle="1" w:styleId="106">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107">
    <w:name w:val="样式3"/>
    <w:link w:val="153"/>
    <w:qFormat/>
    <w:uiPriority w:val="0"/>
    <w:pPr>
      <w:tabs>
        <w:tab w:val="left" w:pos="1140"/>
      </w:tabs>
      <w:spacing w:line="480" w:lineRule="exact"/>
      <w:ind w:left="1140" w:hanging="720"/>
    </w:pPr>
    <w:rPr>
      <w:rFonts w:ascii="Times New Roman" w:hAnsi="Times New Roman" w:eastAsia="Times New Roman" w:cs="Times New Roman"/>
      <w:b/>
      <w:kern w:val="2"/>
      <w:sz w:val="24"/>
      <w:szCs w:val="22"/>
      <w:lang w:val="en-US" w:eastAsia="zh-CN" w:bidi="ar-SA"/>
    </w:rPr>
  </w:style>
  <w:style w:type="paragraph" w:customStyle="1" w:styleId="108">
    <w:name w:val="标题5"/>
    <w:basedOn w:val="8"/>
    <w:qFormat/>
    <w:uiPriority w:val="0"/>
    <w:pPr>
      <w:tabs>
        <w:tab w:val="clear" w:pos="7974"/>
      </w:tabs>
      <w:spacing w:line="360" w:lineRule="auto"/>
    </w:pPr>
    <w:rPr>
      <w:b/>
      <w:lang w:val="en-US" w:eastAsia="zh-CN"/>
    </w:rPr>
  </w:style>
  <w:style w:type="paragraph" w:customStyle="1" w:styleId="109">
    <w:name w:val="CM15"/>
    <w:basedOn w:val="1"/>
    <w:next w:val="1"/>
    <w:qFormat/>
    <w:uiPriority w:val="0"/>
    <w:pPr>
      <w:autoSpaceDE w:val="0"/>
      <w:autoSpaceDN w:val="0"/>
      <w:adjustRightInd w:val="0"/>
      <w:spacing w:line="468" w:lineRule="atLeast"/>
      <w:jc w:val="left"/>
    </w:pPr>
    <w:rPr>
      <w:rFonts w:ascii="黑体" w:hAnsi="Calibri" w:eastAsia="黑体"/>
      <w:kern w:val="0"/>
      <w:sz w:val="24"/>
    </w:rPr>
  </w:style>
  <w:style w:type="character" w:customStyle="1" w:styleId="110">
    <w:name w:val="正文首行缩进 Char2"/>
    <w:semiHidden/>
    <w:qFormat/>
    <w:uiPriority w:val="99"/>
    <w:rPr>
      <w:rFonts w:ascii="Times New Roman" w:hAnsi="Times New Roman" w:eastAsia="宋体" w:cs="Times New Roman"/>
      <w:szCs w:val="24"/>
    </w:rPr>
  </w:style>
  <w:style w:type="character" w:customStyle="1" w:styleId="111">
    <w:name w:val="标题 1 1 Char4"/>
    <w:qFormat/>
    <w:uiPriority w:val="0"/>
    <w:rPr>
      <w:rFonts w:eastAsia="宋体"/>
      <w:b/>
      <w:bCs/>
      <w:kern w:val="44"/>
      <w:sz w:val="44"/>
      <w:szCs w:val="44"/>
      <w:lang w:val="en-US" w:eastAsia="zh-CN" w:bidi="ar-SA"/>
    </w:rPr>
  </w:style>
  <w:style w:type="character" w:customStyle="1" w:styleId="112">
    <w:name w:val="HTML 预设格式 Char"/>
    <w:link w:val="50"/>
    <w:qFormat/>
    <w:uiPriority w:val="0"/>
    <w:rPr>
      <w:szCs w:val="21"/>
    </w:rPr>
  </w:style>
  <w:style w:type="character" w:customStyle="1" w:styleId="113">
    <w:name w:val="正文首行缩进 2 Char2"/>
    <w:semiHidden/>
    <w:qFormat/>
    <w:uiPriority w:val="99"/>
    <w:rPr>
      <w:rFonts w:ascii="Times New Roman" w:hAnsi="Times New Roman" w:eastAsia="宋体" w:cs="Times New Roman"/>
      <w:szCs w:val="24"/>
    </w:rPr>
  </w:style>
  <w:style w:type="character" w:customStyle="1" w:styleId="114">
    <w:name w:val="正文文本 2 Char3"/>
    <w:qFormat/>
    <w:uiPriority w:val="0"/>
    <w:rPr>
      <w:kern w:val="2"/>
      <w:sz w:val="21"/>
      <w:szCs w:val="24"/>
    </w:rPr>
  </w:style>
  <w:style w:type="character" w:customStyle="1" w:styleId="115">
    <w:name w:val="批注框文本 Char1"/>
    <w:semiHidden/>
    <w:qFormat/>
    <w:uiPriority w:val="99"/>
    <w:rPr>
      <w:rFonts w:ascii="Times New Roman" w:hAnsi="Times New Roman" w:eastAsia="宋体" w:cs="Times New Roman"/>
      <w:sz w:val="18"/>
      <w:szCs w:val="18"/>
    </w:rPr>
  </w:style>
  <w:style w:type="character" w:customStyle="1" w:styleId="116">
    <w:name w:val="正文文本缩进 3 Char1"/>
    <w:semiHidden/>
    <w:qFormat/>
    <w:uiPriority w:val="99"/>
    <w:rPr>
      <w:rFonts w:ascii="Times New Roman" w:hAnsi="Times New Roman" w:eastAsia="宋体" w:cs="Times New Roman"/>
      <w:sz w:val="16"/>
      <w:szCs w:val="16"/>
    </w:rPr>
  </w:style>
  <w:style w:type="character" w:customStyle="1" w:styleId="117">
    <w:name w:val="纯文本 Char"/>
    <w:link w:val="29"/>
    <w:qFormat/>
    <w:uiPriority w:val="0"/>
    <w:rPr>
      <w:rFonts w:ascii="宋体" w:hAnsi="Courier New" w:eastAsia="宋体"/>
      <w:kern w:val="2"/>
      <w:sz w:val="21"/>
      <w:lang w:val="en-US" w:eastAsia="zh-CN" w:bidi="ar-SA"/>
    </w:rPr>
  </w:style>
  <w:style w:type="character" w:customStyle="1" w:styleId="118">
    <w:name w:val="表格00 Char1"/>
    <w:link w:val="104"/>
    <w:qFormat/>
    <w:uiPriority w:val="0"/>
    <w:rPr>
      <w:rFonts w:eastAsia="Times New Roman"/>
      <w:kern w:val="2"/>
      <w:sz w:val="21"/>
      <w:szCs w:val="21"/>
      <w:lang w:val="en-US" w:eastAsia="zh-CN" w:bidi="ar-SA"/>
    </w:rPr>
  </w:style>
  <w:style w:type="character" w:customStyle="1" w:styleId="119">
    <w:name w:val="样式 小四 首行缩进:  0.85 厘米 行距: 1.5 倍行距 Char1"/>
    <w:link w:val="102"/>
    <w:qFormat/>
    <w:uiPriority w:val="0"/>
    <w:rPr>
      <w:rFonts w:ascii="Courier New" w:hAnsi="Courier New" w:eastAsia="Courier New"/>
      <w:bCs/>
      <w:sz w:val="24"/>
      <w:szCs w:val="28"/>
    </w:rPr>
  </w:style>
  <w:style w:type="character" w:customStyle="1" w:styleId="120">
    <w:name w:val="3eee Char"/>
    <w:link w:val="92"/>
    <w:qFormat/>
    <w:uiPriority w:val="0"/>
    <w:rPr>
      <w:rFonts w:ascii="Courier New" w:hAnsi="Courier New" w:eastAsia="Courier New" w:cs="Courier New"/>
      <w:sz w:val="24"/>
      <w:szCs w:val="24"/>
    </w:rPr>
  </w:style>
  <w:style w:type="character" w:customStyle="1" w:styleId="121">
    <w:name w:val="称呼 Char"/>
    <w:link w:val="21"/>
    <w:qFormat/>
    <w:uiPriority w:val="0"/>
    <w:rPr>
      <w:sz w:val="32"/>
      <w:szCs w:val="24"/>
    </w:rPr>
  </w:style>
  <w:style w:type="character" w:customStyle="1" w:styleId="122">
    <w:name w:val="B Head Char5"/>
    <w:qFormat/>
    <w:uiPriority w:val="0"/>
    <w:rPr>
      <w:rFonts w:eastAsia="宋体"/>
      <w:b/>
      <w:bCs/>
      <w:kern w:val="2"/>
      <w:sz w:val="32"/>
      <w:szCs w:val="32"/>
      <w:lang w:val="en-US" w:eastAsia="zh-CN" w:bidi="ar-SA"/>
    </w:rPr>
  </w:style>
  <w:style w:type="character" w:customStyle="1" w:styleId="123">
    <w:name w:val="批注主题 Char"/>
    <w:link w:val="54"/>
    <w:qFormat/>
    <w:uiPriority w:val="0"/>
    <w:rPr>
      <w:b/>
      <w:bCs/>
      <w:kern w:val="2"/>
      <w:sz w:val="21"/>
      <w:szCs w:val="24"/>
    </w:rPr>
  </w:style>
  <w:style w:type="character" w:customStyle="1" w:styleId="124">
    <w:name w:val="正文文本缩进 Char2"/>
    <w:semiHidden/>
    <w:qFormat/>
    <w:uiPriority w:val="99"/>
    <w:rPr>
      <w:rFonts w:ascii="Times New Roman" w:hAnsi="Times New Roman" w:eastAsia="宋体" w:cs="Times New Roman"/>
      <w:szCs w:val="24"/>
    </w:rPr>
  </w:style>
  <w:style w:type="character" w:customStyle="1" w:styleId="125">
    <w:name w:val="标题1.1.1 Char Char"/>
    <w:qFormat/>
    <w:uiPriority w:val="0"/>
    <w:rPr>
      <w:b/>
      <w:bCs/>
      <w:sz w:val="32"/>
      <w:szCs w:val="32"/>
    </w:rPr>
  </w:style>
  <w:style w:type="character" w:customStyle="1" w:styleId="126">
    <w:name w:val="正文文本 3 Char3"/>
    <w:qFormat/>
    <w:uiPriority w:val="0"/>
    <w:rPr>
      <w:kern w:val="2"/>
      <w:sz w:val="16"/>
      <w:szCs w:val="16"/>
    </w:rPr>
  </w:style>
  <w:style w:type="character" w:customStyle="1" w:styleId="127">
    <w:name w:val="标题 3 Char"/>
    <w:link w:val="6"/>
    <w:qFormat/>
    <w:uiPriority w:val="0"/>
    <w:rPr>
      <w:b/>
      <w:bCs/>
      <w:kern w:val="2"/>
      <w:sz w:val="32"/>
      <w:szCs w:val="32"/>
    </w:rPr>
  </w:style>
  <w:style w:type="character" w:customStyle="1" w:styleId="128">
    <w:name w:val="标题 5 Char"/>
    <w:link w:val="8"/>
    <w:qFormat/>
    <w:uiPriority w:val="0"/>
    <w:rPr>
      <w:bCs/>
      <w:kern w:val="2"/>
      <w:sz w:val="28"/>
      <w:szCs w:val="28"/>
    </w:rPr>
  </w:style>
  <w:style w:type="character" w:customStyle="1" w:styleId="129">
    <w:name w:val="图 Char"/>
    <w:link w:val="76"/>
    <w:qFormat/>
    <w:uiPriority w:val="0"/>
    <w:rPr>
      <w:b/>
      <w:sz w:val="24"/>
    </w:rPr>
  </w:style>
  <w:style w:type="character" w:customStyle="1" w:styleId="130">
    <w:name w:val="正文文本 Char2"/>
    <w:semiHidden/>
    <w:qFormat/>
    <w:uiPriority w:val="99"/>
    <w:rPr>
      <w:rFonts w:ascii="Times New Roman" w:hAnsi="Times New Roman" w:eastAsia="宋体" w:cs="Times New Roman"/>
      <w:szCs w:val="24"/>
    </w:rPr>
  </w:style>
  <w:style w:type="character" w:customStyle="1" w:styleId="131">
    <w:name w:val="文一 Char"/>
    <w:link w:val="98"/>
    <w:qFormat/>
    <w:uiPriority w:val="0"/>
    <w:rPr>
      <w:snapToGrid w:val="0"/>
      <w:spacing w:val="4"/>
      <w:sz w:val="24"/>
      <w:szCs w:val="24"/>
    </w:rPr>
  </w:style>
  <w:style w:type="character" w:customStyle="1" w:styleId="132">
    <w:name w:val="批注框文本 Char"/>
    <w:link w:val="34"/>
    <w:qFormat/>
    <w:uiPriority w:val="0"/>
    <w:rPr>
      <w:kern w:val="2"/>
      <w:sz w:val="18"/>
      <w:szCs w:val="18"/>
    </w:rPr>
  </w:style>
  <w:style w:type="character" w:customStyle="1" w:styleId="133">
    <w:name w:val="正文文本 Char"/>
    <w:qFormat/>
    <w:uiPriority w:val="0"/>
    <w:rPr>
      <w:rFonts w:eastAsia="宋体"/>
      <w:kern w:val="2"/>
      <w:sz w:val="21"/>
      <w:szCs w:val="24"/>
      <w:lang w:val="en-US" w:eastAsia="zh-CN" w:bidi="ar-SA"/>
    </w:rPr>
  </w:style>
  <w:style w:type="character" w:customStyle="1" w:styleId="134">
    <w:name w:val="标题 Char1"/>
    <w:qFormat/>
    <w:uiPriority w:val="10"/>
    <w:rPr>
      <w:rFonts w:ascii="Cambria" w:hAnsi="Cambria" w:eastAsia="宋体" w:cs="Times New Roman"/>
      <w:b/>
      <w:bCs/>
      <w:sz w:val="32"/>
      <w:szCs w:val="32"/>
    </w:rPr>
  </w:style>
  <w:style w:type="character" w:customStyle="1" w:styleId="135">
    <w:name w:val="标题3 Char"/>
    <w:link w:val="69"/>
    <w:qFormat/>
    <w:uiPriority w:val="0"/>
    <w:rPr>
      <w:rFonts w:ascii="仿宋" w:hAnsi="仿宋" w:eastAsia="仿宋"/>
      <w:b/>
      <w:bCs/>
      <w:sz w:val="24"/>
      <w:szCs w:val="24"/>
    </w:rPr>
  </w:style>
  <w:style w:type="character" w:customStyle="1" w:styleId="136">
    <w:name w:val="正文文本 3 Char1"/>
    <w:semiHidden/>
    <w:qFormat/>
    <w:uiPriority w:val="99"/>
    <w:rPr>
      <w:rFonts w:ascii="Times New Roman" w:hAnsi="Times New Roman" w:eastAsia="宋体" w:cs="Times New Roman"/>
      <w:sz w:val="16"/>
      <w:szCs w:val="16"/>
    </w:rPr>
  </w:style>
  <w:style w:type="character" w:customStyle="1" w:styleId="137">
    <w:name w:val="纯文本 Char2"/>
    <w:semiHidden/>
    <w:qFormat/>
    <w:uiPriority w:val="99"/>
    <w:rPr>
      <w:rFonts w:ascii="宋体" w:hAnsi="Courier New" w:eastAsia="宋体" w:cs="Courier New"/>
      <w:szCs w:val="21"/>
    </w:rPr>
  </w:style>
  <w:style w:type="character" w:customStyle="1" w:styleId="138">
    <w:name w:val="标题 Char2"/>
    <w:qFormat/>
    <w:uiPriority w:val="10"/>
    <w:rPr>
      <w:rFonts w:ascii="Cambria" w:hAnsi="Cambria" w:eastAsia="宋体" w:cs="Times New Roman"/>
      <w:b/>
      <w:bCs/>
      <w:sz w:val="32"/>
      <w:szCs w:val="32"/>
    </w:rPr>
  </w:style>
  <w:style w:type="character" w:customStyle="1" w:styleId="139">
    <w:name w:val="批注文字 Char2"/>
    <w:semiHidden/>
    <w:qFormat/>
    <w:uiPriority w:val="99"/>
    <w:rPr>
      <w:rFonts w:ascii="Times New Roman" w:hAnsi="Times New Roman" w:eastAsia="宋体" w:cs="Times New Roman"/>
      <w:szCs w:val="24"/>
    </w:rPr>
  </w:style>
  <w:style w:type="character" w:customStyle="1" w:styleId="140">
    <w:name w:val="文档结构图 Char"/>
    <w:link w:val="18"/>
    <w:qFormat/>
    <w:uiPriority w:val="0"/>
    <w:rPr>
      <w:kern w:val="2"/>
      <w:sz w:val="21"/>
      <w:szCs w:val="24"/>
      <w:shd w:val="clear" w:color="auto" w:fill="000080"/>
    </w:rPr>
  </w:style>
  <w:style w:type="character" w:customStyle="1" w:styleId="141">
    <w:name w:val="称呼 Char2"/>
    <w:semiHidden/>
    <w:qFormat/>
    <w:uiPriority w:val="99"/>
    <w:rPr>
      <w:rFonts w:ascii="Times New Roman" w:hAnsi="Times New Roman" w:eastAsia="宋体" w:cs="Times New Roman"/>
      <w:szCs w:val="24"/>
    </w:rPr>
  </w:style>
  <w:style w:type="character" w:customStyle="1" w:styleId="142">
    <w:name w:val="正文文本 Char1"/>
    <w:qFormat/>
    <w:uiPriority w:val="99"/>
    <w:rPr>
      <w:rFonts w:ascii="Times New Roman" w:hAnsi="Times New Roman" w:eastAsia="宋体" w:cs="Times New Roman"/>
      <w:szCs w:val="24"/>
    </w:rPr>
  </w:style>
  <w:style w:type="character" w:customStyle="1" w:styleId="143">
    <w:name w:val="正文文本缩进 2 Char"/>
    <w:link w:val="33"/>
    <w:qFormat/>
    <w:uiPriority w:val="0"/>
    <w:rPr>
      <w:rFonts w:ascii="宋体" w:hAnsi="宋体"/>
      <w:b/>
      <w:bCs/>
      <w:snapToGrid/>
      <w:sz w:val="24"/>
      <w:szCs w:val="24"/>
    </w:rPr>
  </w:style>
  <w:style w:type="character" w:customStyle="1" w:styleId="144">
    <w:name w:val="日期 Char2"/>
    <w:semiHidden/>
    <w:qFormat/>
    <w:uiPriority w:val="99"/>
    <w:rPr>
      <w:rFonts w:ascii="Times New Roman" w:hAnsi="Times New Roman" w:eastAsia="宋体" w:cs="Times New Roman"/>
      <w:szCs w:val="24"/>
    </w:rPr>
  </w:style>
  <w:style w:type="character" w:customStyle="1" w:styleId="145">
    <w:name w:val="正文首行缩进 2 Char1"/>
    <w:semiHidden/>
    <w:qFormat/>
    <w:uiPriority w:val="99"/>
  </w:style>
  <w:style w:type="character" w:customStyle="1" w:styleId="146">
    <w:name w:val="页脚 Char2"/>
    <w:semiHidden/>
    <w:qFormat/>
    <w:uiPriority w:val="99"/>
    <w:rPr>
      <w:rFonts w:ascii="Times New Roman" w:hAnsi="Times New Roman" w:eastAsia="宋体" w:cs="Times New Roman"/>
      <w:sz w:val="18"/>
      <w:szCs w:val="18"/>
    </w:rPr>
  </w:style>
  <w:style w:type="character" w:customStyle="1" w:styleId="147">
    <w:name w:val="正文文本缩进 2 Char2"/>
    <w:semiHidden/>
    <w:qFormat/>
    <w:uiPriority w:val="99"/>
    <w:rPr>
      <w:rFonts w:ascii="Times New Roman" w:hAnsi="Times New Roman" w:eastAsia="宋体" w:cs="Times New Roman"/>
      <w:szCs w:val="24"/>
    </w:rPr>
  </w:style>
  <w:style w:type="character" w:customStyle="1" w:styleId="148">
    <w:name w:val="正文文本 Char3"/>
    <w:link w:val="23"/>
    <w:qFormat/>
    <w:uiPriority w:val="99"/>
    <w:rPr>
      <w:kern w:val="2"/>
      <w:sz w:val="21"/>
      <w:szCs w:val="24"/>
    </w:rPr>
  </w:style>
  <w:style w:type="character" w:customStyle="1" w:styleId="149">
    <w:name w:val="日期 Char1"/>
    <w:semiHidden/>
    <w:qFormat/>
    <w:uiPriority w:val="99"/>
    <w:rPr>
      <w:rFonts w:ascii="Times New Roman" w:hAnsi="Times New Roman" w:eastAsia="宋体" w:cs="Times New Roman"/>
      <w:szCs w:val="24"/>
    </w:rPr>
  </w:style>
  <w:style w:type="character" w:customStyle="1" w:styleId="150">
    <w:name w:val="正文文本 2 Char2"/>
    <w:semiHidden/>
    <w:qFormat/>
    <w:uiPriority w:val="99"/>
    <w:rPr>
      <w:rFonts w:ascii="Times New Roman" w:hAnsi="Times New Roman" w:eastAsia="宋体" w:cs="Times New Roman"/>
      <w:szCs w:val="24"/>
    </w:rPr>
  </w:style>
  <w:style w:type="character" w:customStyle="1" w:styleId="151">
    <w:name w:val="批注文字 Char"/>
    <w:semiHidden/>
    <w:qFormat/>
    <w:uiPriority w:val="0"/>
    <w:rPr>
      <w:rFonts w:eastAsia="宋体"/>
      <w:kern w:val="2"/>
      <w:sz w:val="21"/>
      <w:szCs w:val="24"/>
      <w:lang w:val="en-US" w:eastAsia="zh-CN" w:bidi="ar-SA"/>
    </w:rPr>
  </w:style>
  <w:style w:type="character" w:customStyle="1" w:styleId="152">
    <w:name w:val="HTML 预设格式 Char3"/>
    <w:qFormat/>
    <w:uiPriority w:val="0"/>
    <w:rPr>
      <w:rFonts w:ascii="Courier New" w:hAnsi="Courier New" w:cs="Courier New"/>
      <w:kern w:val="2"/>
    </w:rPr>
  </w:style>
  <w:style w:type="character" w:customStyle="1" w:styleId="153">
    <w:name w:val="样式3 Char"/>
    <w:link w:val="107"/>
    <w:qFormat/>
    <w:uiPriority w:val="0"/>
    <w:rPr>
      <w:rFonts w:eastAsia="Times New Roman"/>
      <w:b/>
      <w:kern w:val="2"/>
      <w:sz w:val="24"/>
      <w:szCs w:val="22"/>
      <w:lang w:val="en-US" w:eastAsia="zh-CN" w:bidi="ar-SA"/>
    </w:rPr>
  </w:style>
  <w:style w:type="character" w:customStyle="1" w:styleId="154">
    <w:name w:val="标题 Char3"/>
    <w:qFormat/>
    <w:uiPriority w:val="0"/>
    <w:rPr>
      <w:rFonts w:ascii="Cambria" w:hAnsi="Cambria" w:cs="Times New Roman"/>
      <w:b/>
      <w:bCs/>
      <w:kern w:val="2"/>
      <w:sz w:val="32"/>
      <w:szCs w:val="32"/>
    </w:rPr>
  </w:style>
  <w:style w:type="character" w:customStyle="1" w:styleId="155">
    <w:name w:val="无间隔 Char"/>
    <w:link w:val="86"/>
    <w:qFormat/>
    <w:uiPriority w:val="0"/>
    <w:rPr>
      <w:rFonts w:eastAsia="Times New Roman"/>
      <w:kern w:val="2"/>
      <w:sz w:val="24"/>
      <w:szCs w:val="24"/>
      <w:lang w:val="en-US" w:eastAsia="zh-CN" w:bidi="ar-SA"/>
    </w:rPr>
  </w:style>
  <w:style w:type="character" w:customStyle="1" w:styleId="156">
    <w:name w:val="纯文本 Char1"/>
    <w:semiHidden/>
    <w:qFormat/>
    <w:uiPriority w:val="99"/>
    <w:rPr>
      <w:rFonts w:ascii="宋体" w:hAnsi="Courier New" w:eastAsia="宋体" w:cs="Courier New"/>
      <w:szCs w:val="21"/>
    </w:rPr>
  </w:style>
  <w:style w:type="character" w:customStyle="1" w:styleId="157">
    <w:name w:val="批注文字 Char1"/>
    <w:link w:val="19"/>
    <w:qFormat/>
    <w:uiPriority w:val="99"/>
    <w:rPr>
      <w:kern w:val="2"/>
      <w:sz w:val="21"/>
      <w:szCs w:val="24"/>
    </w:rPr>
  </w:style>
  <w:style w:type="character" w:customStyle="1" w:styleId="158">
    <w:name w:val="正文首行缩进 2 Char"/>
    <w:link w:val="56"/>
    <w:qFormat/>
    <w:uiPriority w:val="0"/>
  </w:style>
  <w:style w:type="character" w:customStyle="1" w:styleId="159">
    <w:name w:val="批注框文本 Char2"/>
    <w:semiHidden/>
    <w:qFormat/>
    <w:uiPriority w:val="99"/>
    <w:rPr>
      <w:rFonts w:ascii="Times New Roman" w:hAnsi="Times New Roman" w:eastAsia="宋体" w:cs="Times New Roman"/>
      <w:sz w:val="18"/>
      <w:szCs w:val="18"/>
    </w:rPr>
  </w:style>
  <w:style w:type="character" w:customStyle="1" w:styleId="160">
    <w:name w:val="页脚 Char1"/>
    <w:semiHidden/>
    <w:qFormat/>
    <w:uiPriority w:val="99"/>
    <w:rPr>
      <w:rFonts w:ascii="Times New Roman" w:hAnsi="Times New Roman" w:eastAsia="宋体" w:cs="Times New Roman"/>
      <w:sz w:val="18"/>
      <w:szCs w:val="18"/>
    </w:rPr>
  </w:style>
  <w:style w:type="character" w:customStyle="1" w:styleId="161">
    <w:name w:val="批注主题 Char2"/>
    <w:semiHidden/>
    <w:qFormat/>
    <w:uiPriority w:val="99"/>
    <w:rPr>
      <w:rFonts w:ascii="Times New Roman" w:hAnsi="Times New Roman" w:eastAsia="宋体" w:cs="Times New Roman"/>
      <w:b/>
      <w:bCs/>
      <w:szCs w:val="24"/>
    </w:rPr>
  </w:style>
  <w:style w:type="character" w:customStyle="1" w:styleId="162">
    <w:name w:val="标题 2 Char"/>
    <w:link w:val="4"/>
    <w:qFormat/>
    <w:uiPriority w:val="0"/>
    <w:rPr>
      <w:rFonts w:ascii="宋体" w:hAnsi="宋体"/>
      <w:b/>
      <w:bCs/>
      <w:snapToGrid/>
      <w:sz w:val="24"/>
      <w:szCs w:val="28"/>
    </w:rPr>
  </w:style>
  <w:style w:type="character" w:customStyle="1" w:styleId="163">
    <w:name w:val="无 A"/>
    <w:qFormat/>
    <w:uiPriority w:val="0"/>
  </w:style>
  <w:style w:type="character" w:customStyle="1" w:styleId="164">
    <w:name w:val="附件 Char"/>
    <w:link w:val="70"/>
    <w:qFormat/>
    <w:uiPriority w:val="0"/>
    <w:rPr>
      <w:rFonts w:ascii="宋体" w:hAnsi="宋体" w:eastAsia="黑体"/>
      <w:kern w:val="2"/>
      <w:sz w:val="30"/>
      <w:szCs w:val="30"/>
    </w:rPr>
  </w:style>
  <w:style w:type="character" w:customStyle="1" w:styleId="165">
    <w:name w:val="正文文本 3 Char"/>
    <w:link w:val="22"/>
    <w:qFormat/>
    <w:uiPriority w:val="0"/>
    <w:rPr>
      <w:sz w:val="16"/>
      <w:szCs w:val="16"/>
    </w:rPr>
  </w:style>
  <w:style w:type="character" w:customStyle="1" w:styleId="166">
    <w:name w:val="正文文本 2 Char"/>
    <w:link w:val="49"/>
    <w:qFormat/>
    <w:uiPriority w:val="0"/>
    <w:rPr>
      <w:szCs w:val="24"/>
    </w:rPr>
  </w:style>
  <w:style w:type="character" w:customStyle="1" w:styleId="167">
    <w:name w:val="正文文本缩进 Char1"/>
    <w:qFormat/>
    <w:uiPriority w:val="99"/>
    <w:rPr>
      <w:rFonts w:ascii="Times New Roman" w:hAnsi="Times New Roman" w:eastAsia="宋体" w:cs="Times New Roman"/>
      <w:szCs w:val="24"/>
    </w:rPr>
  </w:style>
  <w:style w:type="character" w:customStyle="1" w:styleId="168">
    <w:name w:val="珠江控规 Char"/>
    <w:link w:val="96"/>
    <w:qFormat/>
    <w:uiPriority w:val="0"/>
    <w:rPr>
      <w:rFonts w:cs="宋体"/>
      <w:b/>
      <w:sz w:val="21"/>
      <w:szCs w:val="21"/>
    </w:rPr>
  </w:style>
  <w:style w:type="character" w:customStyle="1" w:styleId="169">
    <w:name w:val="日期 Char"/>
    <w:link w:val="32"/>
    <w:qFormat/>
    <w:uiPriority w:val="0"/>
    <w:rPr>
      <w:kern w:val="2"/>
      <w:sz w:val="21"/>
      <w:szCs w:val="24"/>
    </w:rPr>
  </w:style>
  <w:style w:type="character" w:customStyle="1" w:styleId="170">
    <w:name w:val="正文文本缩进 3 Char2"/>
    <w:semiHidden/>
    <w:qFormat/>
    <w:uiPriority w:val="99"/>
    <w:rPr>
      <w:rFonts w:ascii="Times New Roman" w:hAnsi="Times New Roman" w:eastAsia="宋体" w:cs="Times New Roman"/>
      <w:sz w:val="16"/>
      <w:szCs w:val="16"/>
    </w:rPr>
  </w:style>
  <w:style w:type="character" w:customStyle="1" w:styleId="171">
    <w:name w:val="正文文本缩进 Char"/>
    <w:qFormat/>
    <w:uiPriority w:val="0"/>
    <w:rPr>
      <w:rFonts w:eastAsia="宋体"/>
      <w:kern w:val="2"/>
      <w:sz w:val="21"/>
      <w:szCs w:val="24"/>
      <w:lang w:val="en-US" w:eastAsia="zh-CN" w:bidi="ar-SA"/>
    </w:rPr>
  </w:style>
  <w:style w:type="character" w:customStyle="1" w:styleId="172">
    <w:name w:val="页眉 Char1"/>
    <w:semiHidden/>
    <w:qFormat/>
    <w:uiPriority w:val="99"/>
    <w:rPr>
      <w:rFonts w:ascii="Times New Roman" w:hAnsi="Times New Roman" w:eastAsia="宋体" w:cs="Times New Roman"/>
      <w:sz w:val="18"/>
      <w:szCs w:val="18"/>
    </w:rPr>
  </w:style>
  <w:style w:type="character" w:customStyle="1" w:styleId="173">
    <w:name w:val="称呼 Char1"/>
    <w:semiHidden/>
    <w:qFormat/>
    <w:uiPriority w:val="99"/>
    <w:rPr>
      <w:rFonts w:ascii="Times New Roman" w:hAnsi="Times New Roman" w:eastAsia="宋体" w:cs="Times New Roman"/>
      <w:szCs w:val="24"/>
    </w:rPr>
  </w:style>
  <w:style w:type="character" w:customStyle="1" w:styleId="174">
    <w:name w:val="一级标题 Char"/>
    <w:link w:val="78"/>
    <w:qFormat/>
    <w:uiPriority w:val="0"/>
    <w:rPr>
      <w:b/>
      <w:sz w:val="30"/>
      <w:szCs w:val="30"/>
    </w:rPr>
  </w:style>
  <w:style w:type="character" w:customStyle="1" w:styleId="175">
    <w:name w:val="正文首行缩进 Char1"/>
    <w:semiHidden/>
    <w:qFormat/>
    <w:uiPriority w:val="99"/>
  </w:style>
  <w:style w:type="character" w:customStyle="1" w:styleId="176">
    <w:name w:val="HTML 预设格式 Char1"/>
    <w:semiHidden/>
    <w:qFormat/>
    <w:uiPriority w:val="99"/>
    <w:rPr>
      <w:rFonts w:ascii="Courier New" w:hAnsi="Courier New" w:eastAsia="宋体" w:cs="Courier New"/>
      <w:sz w:val="20"/>
      <w:szCs w:val="20"/>
    </w:rPr>
  </w:style>
  <w:style w:type="character" w:customStyle="1" w:styleId="177">
    <w:name w:val="正文首行缩进 Char"/>
    <w:link w:val="55"/>
    <w:qFormat/>
    <w:uiPriority w:val="0"/>
  </w:style>
  <w:style w:type="character" w:customStyle="1" w:styleId="178">
    <w:name w:val="页眉 Char"/>
    <w:link w:val="36"/>
    <w:qFormat/>
    <w:uiPriority w:val="0"/>
    <w:rPr>
      <w:kern w:val="2"/>
      <w:sz w:val="18"/>
      <w:szCs w:val="18"/>
    </w:rPr>
  </w:style>
  <w:style w:type="character" w:customStyle="1" w:styleId="179">
    <w:name w:val="页脚 Char"/>
    <w:link w:val="35"/>
    <w:qFormat/>
    <w:uiPriority w:val="99"/>
    <w:rPr>
      <w:kern w:val="2"/>
      <w:sz w:val="18"/>
      <w:szCs w:val="18"/>
    </w:rPr>
  </w:style>
  <w:style w:type="character" w:customStyle="1" w:styleId="180">
    <w:name w:val="图名 Char"/>
    <w:link w:val="77"/>
    <w:qFormat/>
    <w:uiPriority w:val="0"/>
    <w:rPr>
      <w:rFonts w:ascii="黑体" w:eastAsia="黑体"/>
      <w:szCs w:val="21"/>
    </w:rPr>
  </w:style>
  <w:style w:type="character" w:customStyle="1" w:styleId="181">
    <w:name w:val="正文文本 2 Char1"/>
    <w:semiHidden/>
    <w:qFormat/>
    <w:uiPriority w:val="99"/>
    <w:rPr>
      <w:rFonts w:ascii="Times New Roman" w:hAnsi="Times New Roman" w:eastAsia="宋体" w:cs="Times New Roman"/>
      <w:szCs w:val="24"/>
    </w:rPr>
  </w:style>
  <w:style w:type="character" w:customStyle="1" w:styleId="182">
    <w:name w:val="正文文本缩进 3 Char"/>
    <w:link w:val="43"/>
    <w:qFormat/>
    <w:uiPriority w:val="0"/>
    <w:rPr>
      <w:kern w:val="2"/>
      <w:sz w:val="16"/>
      <w:szCs w:val="16"/>
    </w:rPr>
  </w:style>
  <w:style w:type="character" w:customStyle="1" w:styleId="183">
    <w:name w:val="插图名称 Char"/>
    <w:link w:val="99"/>
    <w:qFormat/>
    <w:uiPriority w:val="0"/>
    <w:rPr>
      <w:rFonts w:eastAsia="Times New Roman"/>
      <w:kern w:val="2"/>
      <w:sz w:val="21"/>
      <w:szCs w:val="24"/>
      <w:lang w:val="en-US" w:eastAsia="zh-CN" w:bidi="ar-SA"/>
    </w:rPr>
  </w:style>
  <w:style w:type="character" w:customStyle="1" w:styleId="184">
    <w:name w:val="标题 9 Char"/>
    <w:link w:val="12"/>
    <w:qFormat/>
    <w:uiPriority w:val="0"/>
    <w:rPr>
      <w:rFonts w:ascii="Arial" w:hAnsi="Arial" w:eastAsia="黑体"/>
      <w:szCs w:val="21"/>
    </w:rPr>
  </w:style>
  <w:style w:type="character" w:customStyle="1" w:styleId="185">
    <w:name w:val="正文文本缩进 Char3"/>
    <w:link w:val="24"/>
    <w:qFormat/>
    <w:uiPriority w:val="0"/>
    <w:rPr>
      <w:kern w:val="2"/>
      <w:sz w:val="28"/>
      <w:szCs w:val="24"/>
    </w:rPr>
  </w:style>
  <w:style w:type="character" w:customStyle="1" w:styleId="186">
    <w:name w:val="正文缩进 Char"/>
    <w:link w:val="5"/>
    <w:qFormat/>
    <w:uiPriority w:val="0"/>
    <w:rPr>
      <w:szCs w:val="24"/>
    </w:rPr>
  </w:style>
  <w:style w:type="character" w:customStyle="1" w:styleId="187">
    <w:name w:val="称呼 Char3"/>
    <w:qFormat/>
    <w:uiPriority w:val="0"/>
    <w:rPr>
      <w:kern w:val="2"/>
      <w:sz w:val="21"/>
      <w:szCs w:val="24"/>
    </w:rPr>
  </w:style>
  <w:style w:type="character" w:customStyle="1" w:styleId="188">
    <w:name w:val="标题 8 Char"/>
    <w:link w:val="11"/>
    <w:qFormat/>
    <w:uiPriority w:val="0"/>
    <w:rPr>
      <w:rFonts w:ascii="Arial" w:hAnsi="Arial" w:eastAsia="黑体"/>
      <w:sz w:val="24"/>
      <w:szCs w:val="24"/>
    </w:rPr>
  </w:style>
  <w:style w:type="character" w:customStyle="1" w:styleId="189">
    <w:name w:val="正文文本 3 Char2"/>
    <w:semiHidden/>
    <w:qFormat/>
    <w:uiPriority w:val="99"/>
    <w:rPr>
      <w:rFonts w:ascii="Times New Roman" w:hAnsi="Times New Roman" w:eastAsia="宋体" w:cs="Times New Roman"/>
      <w:sz w:val="16"/>
      <w:szCs w:val="16"/>
    </w:rPr>
  </w:style>
  <w:style w:type="character" w:customStyle="1" w:styleId="190">
    <w:name w:val="文档结构图 Char2"/>
    <w:semiHidden/>
    <w:qFormat/>
    <w:uiPriority w:val="99"/>
    <w:rPr>
      <w:rFonts w:ascii="宋体" w:hAnsi="Times New Roman" w:eastAsia="宋体" w:cs="Times New Roman"/>
      <w:sz w:val="18"/>
      <w:szCs w:val="18"/>
    </w:rPr>
  </w:style>
  <w:style w:type="character" w:customStyle="1" w:styleId="191">
    <w:name w:val="Char Char13"/>
    <w:qFormat/>
    <w:uiPriority w:val="0"/>
    <w:rPr>
      <w:rFonts w:ascii="宋体" w:hAnsi="Courier New" w:eastAsia="宋体"/>
      <w:kern w:val="2"/>
      <w:sz w:val="21"/>
      <w:lang w:val="en-US" w:eastAsia="zh-CN"/>
    </w:rPr>
  </w:style>
  <w:style w:type="character" w:customStyle="1" w:styleId="192">
    <w:name w:val="标题 7 Char"/>
    <w:link w:val="10"/>
    <w:qFormat/>
    <w:uiPriority w:val="0"/>
    <w:rPr>
      <w:rFonts w:eastAsia="仿宋"/>
      <w:b/>
      <w:bCs/>
      <w:sz w:val="24"/>
      <w:szCs w:val="24"/>
    </w:rPr>
  </w:style>
  <w:style w:type="character" w:customStyle="1" w:styleId="193">
    <w:name w:val="标题 6 Char"/>
    <w:link w:val="9"/>
    <w:qFormat/>
    <w:uiPriority w:val="0"/>
    <w:rPr>
      <w:bCs/>
      <w:kern w:val="2"/>
      <w:sz w:val="24"/>
      <w:szCs w:val="24"/>
    </w:rPr>
  </w:style>
  <w:style w:type="character" w:customStyle="1" w:styleId="194">
    <w:name w:val="标题 1 Char"/>
    <w:link w:val="3"/>
    <w:qFormat/>
    <w:uiPriority w:val="0"/>
    <w:rPr>
      <w:rFonts w:ascii="宋体" w:hAnsi="宋体"/>
      <w:b/>
      <w:bCs/>
      <w:kern w:val="36"/>
      <w:sz w:val="48"/>
      <w:szCs w:val="48"/>
    </w:rPr>
  </w:style>
  <w:style w:type="character" w:customStyle="1" w:styleId="195">
    <w:name w:val="文档结构图 Char1"/>
    <w:semiHidden/>
    <w:qFormat/>
    <w:uiPriority w:val="99"/>
    <w:rPr>
      <w:rFonts w:ascii="宋体" w:hAnsi="Times New Roman" w:eastAsia="宋体" w:cs="Times New Roman"/>
      <w:sz w:val="18"/>
      <w:szCs w:val="18"/>
    </w:rPr>
  </w:style>
  <w:style w:type="character" w:customStyle="1" w:styleId="196">
    <w:name w:val="标题 Char"/>
    <w:link w:val="53"/>
    <w:qFormat/>
    <w:uiPriority w:val="0"/>
    <w:rPr>
      <w:rFonts w:ascii="Arial" w:hAnsi="Arial" w:cs="Arial"/>
      <w:b/>
      <w:bCs/>
      <w:sz w:val="32"/>
      <w:szCs w:val="32"/>
    </w:rPr>
  </w:style>
  <w:style w:type="character" w:customStyle="1" w:styleId="197">
    <w:name w:val="标题 4 Char"/>
    <w:link w:val="7"/>
    <w:qFormat/>
    <w:uiPriority w:val="0"/>
    <w:rPr>
      <w:bCs/>
      <w:kern w:val="2"/>
      <w:sz w:val="28"/>
      <w:szCs w:val="28"/>
    </w:rPr>
  </w:style>
  <w:style w:type="character" w:customStyle="1" w:styleId="198">
    <w:name w:val="正文首行缩进 Char3"/>
    <w:basedOn w:val="148"/>
    <w:qFormat/>
    <w:uiPriority w:val="0"/>
  </w:style>
  <w:style w:type="character" w:customStyle="1" w:styleId="199">
    <w:name w:val="批注主题 Char1"/>
    <w:semiHidden/>
    <w:qFormat/>
    <w:uiPriority w:val="99"/>
    <w:rPr>
      <w:rFonts w:ascii="Times New Roman" w:hAnsi="Times New Roman" w:eastAsia="宋体" w:cs="Times New Roman"/>
      <w:b/>
      <w:bCs/>
      <w:szCs w:val="24"/>
    </w:rPr>
  </w:style>
  <w:style w:type="character" w:customStyle="1" w:styleId="200">
    <w:name w:val="正文首行缩进 2 Char3"/>
    <w:qFormat/>
    <w:uiPriority w:val="0"/>
    <w:rPr>
      <w:kern w:val="2"/>
      <w:sz w:val="21"/>
      <w:szCs w:val="24"/>
    </w:rPr>
  </w:style>
  <w:style w:type="character" w:customStyle="1" w:styleId="201">
    <w:name w:val="样式 宋体 小四 Char"/>
    <w:link w:val="97"/>
    <w:qFormat/>
    <w:uiPriority w:val="0"/>
    <w:rPr>
      <w:rFonts w:ascii="Courier New" w:hAnsi="Courier New" w:eastAsia="Courier New"/>
      <w:sz w:val="24"/>
    </w:rPr>
  </w:style>
  <w:style w:type="character" w:customStyle="1" w:styleId="202">
    <w:name w:val="HTML 预设格式 Char2"/>
    <w:semiHidden/>
    <w:qFormat/>
    <w:uiPriority w:val="99"/>
    <w:rPr>
      <w:rFonts w:ascii="Courier New" w:hAnsi="Courier New" w:eastAsia="宋体" w:cs="Courier New"/>
      <w:sz w:val="20"/>
      <w:szCs w:val="20"/>
    </w:rPr>
  </w:style>
  <w:style w:type="character" w:customStyle="1" w:styleId="203">
    <w:name w:val="Char Char15"/>
    <w:qFormat/>
    <w:uiPriority w:val="0"/>
    <w:rPr>
      <w:rFonts w:eastAsia="黑体"/>
      <w:bCs/>
      <w:kern w:val="2"/>
      <w:sz w:val="24"/>
      <w:szCs w:val="32"/>
    </w:rPr>
  </w:style>
  <w:style w:type="character" w:customStyle="1" w:styleId="204">
    <w:name w:val="页眉 Char2"/>
    <w:semiHidden/>
    <w:qFormat/>
    <w:uiPriority w:val="99"/>
    <w:rPr>
      <w:rFonts w:ascii="Times New Roman" w:hAnsi="Times New Roman" w:eastAsia="宋体" w:cs="Times New Roman"/>
      <w:sz w:val="18"/>
      <w:szCs w:val="18"/>
    </w:rPr>
  </w:style>
  <w:style w:type="character" w:customStyle="1" w:styleId="205">
    <w:name w:val="脚注文本 Char"/>
    <w:link w:val="41"/>
    <w:qFormat/>
    <w:uiPriority w:val="0"/>
    <w:rPr>
      <w:kern w:val="2"/>
      <w:sz w:val="18"/>
      <w:szCs w:val="18"/>
    </w:rPr>
  </w:style>
  <w:style w:type="character" w:customStyle="1" w:styleId="206">
    <w:name w:val="正文文本缩进 2 Char1"/>
    <w:semiHidden/>
    <w:qFormat/>
    <w:uiPriority w:val="99"/>
    <w:rPr>
      <w:rFonts w:ascii="Times New Roman" w:hAnsi="Times New Roman" w:eastAsia="宋体" w:cs="Times New Roman"/>
      <w:szCs w:val="24"/>
    </w:rPr>
  </w:style>
  <w:style w:type="paragraph" w:customStyle="1" w:styleId="207">
    <w:name w:val="目录1"/>
    <w:basedOn w:val="53"/>
    <w:qFormat/>
    <w:uiPriority w:val="0"/>
    <w:pPr>
      <w:spacing w:before="120" w:after="120"/>
    </w:pPr>
    <w:rPr>
      <w:snapToGrid w:val="0"/>
      <w:kern w:val="0"/>
    </w:rPr>
  </w:style>
  <w:style w:type="paragraph" w:customStyle="1" w:styleId="208">
    <w:name w:val="目录2"/>
    <w:basedOn w:val="3"/>
    <w:qFormat/>
    <w:uiPriority w:val="0"/>
    <w:pPr>
      <w:spacing w:before="120" w:after="120" w:line="240" w:lineRule="auto"/>
    </w:pPr>
    <w:rPr>
      <w:snapToGrid w:val="0"/>
      <w:kern w:val="0"/>
      <w:sz w:val="30"/>
    </w:rPr>
  </w:style>
  <w:style w:type="paragraph" w:customStyle="1" w:styleId="209">
    <w:name w:val="目录3"/>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67</Pages>
  <Words>6860</Words>
  <Characters>39107</Characters>
  <Lines>325</Lines>
  <Paragraphs>91</Paragraphs>
  <TotalTime>2</TotalTime>
  <ScaleCrop>false</ScaleCrop>
  <LinksUpToDate>false</LinksUpToDate>
  <CharactersWithSpaces>45876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2018-04-12T02:55:00Z</dcterms:created>
  <dc:creator>lenovo</dc:creator>
  <cp:lastModifiedBy>李海涛</cp:lastModifiedBy>
  <cp:lastPrinted>2020-05-21T06:17:00Z</cp:lastPrinted>
  <dcterms:modified xsi:type="dcterms:W3CDTF">2020-05-29T02:05:40Z</dcterms:modified>
  <dc:title>编制说明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